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(Mark One)</w:t>
      </w:r>
    </w:p>
    <w:p>
      <w:pPr>
        <w:spacing w:after="0" w:line="27" w:lineRule="exact"/>
        <w:rPr>
          <w:sz w:val="24"/>
          <w:szCs w:val="24"/>
          <w:color w:val="auto"/>
        </w:rPr>
      </w:pPr>
    </w:p>
    <w:p>
      <w:pPr>
        <w:ind w:left="900" w:hanging="379"/>
        <w:spacing w:after="0"/>
        <w:tabs>
          <w:tab w:leader="none" w:pos="9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2023</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44" w:lineRule="exact"/>
        <w:rPr>
          <w:sz w:val="24"/>
          <w:szCs w:val="24"/>
          <w:color w:val="auto"/>
        </w:rPr>
      </w:pPr>
    </w:p>
    <w:p>
      <w:pPr>
        <w:ind w:left="900" w:hanging="398"/>
        <w:spacing w:after="0"/>
        <w:tabs>
          <w:tab w:leader="none" w:pos="9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For the transition period from  to</w:t>
      </w:r>
    </w:p>
    <w:p>
      <w:pPr>
        <w:spacing w:after="0" w:line="25" w:lineRule="exact"/>
        <w:rPr>
          <w:sz w:val="24"/>
          <w:szCs w:val="24"/>
          <w:color w:val="auto"/>
        </w:rPr>
      </w:pPr>
    </w:p>
    <w:p>
      <w:pPr>
        <w:ind w:left="4540"/>
        <w:spacing w:after="0"/>
        <w:rPr>
          <w:sz w:val="20"/>
          <w:szCs w:val="20"/>
          <w:color w:val="auto"/>
        </w:rPr>
      </w:pPr>
      <w:r>
        <w:rPr>
          <w:rFonts w:ascii="Arial" w:cs="Arial" w:eastAsia="Arial" w:hAnsi="Arial"/>
          <w:sz w:val="14"/>
          <w:szCs w:val="14"/>
          <w:b w:val="1"/>
          <w:bCs w:val="1"/>
          <w:color w:val="auto"/>
        </w:rPr>
        <w:t>Commission file number 001-40246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145415</wp:posOffset>
            </wp:positionV>
            <wp:extent cx="1320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Nextdoor Holdings,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139700</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800" w:type="dxa"/>
            <w:vAlign w:val="bottom"/>
          </w:tcPr>
          <w:p>
            <w:pPr>
              <w:jc w:val="center"/>
              <w:ind w:left="86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40" w:type="dxa"/>
            <w:vAlign w:val="bottom"/>
          </w:tcPr>
          <w:p>
            <w:pPr>
              <w:jc w:val="right"/>
              <w:ind w:right="1948"/>
              <w:spacing w:after="0"/>
              <w:rPr>
                <w:sz w:val="20"/>
                <w:szCs w:val="20"/>
                <w:color w:val="auto"/>
              </w:rPr>
            </w:pPr>
            <w:r>
              <w:rPr>
                <w:rFonts w:ascii="Arial" w:cs="Arial" w:eastAsia="Arial" w:hAnsi="Arial"/>
                <w:sz w:val="14"/>
                <w:szCs w:val="14"/>
                <w:b w:val="1"/>
                <w:bCs w:val="1"/>
                <w:color w:val="auto"/>
              </w:rPr>
              <w:t>86-1776836</w:t>
            </w:r>
          </w:p>
        </w:tc>
        <w:tc>
          <w:tcPr>
            <w:tcW w:w="0" w:type="dxa"/>
            <w:vAlign w:val="bottom"/>
          </w:tcPr>
          <w:p>
            <w:pPr>
              <w:spacing w:after="0"/>
              <w:rPr>
                <w:sz w:val="1"/>
                <w:szCs w:val="1"/>
                <w:color w:val="auto"/>
              </w:rPr>
            </w:pPr>
          </w:p>
        </w:tc>
      </w:tr>
      <w:tr>
        <w:trPr>
          <w:trHeight w:val="165"/>
        </w:trPr>
        <w:tc>
          <w:tcPr>
            <w:tcW w:w="3800" w:type="dxa"/>
            <w:vAlign w:val="bottom"/>
          </w:tcPr>
          <w:p>
            <w:pPr>
              <w:jc w:val="center"/>
              <w:ind w:left="868"/>
              <w:spacing w:after="0"/>
              <w:rPr>
                <w:sz w:val="20"/>
                <w:szCs w:val="20"/>
                <w:color w:val="auto"/>
              </w:rPr>
            </w:pPr>
            <w:r>
              <w:rPr>
                <w:rFonts w:ascii="Arial" w:cs="Arial" w:eastAsia="Arial" w:hAnsi="Arial"/>
                <w:sz w:val="14"/>
                <w:szCs w:val="14"/>
                <w:b w:val="1"/>
                <w:bCs w:val="1"/>
                <w:color w:val="auto"/>
                <w:w w:val="93"/>
              </w:rPr>
              <w:t>(State or Other Jurisdiction of</w:t>
            </w:r>
          </w:p>
        </w:tc>
        <w:tc>
          <w:tcPr>
            <w:tcW w:w="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40" w:type="dxa"/>
            <w:vAlign w:val="bottom"/>
          </w:tcPr>
          <w:p>
            <w:pPr>
              <w:jc w:val="center"/>
              <w:ind w:right="1128"/>
              <w:spacing w:after="0"/>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3800" w:type="dxa"/>
            <w:vAlign w:val="bottom"/>
          </w:tcPr>
          <w:p>
            <w:pPr>
              <w:jc w:val="center"/>
              <w:ind w:left="888"/>
              <w:spacing w:after="0"/>
              <w:rPr>
                <w:sz w:val="20"/>
                <w:szCs w:val="20"/>
                <w:color w:val="auto"/>
              </w:rPr>
            </w:pPr>
            <w:r>
              <w:rPr>
                <w:rFonts w:ascii="Arial" w:cs="Arial" w:eastAsia="Arial" w:hAnsi="Arial"/>
                <w:sz w:val="14"/>
                <w:szCs w:val="14"/>
                <w:b w:val="1"/>
                <w:bCs w:val="1"/>
                <w:color w:val="auto"/>
                <w:w w:val="94"/>
              </w:rPr>
              <w:t>Incorporation or Organization)</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40" w:type="dxa"/>
            <w:vAlign w:val="bottom"/>
          </w:tcPr>
          <w:p>
            <w:pPr>
              <w:jc w:val="center"/>
              <w:ind w:right="112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516"/>
        </w:trPr>
        <w:tc>
          <w:tcPr>
            <w:tcW w:w="380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420 Taylor Street</w:t>
            </w: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vMerge w:val="restart"/>
          </w:tcPr>
          <w:p>
            <w:pPr>
              <w:jc w:val="right"/>
              <w:ind w:right="2108"/>
              <w:spacing w:after="0"/>
              <w:rPr>
                <w:sz w:val="20"/>
                <w:szCs w:val="20"/>
                <w:color w:val="auto"/>
              </w:rPr>
            </w:pPr>
            <w:r>
              <w:rPr>
                <w:rFonts w:ascii="Arial" w:cs="Arial" w:eastAsia="Arial" w:hAnsi="Arial"/>
                <w:sz w:val="14"/>
                <w:szCs w:val="14"/>
                <w:b w:val="1"/>
                <w:bCs w:val="1"/>
                <w:color w:val="auto"/>
              </w:rPr>
              <w:t>94102</w:t>
            </w:r>
          </w:p>
        </w:tc>
        <w:tc>
          <w:tcPr>
            <w:tcW w:w="0" w:type="dxa"/>
            <w:vAlign w:val="bottom"/>
          </w:tcPr>
          <w:p>
            <w:pPr>
              <w:spacing w:after="0"/>
              <w:rPr>
                <w:sz w:val="1"/>
                <w:szCs w:val="1"/>
                <w:color w:val="auto"/>
              </w:rPr>
            </w:pPr>
          </w:p>
        </w:tc>
      </w:tr>
      <w:tr>
        <w:trPr>
          <w:trHeight w:val="144"/>
        </w:trPr>
        <w:tc>
          <w:tcPr>
            <w:tcW w:w="3800" w:type="dxa"/>
            <w:vAlign w:val="bottom"/>
          </w:tcPr>
          <w:p>
            <w:pPr>
              <w:jc w:val="center"/>
              <w:ind w:left="888"/>
              <w:spacing w:after="0" w:line="145" w:lineRule="exact"/>
              <w:rPr>
                <w:sz w:val="20"/>
                <w:szCs w:val="20"/>
                <w:color w:val="auto"/>
              </w:rPr>
            </w:pPr>
            <w:r>
              <w:rPr>
                <w:rFonts w:ascii="Arial" w:cs="Arial" w:eastAsia="Arial" w:hAnsi="Arial"/>
                <w:sz w:val="14"/>
                <w:szCs w:val="14"/>
                <w:b w:val="1"/>
                <w:bCs w:val="1"/>
                <w:color w:val="auto"/>
                <w:w w:val="92"/>
              </w:rPr>
              <w:t>San Francisco, California</w:t>
            </w:r>
          </w:p>
        </w:tc>
        <w:tc>
          <w:tcPr>
            <w:tcW w:w="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00" w:type="dxa"/>
            <w:vAlign w:val="bottom"/>
          </w:tcPr>
          <w:p>
            <w:pPr>
              <w:jc w:val="center"/>
              <w:ind w:left="86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40" w:type="dxa"/>
            <w:vAlign w:val="bottom"/>
          </w:tcPr>
          <w:p>
            <w:pPr>
              <w:jc w:val="center"/>
              <w:ind w:right="112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7"/>
        </w:trPr>
        <w:tc>
          <w:tcPr>
            <w:tcW w:w="7700" w:type="dxa"/>
            <w:vAlign w:val="bottom"/>
            <w:gridSpan w:val="4"/>
          </w:tcPr>
          <w:p>
            <w:pPr>
              <w:jc w:val="center"/>
              <w:ind w:left="3488"/>
              <w:spacing w:after="0"/>
              <w:rPr>
                <w:sz w:val="20"/>
                <w:szCs w:val="20"/>
                <w:color w:val="auto"/>
              </w:rPr>
            </w:pPr>
            <w:r>
              <w:rPr>
                <w:rFonts w:ascii="Arial" w:cs="Arial" w:eastAsia="Arial" w:hAnsi="Arial"/>
                <w:sz w:val="14"/>
                <w:szCs w:val="14"/>
                <w:b w:val="1"/>
                <w:bCs w:val="1"/>
                <w:color w:val="auto"/>
                <w:w w:val="92"/>
              </w:rPr>
              <w:t>Registrant’s telephone number, including area code: (415) 344-0333</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3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00" w:type="dxa"/>
            <w:vAlign w:val="bottom"/>
            <w:tcBorders>
              <w:left w:val="single" w:sz="8" w:color="auto"/>
            </w:tcBorders>
          </w:tcPr>
          <w:p>
            <w:pPr>
              <w:jc w:val="center"/>
              <w:ind w:left="648"/>
              <w:spacing w:after="0"/>
              <w:rPr>
                <w:sz w:val="20"/>
                <w:szCs w:val="20"/>
                <w:color w:val="auto"/>
              </w:rPr>
            </w:pPr>
            <w:r>
              <w:rPr>
                <w:rFonts w:ascii="Arial" w:cs="Arial" w:eastAsia="Arial" w:hAnsi="Arial"/>
                <w:sz w:val="14"/>
                <w:szCs w:val="14"/>
                <w:color w:val="auto"/>
                <w:w w:val="92"/>
              </w:rPr>
              <w:t>Title of each class</w:t>
            </w:r>
          </w:p>
        </w:tc>
        <w:tc>
          <w:tcPr>
            <w:tcW w:w="70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940" w:type="dxa"/>
            <w:vAlign w:val="bottom"/>
          </w:tcPr>
          <w:p>
            <w:pPr>
              <w:spacing w:after="0"/>
              <w:rPr>
                <w:sz w:val="15"/>
                <w:szCs w:val="15"/>
                <w:color w:val="auto"/>
              </w:rPr>
            </w:pPr>
          </w:p>
        </w:tc>
        <w:tc>
          <w:tcPr>
            <w:tcW w:w="3540" w:type="dxa"/>
            <w:vAlign w:val="bottom"/>
            <w:tcBorders>
              <w:right w:val="single" w:sz="8" w:color="auto"/>
            </w:tcBorders>
          </w:tcPr>
          <w:p>
            <w:pPr>
              <w:jc w:val="center"/>
              <w:ind w:right="888"/>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380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800" w:type="dxa"/>
            <w:vAlign w:val="bottom"/>
            <w:tcBorders>
              <w:left w:val="single" w:sz="8" w:color="auto"/>
              <w:bottom w:val="single" w:sz="8" w:color="auto"/>
            </w:tcBorders>
          </w:tcPr>
          <w:p>
            <w:pPr>
              <w:jc w:val="center"/>
              <w:ind w:left="628"/>
              <w:spacing w:after="0"/>
              <w:rPr>
                <w:sz w:val="20"/>
                <w:szCs w:val="20"/>
                <w:color w:val="auto"/>
              </w:rPr>
            </w:pPr>
            <w:r>
              <w:rPr>
                <w:rFonts w:ascii="Arial" w:cs="Arial" w:eastAsia="Arial" w:hAnsi="Arial"/>
                <w:sz w:val="14"/>
                <w:szCs w:val="14"/>
                <w:color w:val="auto"/>
                <w:w w:val="91"/>
              </w:rPr>
              <w:t>Class A common stock, par value $0.0001 per share</w:t>
            </w:r>
          </w:p>
        </w:tc>
        <w:tc>
          <w:tcPr>
            <w:tcW w:w="70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KIND</w:t>
            </w:r>
          </w:p>
        </w:tc>
        <w:tc>
          <w:tcPr>
            <w:tcW w:w="940" w:type="dxa"/>
            <w:vAlign w:val="bottom"/>
            <w:tcBorders>
              <w:bottom w:val="single" w:sz="8" w:color="auto"/>
            </w:tcBorders>
          </w:tcPr>
          <w:p>
            <w:pPr>
              <w:spacing w:after="0"/>
              <w:rPr>
                <w:sz w:val="15"/>
                <w:szCs w:val="15"/>
                <w:color w:val="auto"/>
              </w:rPr>
            </w:pPr>
          </w:p>
        </w:tc>
        <w:tc>
          <w:tcPr>
            <w:tcW w:w="3540" w:type="dxa"/>
            <w:vAlign w:val="bottom"/>
            <w:tcBorders>
              <w:bottom w:val="single" w:sz="8" w:color="auto"/>
              <w:right w:val="single" w:sz="8" w:color="auto"/>
            </w:tcBorders>
          </w:tcPr>
          <w:p>
            <w:pPr>
              <w:jc w:val="center"/>
              <w:ind w:right="888"/>
              <w:spacing w:after="0"/>
              <w:rPr>
                <w:sz w:val="20"/>
                <w:szCs w:val="20"/>
                <w:color w:val="auto"/>
              </w:rPr>
            </w:pPr>
            <w:r>
              <w:rPr>
                <w:rFonts w:ascii="Arial" w:cs="Arial" w:eastAsia="Arial" w:hAnsi="Arial"/>
                <w:sz w:val="14"/>
                <w:szCs w:val="14"/>
                <w:color w:val="auto"/>
                <w:w w:val="92"/>
              </w:rPr>
              <w:t>New York Stock Exchange</w:t>
            </w:r>
          </w:p>
        </w:tc>
        <w:tc>
          <w:tcPr>
            <w:tcW w:w="0" w:type="dxa"/>
            <w:vAlign w:val="bottom"/>
          </w:tcPr>
          <w:p>
            <w:pPr>
              <w:spacing w:after="0"/>
              <w:rPr>
                <w:sz w:val="1"/>
                <w:szCs w:val="1"/>
                <w:color w:val="auto"/>
              </w:rPr>
            </w:pPr>
          </w:p>
        </w:tc>
      </w:tr>
    </w:tbl>
    <w:p>
      <w:pPr>
        <w:spacing w:after="0" w:line="265" w:lineRule="exact"/>
        <w:rPr>
          <w:sz w:val="24"/>
          <w:szCs w:val="24"/>
          <w:color w:val="auto"/>
        </w:rPr>
      </w:pPr>
    </w:p>
    <w:p>
      <w:pPr>
        <w:ind w:right="180"/>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ind w:right="18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ind w:right="4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780"/>
              <w:spacing w:after="0"/>
              <w:rPr>
                <w:sz w:val="20"/>
                <w:szCs w:val="20"/>
                <w:color w:val="auto"/>
              </w:rPr>
            </w:pPr>
            <w:r>
              <w:rPr>
                <w:rFonts w:ascii="Arial" w:cs="Arial" w:eastAsia="Arial" w:hAnsi="Arial"/>
                <w:sz w:val="14"/>
                <w:szCs w:val="14"/>
                <w:color w:val="auto"/>
              </w:rPr>
              <w:t>Accelerated filer</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780"/>
              <w:spacing w:after="0"/>
              <w:rPr>
                <w:sz w:val="20"/>
                <w:szCs w:val="20"/>
                <w:color w:val="auto"/>
              </w:rPr>
            </w:pPr>
            <w:r>
              <w:rPr>
                <w:rFonts w:ascii="Arial" w:cs="Arial" w:eastAsia="Arial" w:hAnsi="Arial"/>
                <w:sz w:val="14"/>
                <w:szCs w:val="14"/>
                <w:color w:val="auto"/>
              </w:rPr>
              <w:t>Smaller reporting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4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360" w:type="dxa"/>
            <w:vAlign w:val="bottom"/>
          </w:tcPr>
          <w:p>
            <w:pPr>
              <w:ind w:left="1780"/>
              <w:spacing w:after="0"/>
              <w:rPr>
                <w:sz w:val="20"/>
                <w:szCs w:val="20"/>
                <w:color w:val="auto"/>
              </w:rPr>
            </w:pPr>
            <w:r>
              <w:rPr>
                <w:rFonts w:ascii="Arial" w:cs="Arial" w:eastAsia="Arial" w:hAnsi="Arial"/>
                <w:sz w:val="14"/>
                <w:szCs w:val="14"/>
                <w:color w:val="auto"/>
              </w:rPr>
              <w:t>Emerging growth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0" w:lineRule="exact"/>
        <w:rPr>
          <w:sz w:val="24"/>
          <w:szCs w:val="24"/>
          <w:color w:val="auto"/>
        </w:rPr>
      </w:pPr>
    </w:p>
    <w:p>
      <w:pPr>
        <w:ind w:right="560"/>
        <w:spacing w:after="0" w:line="19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tabs>
          <w:tab w:leader="none" w:pos="6700" w:val="left"/>
          <w:tab w:leader="none" w:pos="73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As of August 4, 2023, there were 177,128,575 shares of the registrant’s Class A common stock outstanding and 203,641,379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67722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60" w:type="dxa"/>
            <w:vAlign w:val="bottom"/>
            <w:gridSpan w:val="10"/>
          </w:tcPr>
          <w:p>
            <w:pPr>
              <w:ind w:left="36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80" w:type="dxa"/>
            <w:vAlign w:val="bottom"/>
            <w:gridSpan w:val="4"/>
          </w:tcPr>
          <w:p>
            <w:pPr>
              <w:ind w:left="240"/>
              <w:spacing w:after="0"/>
              <w:rPr>
                <w:sz w:val="20"/>
                <w:szCs w:val="20"/>
                <w:color w:val="auto"/>
              </w:rPr>
            </w:pPr>
            <w:r>
              <w:rPr>
                <w:rFonts w:ascii="Arial" w:cs="Arial" w:eastAsia="Arial" w:hAnsi="Arial"/>
                <w:sz w:val="18"/>
                <w:szCs w:val="18"/>
                <w:color w:val="auto"/>
              </w:rPr>
              <w:t>Page</w:t>
            </w:r>
          </w:p>
        </w:tc>
      </w:tr>
      <w:tr>
        <w:trPr>
          <w:trHeight w:val="183"/>
        </w:trPr>
        <w:tc>
          <w:tcPr>
            <w:tcW w:w="20" w:type="dxa"/>
            <w:vAlign w:val="bottom"/>
          </w:tcPr>
          <w:p>
            <w:pPr>
              <w:spacing w:after="0"/>
              <w:rPr>
                <w:sz w:val="15"/>
                <w:szCs w:val="15"/>
                <w:color w:val="auto"/>
              </w:rPr>
            </w:pPr>
          </w:p>
        </w:tc>
        <w:tc>
          <w:tcPr>
            <w:tcW w:w="10340" w:type="dxa"/>
            <w:vAlign w:val="bottom"/>
            <w:gridSpan w:val="21"/>
          </w:tcPr>
          <w:p>
            <w:pPr>
              <w:spacing w:after="0" w:line="182" w:lineRule="exact"/>
              <w:rPr>
                <w:sz w:val="20"/>
                <w:szCs w:val="20"/>
                <w:color w:val="auto"/>
              </w:rPr>
            </w:pPr>
            <w:r>
              <w:rPr>
                <w:rFonts w:ascii="Arial" w:cs="Arial" w:eastAsia="Arial" w:hAnsi="Arial"/>
                <w:sz w:val="18"/>
                <w:szCs w:val="18"/>
                <w:color w:val="0000FF"/>
              </w:rPr>
              <w:t>Special Note Regarding Forward-Looking Statements</w:t>
            </w:r>
          </w:p>
        </w:tc>
        <w:tc>
          <w:tcPr>
            <w:tcW w:w="460" w:type="dxa"/>
            <w:vAlign w:val="bottom"/>
            <w:tcBorders>
              <w:top w:val="single" w:sz="8" w:color="auto"/>
            </w:tcBorders>
            <w:gridSpan w:val="2"/>
          </w:tcPr>
          <w:p>
            <w:pPr>
              <w:jc w:val="center"/>
              <w:ind w:left="290"/>
              <w:spacing w:after="0" w:line="182" w:lineRule="exact"/>
              <w:rPr>
                <w:sz w:val="20"/>
                <w:szCs w:val="20"/>
                <w:color w:val="auto"/>
              </w:rPr>
            </w:pPr>
            <w:r>
              <w:rPr>
                <w:rFonts w:ascii="Arial" w:cs="Arial" w:eastAsia="Arial" w:hAnsi="Arial"/>
                <w:sz w:val="18"/>
                <w:szCs w:val="18"/>
                <w:color w:val="0000FF"/>
                <w:w w:val="79"/>
              </w:rPr>
              <w:t>2</w:t>
            </w:r>
          </w:p>
        </w:tc>
        <w:tc>
          <w:tcPr>
            <w:tcW w:w="3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10"/>
          </w:tcPr>
          <w:p>
            <w:pPr>
              <w:spacing w:after="0"/>
              <w:rPr>
                <w:sz w:val="20"/>
                <w:szCs w:val="20"/>
                <w:color w:val="auto"/>
              </w:rPr>
            </w:pPr>
            <w:r>
              <w:rPr>
                <w:rFonts w:ascii="Arial" w:cs="Arial" w:eastAsia="Arial" w:hAnsi="Arial"/>
                <w:sz w:val="18"/>
                <w:szCs w:val="18"/>
                <w:color w:val="0000FF"/>
              </w:rPr>
              <w:t>Risk Factor Summary</w:t>
            </w:r>
          </w:p>
        </w:tc>
        <w:tc>
          <w:tcPr>
            <w:tcW w:w="6460" w:type="dxa"/>
            <w:vAlign w:val="bottom"/>
            <w:gridSpan w:val="11"/>
          </w:tcPr>
          <w:p>
            <w:pPr>
              <w:spacing w:after="0"/>
              <w:rPr>
                <w:sz w:val="19"/>
                <w:szCs w:val="19"/>
                <w:color w:val="auto"/>
              </w:rPr>
            </w:pPr>
          </w:p>
        </w:tc>
        <w:tc>
          <w:tcPr>
            <w:tcW w:w="460" w:type="dxa"/>
            <w:vAlign w:val="bottom"/>
            <w:gridSpan w:val="2"/>
          </w:tcPr>
          <w:p>
            <w:pPr>
              <w:jc w:val="center"/>
              <w:ind w:left="290"/>
              <w:spacing w:after="0"/>
              <w:rPr>
                <w:sz w:val="20"/>
                <w:szCs w:val="20"/>
                <w:color w:val="auto"/>
              </w:rPr>
            </w:pPr>
            <w:r>
              <w:rPr>
                <w:rFonts w:ascii="Arial" w:cs="Arial" w:eastAsia="Arial" w:hAnsi="Arial"/>
                <w:sz w:val="18"/>
                <w:szCs w:val="18"/>
                <w:color w:val="0000FF"/>
                <w:w w:val="79"/>
              </w:rPr>
              <w:t>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60" w:type="dxa"/>
            <w:vAlign w:val="bottom"/>
            <w:gridSpan w:val="10"/>
          </w:tcPr>
          <w:p>
            <w:pPr>
              <w:jc w:val="center"/>
              <w:ind w:right="2940"/>
              <w:spacing w:after="0"/>
              <w:rPr>
                <w:sz w:val="20"/>
                <w:szCs w:val="20"/>
                <w:color w:val="auto"/>
              </w:rPr>
            </w:pPr>
            <w:r>
              <w:rPr>
                <w:rFonts w:ascii="Arial" w:cs="Arial" w:eastAsia="Arial" w:hAnsi="Arial"/>
                <w:sz w:val="18"/>
                <w:szCs w:val="18"/>
                <w:color w:val="0000FF"/>
                <w:w w:val="93"/>
              </w:rPr>
              <w:t>Part I - Financial Information</w:t>
            </w:r>
          </w:p>
        </w:tc>
        <w:tc>
          <w:tcPr>
            <w:tcW w:w="3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40" w:type="dxa"/>
            <w:vAlign w:val="bottom"/>
            <w:gridSpan w:val="10"/>
          </w:tcPr>
          <w:p>
            <w:pPr>
              <w:spacing w:after="0"/>
              <w:rPr>
                <w:sz w:val="20"/>
                <w:szCs w:val="20"/>
                <w:color w:val="auto"/>
              </w:rPr>
            </w:pPr>
            <w:r>
              <w:rPr>
                <w:rFonts w:ascii="Arial" w:cs="Arial" w:eastAsia="Arial" w:hAnsi="Arial"/>
                <w:sz w:val="18"/>
                <w:szCs w:val="18"/>
                <w:color w:val="0000FF"/>
              </w:rPr>
              <w:t>Financial Statements (Unaudited)</w:t>
            </w:r>
          </w:p>
        </w:tc>
        <w:tc>
          <w:tcPr>
            <w:tcW w:w="2120" w:type="dxa"/>
            <w:vAlign w:val="bottom"/>
            <w:tcBorders>
              <w:top w:val="single" w:sz="8" w:color="0000FF"/>
            </w:tcBorders>
            <w:gridSpan w:val="7"/>
          </w:tcPr>
          <w:p>
            <w:pPr>
              <w:spacing w:after="0"/>
              <w:rPr>
                <w:sz w:val="18"/>
                <w:szCs w:val="18"/>
                <w:color w:val="auto"/>
              </w:rPr>
            </w:pPr>
          </w:p>
        </w:tc>
        <w:tc>
          <w:tcPr>
            <w:tcW w:w="3440" w:type="dxa"/>
            <w:vAlign w:val="bottom"/>
            <w:gridSpan w:val="2"/>
          </w:tcPr>
          <w:p>
            <w:pPr>
              <w:spacing w:after="0"/>
              <w:rPr>
                <w:sz w:val="18"/>
                <w:szCs w:val="18"/>
                <w:color w:val="auto"/>
              </w:rPr>
            </w:pPr>
          </w:p>
        </w:tc>
        <w:tc>
          <w:tcPr>
            <w:tcW w:w="460" w:type="dxa"/>
            <w:vAlign w:val="bottom"/>
            <w:gridSpan w:val="2"/>
          </w:tcPr>
          <w:p>
            <w:pPr>
              <w:jc w:val="center"/>
              <w:ind w:left="290"/>
              <w:spacing w:after="0"/>
              <w:rPr>
                <w:sz w:val="20"/>
                <w:szCs w:val="20"/>
                <w:color w:val="auto"/>
              </w:rPr>
            </w:pPr>
            <w:r>
              <w:rPr>
                <w:rFonts w:ascii="Arial" w:cs="Arial" w:eastAsia="Arial" w:hAnsi="Arial"/>
                <w:sz w:val="18"/>
                <w:szCs w:val="18"/>
                <w:color w:val="0000FF"/>
                <w:w w:val="79"/>
              </w:rPr>
              <w:t>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40" w:type="dxa"/>
            <w:vAlign w:val="bottom"/>
            <w:gridSpan w:val="9"/>
          </w:tcPr>
          <w:p>
            <w:pPr>
              <w:spacing w:after="0"/>
              <w:rPr>
                <w:sz w:val="20"/>
                <w:szCs w:val="20"/>
                <w:color w:val="auto"/>
              </w:rPr>
            </w:pPr>
            <w:r>
              <w:rPr>
                <w:rFonts w:ascii="Arial" w:cs="Arial" w:eastAsia="Arial" w:hAnsi="Arial"/>
                <w:sz w:val="18"/>
                <w:szCs w:val="18"/>
                <w:color w:val="0000FF"/>
                <w:w w:val="87"/>
              </w:rPr>
              <w:t>Condensed Consolidated Balance Sheets</w:t>
            </w:r>
          </w:p>
        </w:tc>
        <w:tc>
          <w:tcPr>
            <w:tcW w:w="6060" w:type="dxa"/>
            <w:vAlign w:val="bottom"/>
            <w:gridSpan w:val="10"/>
          </w:tcPr>
          <w:p>
            <w:pPr>
              <w:spacing w:after="0"/>
              <w:rPr>
                <w:sz w:val="19"/>
                <w:szCs w:val="19"/>
                <w:color w:val="auto"/>
              </w:rPr>
            </w:pPr>
          </w:p>
        </w:tc>
        <w:tc>
          <w:tcPr>
            <w:tcW w:w="460" w:type="dxa"/>
            <w:vAlign w:val="bottom"/>
            <w:gridSpan w:val="2"/>
          </w:tcPr>
          <w:p>
            <w:pPr>
              <w:jc w:val="center"/>
              <w:ind w:left="290"/>
              <w:spacing w:after="0"/>
              <w:rPr>
                <w:sz w:val="20"/>
                <w:szCs w:val="20"/>
                <w:color w:val="auto"/>
              </w:rPr>
            </w:pPr>
            <w:r>
              <w:rPr>
                <w:rFonts w:ascii="Arial" w:cs="Arial" w:eastAsia="Arial" w:hAnsi="Arial"/>
                <w:sz w:val="18"/>
                <w:szCs w:val="18"/>
                <w:color w:val="0000FF"/>
                <w:w w:val="79"/>
              </w:rPr>
              <w:t>6</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w:t>
            </w:r>
          </w:p>
        </w:tc>
        <w:tc>
          <w:tcPr>
            <w:tcW w:w="460" w:type="dxa"/>
            <w:vAlign w:val="bottom"/>
            <w:gridSpan w:val="2"/>
          </w:tcPr>
          <w:p>
            <w:pPr>
              <w:jc w:val="center"/>
              <w:ind w:left="290"/>
              <w:spacing w:after="0"/>
              <w:rPr>
                <w:sz w:val="20"/>
                <w:szCs w:val="20"/>
                <w:color w:val="auto"/>
              </w:rPr>
            </w:pPr>
            <w:r>
              <w:rPr>
                <w:rFonts w:ascii="Arial" w:cs="Arial" w:eastAsia="Arial" w:hAnsi="Arial"/>
                <w:sz w:val="18"/>
                <w:szCs w:val="18"/>
                <w:color w:val="0000FF"/>
                <w:w w:val="79"/>
              </w:rPr>
              <w:t>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460" w:type="dxa"/>
            <w:vAlign w:val="bottom"/>
            <w:gridSpan w:val="2"/>
          </w:tcPr>
          <w:p>
            <w:pPr>
              <w:jc w:val="center"/>
              <w:ind w:left="290"/>
              <w:spacing w:after="0"/>
              <w:rPr>
                <w:sz w:val="20"/>
                <w:szCs w:val="20"/>
                <w:color w:val="auto"/>
              </w:rPr>
            </w:pPr>
            <w:r>
              <w:rPr>
                <w:rFonts w:ascii="Arial" w:cs="Arial" w:eastAsia="Arial" w:hAnsi="Arial"/>
                <w:sz w:val="18"/>
                <w:szCs w:val="18"/>
                <w:color w:val="0000FF"/>
                <w:w w:val="79"/>
              </w:rPr>
              <w:t>8</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460" w:type="dxa"/>
            <w:vAlign w:val="bottom"/>
            <w:gridSpan w:val="2"/>
          </w:tcPr>
          <w:p>
            <w:pPr>
              <w:jc w:val="center"/>
              <w:ind w:left="290"/>
              <w:spacing w:after="0"/>
              <w:rPr>
                <w:sz w:val="20"/>
                <w:szCs w:val="20"/>
                <w:color w:val="auto"/>
              </w:rPr>
            </w:pPr>
            <w:r>
              <w:rPr>
                <w:rFonts w:ascii="Arial" w:cs="Arial" w:eastAsia="Arial" w:hAnsi="Arial"/>
                <w:sz w:val="18"/>
                <w:szCs w:val="18"/>
                <w:color w:val="0000FF"/>
                <w:w w:val="79"/>
              </w:rPr>
              <w:t>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gridSpan w:val="13"/>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640" w:type="dxa"/>
            <w:vAlign w:val="bottom"/>
            <w:gridSpan w:val="2"/>
          </w:tcPr>
          <w:p>
            <w:pPr>
              <w:spacing w:after="0"/>
              <w:rPr>
                <w:sz w:val="18"/>
                <w:szCs w:val="18"/>
                <w:color w:val="auto"/>
              </w:rPr>
            </w:pPr>
          </w:p>
        </w:tc>
        <w:tc>
          <w:tcPr>
            <w:tcW w:w="4640" w:type="dxa"/>
            <w:vAlign w:val="bottom"/>
            <w:gridSpan w:val="4"/>
          </w:tcPr>
          <w:p>
            <w:pPr>
              <w:spacing w:after="0"/>
              <w:rPr>
                <w:sz w:val="18"/>
                <w:szCs w:val="18"/>
                <w:color w:val="auto"/>
              </w:rPr>
            </w:pPr>
          </w:p>
        </w:tc>
        <w:tc>
          <w:tcPr>
            <w:tcW w:w="460" w:type="dxa"/>
            <w:vAlign w:val="bottom"/>
            <w:gridSpan w:val="2"/>
          </w:tcPr>
          <w:p>
            <w:pPr>
              <w:jc w:val="center"/>
              <w:ind w:left="210"/>
              <w:spacing w:after="0"/>
              <w:rPr>
                <w:sz w:val="20"/>
                <w:szCs w:val="20"/>
                <w:color w:val="auto"/>
              </w:rPr>
            </w:pPr>
            <w:r>
              <w:rPr>
                <w:rFonts w:ascii="Arial" w:cs="Arial" w:eastAsia="Arial" w:hAnsi="Arial"/>
                <w:sz w:val="18"/>
                <w:szCs w:val="18"/>
                <w:color w:val="0000FF"/>
                <w:w w:val="79"/>
              </w:rPr>
              <w:t>11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0" w:type="dxa"/>
            <w:vAlign w:val="bottom"/>
            <w:gridSpan w:val="14"/>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000" w:type="dxa"/>
            <w:vAlign w:val="bottom"/>
            <w:gridSpan w:val="5"/>
          </w:tcPr>
          <w:p>
            <w:pPr>
              <w:spacing w:after="0"/>
              <w:rPr>
                <w:sz w:val="18"/>
                <w:szCs w:val="18"/>
                <w:color w:val="auto"/>
              </w:rPr>
            </w:pPr>
          </w:p>
        </w:tc>
        <w:tc>
          <w:tcPr>
            <w:tcW w:w="460" w:type="dxa"/>
            <w:vAlign w:val="bottom"/>
            <w:gridSpan w:val="2"/>
          </w:tcPr>
          <w:p>
            <w:pPr>
              <w:jc w:val="center"/>
              <w:ind w:left="210"/>
              <w:spacing w:after="0"/>
              <w:rPr>
                <w:sz w:val="20"/>
                <w:szCs w:val="20"/>
                <w:color w:val="auto"/>
              </w:rPr>
            </w:pPr>
            <w:r>
              <w:rPr>
                <w:rFonts w:ascii="Arial" w:cs="Arial" w:eastAsia="Arial" w:hAnsi="Arial"/>
                <w:sz w:val="18"/>
                <w:szCs w:val="18"/>
                <w:color w:val="0000FF"/>
                <w:w w:val="79"/>
              </w:rPr>
              <w:t>11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8"/>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gridSpan w:val="2"/>
          </w:tcPr>
          <w:p>
            <w:pPr>
              <w:jc w:val="center"/>
              <w:ind w:right="340"/>
              <w:spacing w:after="0"/>
              <w:rPr>
                <w:sz w:val="20"/>
                <w:szCs w:val="20"/>
                <w:color w:val="auto"/>
              </w:rPr>
            </w:pPr>
            <w:r>
              <w:rPr>
                <w:rFonts w:ascii="Arial" w:cs="Arial" w:eastAsia="Arial" w:hAnsi="Arial"/>
                <w:sz w:val="15"/>
                <w:szCs w:val="15"/>
                <w:color w:val="0000FF"/>
                <w:w w:val="71"/>
              </w:rPr>
              <w:t>22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5"/>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3"/>
          </w:tcPr>
          <w:p>
            <w:pPr>
              <w:spacing w:after="0"/>
              <w:rPr>
                <w:sz w:val="18"/>
                <w:szCs w:val="18"/>
                <w:color w:val="auto"/>
              </w:rPr>
            </w:pP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Arial" w:cs="Arial" w:eastAsia="Arial" w:hAnsi="Arial"/>
                <w:sz w:val="15"/>
                <w:szCs w:val="15"/>
                <w:color w:val="0000FF"/>
                <w:w w:val="71"/>
              </w:rPr>
              <w:t>32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5"/>
          </w:tcPr>
          <w:p>
            <w:pPr>
              <w:spacing w:after="0"/>
              <w:rPr>
                <w:sz w:val="20"/>
                <w:szCs w:val="20"/>
                <w:color w:val="auto"/>
              </w:rPr>
            </w:pPr>
            <w:r>
              <w:rPr>
                <w:rFonts w:ascii="Arial" w:cs="Arial" w:eastAsia="Arial" w:hAnsi="Arial"/>
                <w:sz w:val="18"/>
                <w:szCs w:val="18"/>
                <w:color w:val="0000FF"/>
              </w:rPr>
              <w:t>Controls and Procedures</w:t>
            </w:r>
          </w:p>
        </w:tc>
        <w:tc>
          <w:tcPr>
            <w:tcW w:w="464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Arial" w:cs="Arial" w:eastAsia="Arial" w:hAnsi="Arial"/>
                <w:sz w:val="15"/>
                <w:szCs w:val="15"/>
                <w:color w:val="0000FF"/>
                <w:w w:val="71"/>
              </w:rPr>
              <w:t>33</w:t>
            </w:r>
          </w:p>
        </w:tc>
        <w:tc>
          <w:tcPr>
            <w:tcW w:w="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560" w:type="dxa"/>
            <w:vAlign w:val="bottom"/>
            <w:gridSpan w:val="9"/>
          </w:tcPr>
          <w:p>
            <w:pPr>
              <w:jc w:val="center"/>
              <w:ind w:right="3440"/>
              <w:spacing w:after="0"/>
              <w:rPr>
                <w:sz w:val="20"/>
                <w:szCs w:val="20"/>
                <w:color w:val="auto"/>
              </w:rPr>
            </w:pPr>
            <w:r>
              <w:rPr>
                <w:rFonts w:ascii="Arial" w:cs="Arial" w:eastAsia="Arial" w:hAnsi="Arial"/>
                <w:sz w:val="18"/>
                <w:szCs w:val="18"/>
                <w:color w:val="0000FF"/>
                <w:w w:val="94"/>
              </w:rPr>
              <w:t>Part II - Other Information</w:t>
            </w:r>
          </w:p>
        </w:tc>
        <w:tc>
          <w:tcPr>
            <w:tcW w:w="38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sz w:val="20"/>
                <w:szCs w:val="20"/>
                <w:color w:val="auto"/>
              </w:rPr>
            </w:pPr>
            <w:r>
              <w:rPr>
                <w:rFonts w:ascii="Arial" w:cs="Arial" w:eastAsia="Arial" w:hAnsi="Arial"/>
                <w:sz w:val="18"/>
                <w:szCs w:val="18"/>
                <w:color w:val="0000FF"/>
                <w:w w:val="85"/>
              </w:rPr>
              <w:t>Legal Proceedings</w:t>
            </w:r>
          </w:p>
        </w:tc>
        <w:tc>
          <w:tcPr>
            <w:tcW w:w="2220" w:type="dxa"/>
            <w:vAlign w:val="bottom"/>
            <w:gridSpan w:val="7"/>
          </w:tcPr>
          <w:p>
            <w:pPr>
              <w:spacing w:after="0"/>
              <w:rPr>
                <w:sz w:val="18"/>
                <w:szCs w:val="18"/>
                <w:color w:val="auto"/>
              </w:rPr>
            </w:pPr>
          </w:p>
        </w:tc>
        <w:tc>
          <w:tcPr>
            <w:tcW w:w="1920" w:type="dxa"/>
            <w:vAlign w:val="bottom"/>
            <w:tcBorders>
              <w:top w:val="single" w:sz="8" w:color="0000FF"/>
            </w:tcBorders>
            <w:gridSpan w:val="5"/>
          </w:tcPr>
          <w:p>
            <w:pPr>
              <w:spacing w:after="0"/>
              <w:rPr>
                <w:sz w:val="18"/>
                <w:szCs w:val="18"/>
                <w:color w:val="auto"/>
              </w:rPr>
            </w:pPr>
          </w:p>
        </w:tc>
        <w:tc>
          <w:tcPr>
            <w:tcW w:w="354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Arial" w:cs="Arial" w:eastAsia="Arial" w:hAnsi="Arial"/>
                <w:sz w:val="15"/>
                <w:szCs w:val="15"/>
                <w:color w:val="0000FF"/>
                <w:w w:val="71"/>
              </w:rPr>
              <w:t>34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680" w:type="dxa"/>
            <w:vAlign w:val="bottom"/>
            <w:gridSpan w:val="15"/>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Arial" w:cs="Arial" w:eastAsia="Arial" w:hAnsi="Arial"/>
                <w:sz w:val="15"/>
                <w:szCs w:val="15"/>
                <w:color w:val="0000FF"/>
                <w:w w:val="71"/>
              </w:rPr>
              <w:t>35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5"/>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640" w:type="dxa"/>
            <w:vAlign w:val="bottom"/>
            <w:gridSpan w:val="4"/>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gridSpan w:val="2"/>
          </w:tcPr>
          <w:p>
            <w:pPr>
              <w:jc w:val="center"/>
              <w:ind w:right="340"/>
              <w:spacing w:after="0"/>
              <w:rPr>
                <w:sz w:val="20"/>
                <w:szCs w:val="20"/>
                <w:color w:val="auto"/>
              </w:rPr>
            </w:pPr>
            <w:r>
              <w:rPr>
                <w:rFonts w:ascii="Arial" w:cs="Arial" w:eastAsia="Arial" w:hAnsi="Arial"/>
                <w:sz w:val="15"/>
                <w:szCs w:val="15"/>
                <w:color w:val="0000FF"/>
                <w:w w:val="71"/>
              </w:rPr>
              <w:t>64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464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Arial" w:cs="Arial" w:eastAsia="Arial" w:hAnsi="Arial"/>
                <w:sz w:val="15"/>
                <w:szCs w:val="15"/>
                <w:color w:val="0000FF"/>
                <w:w w:val="71"/>
              </w:rPr>
              <w:t>64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Pr>
          <w:p>
            <w:pPr>
              <w:spacing w:after="0"/>
              <w:rPr>
                <w:sz w:val="18"/>
                <w:szCs w:val="18"/>
                <w:color w:val="auto"/>
              </w:rPr>
            </w:pPr>
          </w:p>
        </w:tc>
        <w:tc>
          <w:tcPr>
            <w:tcW w:w="668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Arial" w:cs="Arial" w:eastAsia="Arial" w:hAnsi="Arial"/>
                <w:sz w:val="15"/>
                <w:szCs w:val="15"/>
                <w:color w:val="0000FF"/>
                <w:w w:val="71"/>
              </w:rPr>
              <w:t>65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460" w:type="dxa"/>
            <w:vAlign w:val="bottom"/>
          </w:tcPr>
          <w:p>
            <w:pPr>
              <w:spacing w:after="0"/>
              <w:rPr>
                <w:sz w:val="19"/>
                <w:szCs w:val="19"/>
                <w:color w:val="auto"/>
              </w:rPr>
            </w:pPr>
          </w:p>
        </w:tc>
        <w:tc>
          <w:tcPr>
            <w:tcW w:w="7220" w:type="dxa"/>
            <w:vAlign w:val="bottom"/>
            <w:gridSpan w:val="14"/>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gridSpan w:val="2"/>
          </w:tcPr>
          <w:p>
            <w:pPr>
              <w:jc w:val="center"/>
              <w:ind w:right="340"/>
              <w:spacing w:after="0"/>
              <w:rPr>
                <w:sz w:val="20"/>
                <w:szCs w:val="20"/>
                <w:color w:val="auto"/>
              </w:rPr>
            </w:pPr>
            <w:r>
              <w:rPr>
                <w:rFonts w:ascii="Arial" w:cs="Arial" w:eastAsia="Arial" w:hAnsi="Arial"/>
                <w:sz w:val="15"/>
                <w:szCs w:val="15"/>
                <w:color w:val="0000FF"/>
                <w:w w:val="71"/>
              </w:rPr>
              <w:t>65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680" w:type="dxa"/>
            <w:vAlign w:val="bottom"/>
            <w:gridSpan w:val="1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7680" w:type="dxa"/>
            <w:vAlign w:val="bottom"/>
            <w:gridSpan w:val="15"/>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Arial" w:cs="Arial" w:eastAsia="Arial" w:hAnsi="Arial"/>
                <w:sz w:val="15"/>
                <w:szCs w:val="15"/>
                <w:color w:val="0000FF"/>
                <w:w w:val="71"/>
              </w:rPr>
              <w:t>66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Arial" w:cs="Arial" w:eastAsia="Arial" w:hAnsi="Arial"/>
                <w:sz w:val="15"/>
                <w:szCs w:val="15"/>
                <w:color w:val="0000FF"/>
                <w:w w:val="71"/>
              </w:rPr>
              <w:t>67</w:t>
            </w:r>
          </w:p>
        </w:tc>
        <w:tc>
          <w:tcPr>
            <w:tcW w:w="40" w:type="dxa"/>
            <w:vAlign w:val="bottom"/>
          </w:tcPr>
          <w:p>
            <w:pPr>
              <w:spacing w:after="0"/>
              <w:rPr>
                <w:sz w:val="18"/>
                <w:szCs w:val="18"/>
                <w:color w:val="auto"/>
              </w:rPr>
            </w:pPr>
          </w:p>
        </w:tc>
      </w:tr>
      <w:tr>
        <w:trPr>
          <w:trHeight w:val="939"/>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gridSpan w:val="16"/>
          </w:tcPr>
          <w:p>
            <w:pPr>
              <w:ind w:left="43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3"/>
        </w:trPr>
        <w:tc>
          <w:tcPr>
            <w:tcW w:w="20" w:type="dxa"/>
            <w:vAlign w:val="bottom"/>
            <w:tcBorders>
              <w:bottom w:val="single" w:sz="8" w:color="9A9A9A"/>
            </w:tcBorders>
          </w:tcPr>
          <w:p>
            <w:pPr>
              <w:spacing w:after="0"/>
              <w:rPr>
                <w:sz w:val="22"/>
                <w:szCs w:val="22"/>
                <w:color w:val="auto"/>
              </w:rPr>
            </w:pPr>
          </w:p>
        </w:tc>
        <w:tc>
          <w:tcPr>
            <w:tcW w:w="76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5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5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900" w:type="dxa"/>
            <w:vAlign w:val="bottom"/>
            <w:tcBorders>
              <w:bottom w:val="single" w:sz="8" w:color="9A9A9A"/>
            </w:tcBorders>
          </w:tcPr>
          <w:p>
            <w:pPr>
              <w:spacing w:after="0"/>
              <w:rPr>
                <w:sz w:val="22"/>
                <w:szCs w:val="22"/>
                <w:color w:val="auto"/>
              </w:rPr>
            </w:pPr>
          </w:p>
        </w:tc>
        <w:tc>
          <w:tcPr>
            <w:tcW w:w="254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“projects,” “plans,” “targets,” and variations of such words and similar expressions are intended to identify forward-looking statements. Forward-looking statements in this Quarterly Report may include, for example, statements about:</w:t>
      </w:r>
    </w:p>
    <w:p>
      <w:pPr>
        <w:spacing w:after="0" w:line="197"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including our ability to scale new neighbor growth, our ability to grow engagement by our existing neighbor base and our ability to increase monetization of our platform;</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and monetization efforts;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political, economic, and macroeconomic climate, whether in the advertising industry in general, or among specific types of advertisers or within particular geographies, including but not limited to the impacts related to recent turmoil in the global banking system, labor shortages, supply chain disruptions, a potential recession, inflation, and rising interest rates;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expand our business operations abroad by opening new and expanding within existing neighborhoods outside of the United States;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invest in, and the ultimate success of, technologies aimed at enhancing our business solutions and delivering additional value to our platform;</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sources of capital to finance operations and growth;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strategic relationships with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on the New York Stock Exchange;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 both within and outside of the United States;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and complexities with compliance related to such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develop and maintain effective internal controls;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as a result of interruptions, delays, or failures resulting from earthquakes, fires, floods, adverse weather conditions, other natural disasters, power loss, terrorism, pandemics, geopolitical conflict (including the war in Ukraine), other physical security threats, cyber-attacks, or other catastrophic events;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in Part II, Item 1A, “Risk Factors” in this Quarterly Report.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term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20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used in this Quarterly Report, the terms “Nextdoor,” “we,” “us,” “Registrant,”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spacing w:after="0" w:line="116" w:lineRule="exact"/>
        <w:rPr>
          <w:sz w:val="20"/>
          <w:szCs w:val="20"/>
          <w:color w:val="auto"/>
        </w:rPr>
      </w:pPr>
    </w:p>
    <w:p>
      <w:pPr>
        <w:ind w:left="660" w:hanging="328"/>
        <w:spacing w:after="0" w:line="32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51"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global economic and financial conditions could harm our business and financial condition.</w:t>
      </w:r>
    </w:p>
    <w:p>
      <w:pPr>
        <w:spacing w:after="0" w:line="238"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highly competitive. Competition presents an ongoing threat to the success of our business.</w:t>
      </w:r>
    </w:p>
    <w:p>
      <w:pPr>
        <w:spacing w:after="0" w:line="238" w:lineRule="exact"/>
        <w:rPr>
          <w:rFonts w:ascii="Arial" w:cs="Arial" w:eastAsia="Arial" w:hAnsi="Arial"/>
          <w:sz w:val="18"/>
          <w:szCs w:val="18"/>
          <w:color w:val="auto"/>
        </w:rPr>
      </w:pPr>
    </w:p>
    <w:p>
      <w:pPr>
        <w:jc w:val="both"/>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16" w:lineRule="exact"/>
        <w:rPr>
          <w:rFonts w:ascii="Arial" w:cs="Arial" w:eastAsia="Arial" w:hAnsi="Arial"/>
          <w:sz w:val="18"/>
          <w:szCs w:val="18"/>
          <w:color w:val="auto"/>
        </w:rPr>
      </w:pPr>
    </w:p>
    <w:p>
      <w:pPr>
        <w:ind w:left="660" w:hanging="328"/>
        <w:spacing w:after="0" w:line="32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151"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need additional capital in the future, it may not be available on favorable terms, if at all.</w:t>
      </w:r>
    </w:p>
    <w:p>
      <w:pPr>
        <w:spacing w:after="0" w:line="238"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208"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dependent on third-party software and service providers, including the Google Ad Manager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99" w:lineRule="exact"/>
        <w:rPr>
          <w:rFonts w:ascii="Arial" w:cs="Arial" w:eastAsia="Arial" w:hAnsi="Arial"/>
          <w:sz w:val="17"/>
          <w:szCs w:val="17"/>
          <w:color w:val="auto"/>
        </w:rPr>
      </w:pPr>
    </w:p>
    <w:p>
      <w:pPr>
        <w:jc w:val="both"/>
        <w:ind w:left="660" w:hanging="328"/>
        <w:spacing w:after="0" w:line="24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208"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Technologies have been developed that can block the display of advertisements on the Nextdoor platform, which could adversely impact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market opportunities and key metric estimates could prove to be inaccurate, and any real or perceived inaccuracies may harm our reputation and negatively affect our business.</w:t>
      </w:r>
    </w:p>
    <w:p>
      <w:pPr>
        <w:spacing w:after="0" w:line="197" w:lineRule="exact"/>
        <w:rPr>
          <w:rFonts w:ascii="Arial" w:cs="Arial" w:eastAsia="Arial" w:hAnsi="Arial"/>
          <w:sz w:val="18"/>
          <w:szCs w:val="18"/>
          <w:color w:val="auto"/>
        </w:rPr>
      </w:pPr>
    </w:p>
    <w:p>
      <w:pPr>
        <w:ind w:left="660" w:hanging="328"/>
        <w:spacing w:after="0" w:line="29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have greater than anticipated tax liabilities, which could harm our business, revenue and financial results.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liable as a result of content or information that is published or made available on our platform.</w:t>
      </w:r>
    </w:p>
    <w:p>
      <w:pPr>
        <w:spacing w:after="0" w:line="238" w:lineRule="exact"/>
        <w:rPr>
          <w:rFonts w:ascii="Arial" w:cs="Arial" w:eastAsia="Arial" w:hAnsi="Arial"/>
          <w:sz w:val="18"/>
          <w:szCs w:val="18"/>
          <w:color w:val="auto"/>
        </w:rPr>
      </w:pPr>
    </w:p>
    <w:p>
      <w:pPr>
        <w:ind w:left="660" w:hanging="328"/>
        <w:spacing w:after="0" w:line="29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subject to complex and evolving U.S. and foreign laws, regulations, and industry standards, many of which are subject to change and uncertain interpretations, which uncertainty could harm our business, operating results, and financial conditions.</w:t>
      </w:r>
    </w:p>
    <w:p>
      <w:pPr>
        <w:spacing w:after="0" w:line="160"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be involved in legal disputes that are expensive and time consuming, and, if resolved adversely, could harm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effective systems of internal controls and disclosure controls could have a material adverse effect on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brands and other intangible assets may be diminished, and our business, operating results, and financial condition may be adversely affected.</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parties may claim that our platform infringes their intellectual property rights and this may create liability for us or otherwise adversely affect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“open source” software could subject us to possible litigation or could prevent us from offering products that include open source software or require us to obtain licenses on unfavorable terms.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license technology from third parties, and our inability to maintain those licenses could harm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Class A common stock has been and may continue to be volatile.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may adversely affect the trading market for our Class A common stock.</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intend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As of June 30,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55,236</w:t>
            </w:r>
          </w:p>
        </w:tc>
        <w:tc>
          <w:tcPr>
            <w:tcW w:w="0" w:type="dxa"/>
            <w:vAlign w:val="bottom"/>
          </w:tcPr>
          <w:p>
            <w:pPr>
              <w:spacing w:after="0"/>
              <w:rPr>
                <w:sz w:val="1"/>
                <w:szCs w:val="1"/>
                <w:color w:val="auto"/>
              </w:rPr>
            </w:pP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477,322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528,067</w:t>
            </w: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Accounts receivable, net of allowance of $395 and $422 as of June 30, 2023 and December 31, 2022,</w:t>
            </w:r>
          </w:p>
        </w:tc>
        <w:tc>
          <w:tcPr>
            <w:tcW w:w="2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29,770</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625,258</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Restricted cash, non-current</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52,555</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37"/>
        </w:trPr>
        <w:tc>
          <w:tcPr>
            <w:tcW w:w="77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684,037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699,562</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22,362</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34,663</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Other liabilities, non-current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88,494</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40"/>
              <w:spacing w:after="0" w:line="176" w:lineRule="exact"/>
              <w:rPr>
                <w:sz w:val="20"/>
                <w:szCs w:val="20"/>
                <w:color w:val="auto"/>
              </w:rPr>
            </w:pPr>
            <w:r>
              <w:rPr>
                <w:rFonts w:ascii="Arial" w:cs="Arial" w:eastAsia="Arial" w:hAnsi="Arial"/>
                <w:sz w:val="18"/>
                <w:szCs w:val="18"/>
                <w:color w:val="auto"/>
                <w:w w:val="92"/>
              </w:rPr>
              <w:t>Class A common stock, $0.0001 par value; 2,500,000 shares authorized, 168,422 and 153,693 shares</w:t>
            </w:r>
          </w:p>
        </w:tc>
        <w:tc>
          <w:tcPr>
            <w:tcW w:w="2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rPr>
                <w:sz w:val="20"/>
                <w:szCs w:val="20"/>
                <w:color w:val="auto"/>
              </w:rPr>
            </w:pPr>
            <w:r>
              <w:rPr>
                <w:rFonts w:ascii="Arial" w:cs="Arial" w:eastAsia="Arial" w:hAnsi="Arial"/>
                <w:sz w:val="18"/>
                <w:szCs w:val="18"/>
                <w:color w:val="auto"/>
              </w:rPr>
              <w:t>issued and outstanding as of June 30, 2023 and December 31, 2022, respectively</w:t>
            </w:r>
          </w:p>
        </w:tc>
        <w:tc>
          <w:tcPr>
            <w:tcW w:w="2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7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4"/>
              </w:rPr>
              <w:t>Class B common stock, $0.0001 par value; 500,000 shares authorized, 209,194 and 218,029 shares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and outstanding as of June 30, 2023 and December 31, 2022, respectively</w:t>
            </w: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1,272,676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1,231,482</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(618,255)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611,068</w:t>
            </w:r>
          </w:p>
        </w:tc>
        <w:tc>
          <w:tcPr>
            <w:tcW w:w="0" w:type="dxa"/>
            <w:vAlign w:val="bottom"/>
          </w:tcPr>
          <w:p>
            <w:pPr>
              <w:spacing w:after="0"/>
              <w:rPr>
                <w:sz w:val="1"/>
                <w:szCs w:val="1"/>
                <w:color w:val="auto"/>
              </w:rPr>
            </w:pPr>
          </w:p>
        </w:tc>
      </w:tr>
      <w:tr>
        <w:trPr>
          <w:trHeight w:val="237"/>
        </w:trPr>
        <w:tc>
          <w:tcPr>
            <w:tcW w:w="778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684,037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699,562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105,541</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61,659</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63,688</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32,433</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92,796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177,022</w:t>
            </w:r>
          </w:p>
        </w:tc>
        <w:tc>
          <w:tcPr>
            <w:tcW w:w="0" w:type="dxa"/>
            <w:vAlign w:val="bottom"/>
          </w:tcPr>
          <w:p>
            <w:pPr>
              <w:spacing w:after="0"/>
              <w:rPr>
                <w:sz w:val="1"/>
                <w:szCs w:val="1"/>
                <w:color w:val="auto"/>
              </w:rPr>
            </w:pPr>
          </w:p>
        </w:tc>
      </w:tr>
      <w:tr>
        <w:trPr>
          <w:trHeight w:val="230"/>
        </w:trPr>
        <w:tc>
          <w:tcPr>
            <w:tcW w:w="5520" w:type="dxa"/>
            <w:vAlign w:val="bottom"/>
          </w:tcPr>
          <w:p>
            <w:pPr>
              <w:ind w:left="44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(41,442)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(80,254)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(71,481)</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Net loss per share attributable to Class A and Class B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20" w:type="dxa"/>
            <w:vAlign w:val="bottom"/>
            <w:vMerge w:val="continue"/>
          </w:tcPr>
          <w:p>
            <w:pPr>
              <w:spacing w:after="0"/>
              <w:rPr>
                <w:sz w:val="11"/>
                <w:szCs w:val="11"/>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40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4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4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3" w:lineRule="exact"/>
              <w:rPr>
                <w:sz w:val="20"/>
                <w:szCs w:val="20"/>
                <w:color w:val="auto"/>
              </w:rPr>
            </w:pPr>
            <w:r>
              <w:rPr>
                <w:rFonts w:ascii="Arial" w:cs="Arial" w:eastAsia="Arial" w:hAnsi="Arial"/>
                <w:sz w:val="18"/>
                <w:szCs w:val="18"/>
                <w:color w:val="auto"/>
              </w:rPr>
              <w:t>stockholders, basic and diluted</w:t>
            </w:r>
          </w:p>
        </w:tc>
        <w:tc>
          <w:tcPr>
            <w:tcW w:w="3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shares used in computing net loss per share attributable</w:t>
            </w: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375,896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385,127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374,469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383,512</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Class A and Class B common stockholders, basic and diluted</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(69,791)</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5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0"/>
              </w:rPr>
              <w:t>Change in unrealized loss on available-for-sale marketable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w:t>
            </w:r>
          </w:p>
        </w:tc>
      </w:tr>
      <w:tr>
        <w:trPr>
          <w:trHeight w:val="223"/>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comprehensive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30"/>
        </w:trPr>
        <w:tc>
          <w:tcPr>
            <w:tcW w:w="5240" w:type="dxa"/>
            <w:vAlign w:val="bottom"/>
          </w:tcPr>
          <w:p>
            <w:pPr>
              <w:ind w:left="46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(36,979)</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(38,287)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(69,185)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(72,747)</w:t>
            </w:r>
          </w:p>
        </w:tc>
      </w:tr>
      <w:tr>
        <w:trPr>
          <w:trHeight w:val="27"/>
        </w:trPr>
        <w:tc>
          <w:tcPr>
            <w:tcW w:w="524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9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5"/>
              </w:rPr>
              <w:t>Three Months Ended June 30, 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9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6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A Common Stock</w:t>
            </w:r>
          </w:p>
        </w:tc>
        <w:tc>
          <w:tcPr>
            <w:tcW w:w="80" w:type="dxa"/>
            <w:vAlign w:val="bottom"/>
          </w:tcPr>
          <w:p>
            <w:pPr>
              <w:spacing w:after="0"/>
              <w:rPr>
                <w:sz w:val="12"/>
                <w:szCs w:val="12"/>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Class B Common Stock</w:t>
            </w: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20"/>
              <w:spacing w:after="0" w:line="13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60" w:type="dxa"/>
            <w:vAlign w:val="bottom"/>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0"/>
                <w:szCs w:val="10"/>
                <w:color w:val="auto"/>
              </w:rPr>
            </w:pPr>
          </w:p>
        </w:tc>
        <w:tc>
          <w:tcPr>
            <w:tcW w:w="98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right"/>
              <w:ind w:right="42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7"/>
                <w:szCs w:val="17"/>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Stockholders’Equity</w:t>
            </w: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March 31, 2023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215,596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w w:val="99"/>
              </w:rPr>
              <w:t>$1,249,043</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(651,971)</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596,424</w:t>
            </w:r>
          </w:p>
        </w:tc>
        <w:tc>
          <w:tcPr>
            <w:tcW w:w="0" w:type="dxa"/>
            <w:vAlign w:val="bottom"/>
          </w:tcPr>
          <w:p>
            <w:pPr>
              <w:spacing w:after="0"/>
              <w:rPr>
                <w:sz w:val="1"/>
                <w:szCs w:val="1"/>
                <w:color w:val="auto"/>
              </w:rPr>
            </w:pPr>
          </w:p>
        </w:tc>
      </w:tr>
      <w:tr>
        <w:trPr>
          <w:trHeight w:val="213"/>
        </w:trPr>
        <w:tc>
          <w:tcPr>
            <w:tcW w:w="3260" w:type="dxa"/>
            <w:vAlign w:val="bottom"/>
          </w:tcPr>
          <w:p>
            <w:pPr>
              <w:ind w:left="240"/>
              <w:spacing w:after="0"/>
              <w:rPr>
                <w:sz w:val="20"/>
                <w:szCs w:val="20"/>
                <w:color w:val="auto"/>
              </w:rPr>
            </w:pPr>
            <w:r>
              <w:rPr>
                <w:rFonts w:ascii="Arial" w:cs="Arial" w:eastAsia="Arial" w:hAnsi="Arial"/>
                <w:sz w:val="16"/>
                <w:szCs w:val="16"/>
                <w:color w:val="auto"/>
              </w:rPr>
              <w:t>Release of restricted stock units</w:t>
            </w:r>
          </w:p>
        </w:tc>
        <w:tc>
          <w:tcPr>
            <w:tcW w:w="760" w:type="dxa"/>
            <w:vAlign w:val="bottom"/>
          </w:tcPr>
          <w:p>
            <w:pPr>
              <w:jc w:val="right"/>
              <w:spacing w:after="0"/>
              <w:rPr>
                <w:sz w:val="20"/>
                <w:szCs w:val="20"/>
                <w:color w:val="auto"/>
              </w:rPr>
            </w:pPr>
            <w:r>
              <w:rPr>
                <w:rFonts w:ascii="Arial" w:cs="Arial" w:eastAsia="Arial" w:hAnsi="Arial"/>
                <w:sz w:val="16"/>
                <w:szCs w:val="16"/>
                <w:color w:val="auto"/>
              </w:rPr>
              <w:t>2,118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26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3"/>
              </w:rPr>
              <w:t>Conversion from Class B to Class A common</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(6,402)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60" w:type="dxa"/>
            <w:vAlign w:val="bottom"/>
          </w:tcPr>
          <w:p>
            <w:pPr>
              <w:ind w:left="240"/>
              <w:spacing w:after="0" w:line="166" w:lineRule="exact"/>
              <w:rPr>
                <w:sz w:val="20"/>
                <w:szCs w:val="20"/>
                <w:color w:val="auto"/>
              </w:rPr>
            </w:pPr>
            <w:r>
              <w:rPr>
                <w:rFonts w:ascii="Arial" w:cs="Arial" w:eastAsia="Arial" w:hAnsi="Arial"/>
                <w:sz w:val="16"/>
                <w:szCs w:val="16"/>
                <w:color w:val="auto"/>
                <w:w w:val="96"/>
              </w:rPr>
              <w:t>Issuance of common stock upon exercise of</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2,026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09"/>
        </w:trPr>
        <w:tc>
          <w:tcPr>
            <w:tcW w:w="3260" w:type="dxa"/>
            <w:vAlign w:val="bottom"/>
          </w:tcPr>
          <w:p>
            <w:pPr>
              <w:ind w:left="400"/>
              <w:spacing w:after="0"/>
              <w:rPr>
                <w:sz w:val="20"/>
                <w:szCs w:val="20"/>
                <w:color w:val="auto"/>
              </w:rPr>
            </w:pPr>
            <w:r>
              <w:rPr>
                <w:rFonts w:ascii="Arial" w:cs="Arial" w:eastAsia="Arial" w:hAnsi="Arial"/>
                <w:sz w:val="16"/>
                <w:szCs w:val="16"/>
                <w:color w:val="auto"/>
              </w:rPr>
              <w:t>stock options</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Vesting of early exercised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326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
              <w:spacing w:after="0"/>
              <w:rPr>
                <w:sz w:val="20"/>
                <w:szCs w:val="20"/>
                <w:color w:val="auto"/>
              </w:rPr>
            </w:pPr>
            <w:r>
              <w:rPr>
                <w:rFonts w:ascii="Arial" w:cs="Arial" w:eastAsia="Arial" w:hAnsi="Arial"/>
                <w:sz w:val="16"/>
                <w:szCs w:val="16"/>
                <w:color w:val="auto"/>
              </w:rPr>
              <w:t>21,576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21,576</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16"/>
        </w:trPr>
        <w:tc>
          <w:tcPr>
            <w:tcW w:w="3260" w:type="dxa"/>
            <w:vAlign w:val="bottom"/>
          </w:tcPr>
          <w:p>
            <w:pPr>
              <w:ind w:left="24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(35,403)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(35,403)</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as of June 30, 2023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168,422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209,194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1,272,676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(687,374)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583,078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Three Months Ended June 30, 2022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9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A Common Stock</w:t>
            </w:r>
          </w:p>
        </w:tc>
        <w:tc>
          <w:tcPr>
            <w:tcW w:w="80" w:type="dxa"/>
            <w:vAlign w:val="bottom"/>
          </w:tcPr>
          <w:p>
            <w:pPr>
              <w:spacing w:after="0"/>
              <w:rPr>
                <w:sz w:val="12"/>
                <w:szCs w:val="12"/>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Class B Common Stock</w:t>
            </w: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26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9"/>
                <w:szCs w:val="9"/>
                <w:color w:val="auto"/>
              </w:rPr>
            </w:pPr>
          </w:p>
        </w:tc>
        <w:tc>
          <w:tcPr>
            <w:tcW w:w="98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9"/>
                <w:szCs w:val="9"/>
                <w:color w:val="auto"/>
              </w:rPr>
            </w:pPr>
          </w:p>
        </w:tc>
        <w:tc>
          <w:tcPr>
            <w:tcW w:w="860" w:type="dxa"/>
            <w:vAlign w:val="bottom"/>
            <w:gridSpan w:val="2"/>
            <w:vMerge w:val="restart"/>
          </w:tcPr>
          <w:p>
            <w:pPr>
              <w:ind w:left="20"/>
              <w:spacing w:after="0" w:line="125"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ind w:right="42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Stockholders’Equity</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March 31, 2022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307,228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w w:val="99"/>
              </w:rPr>
              <w:t>$1,242,955</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(513,287)</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727,666</w:t>
            </w:r>
          </w:p>
        </w:tc>
        <w:tc>
          <w:tcPr>
            <w:tcW w:w="0" w:type="dxa"/>
            <w:vAlign w:val="bottom"/>
          </w:tcPr>
          <w:p>
            <w:pPr>
              <w:spacing w:after="0"/>
              <w:rPr>
                <w:sz w:val="1"/>
                <w:szCs w:val="1"/>
                <w:color w:val="auto"/>
              </w:rPr>
            </w:pPr>
          </w:p>
        </w:tc>
      </w:tr>
      <w:tr>
        <w:trPr>
          <w:trHeight w:val="229"/>
        </w:trPr>
        <w:tc>
          <w:tcPr>
            <w:tcW w:w="3260" w:type="dxa"/>
            <w:vAlign w:val="bottom"/>
          </w:tcPr>
          <w:p>
            <w:pPr>
              <w:ind w:left="240"/>
              <w:spacing w:after="0"/>
              <w:rPr>
                <w:sz w:val="20"/>
                <w:szCs w:val="20"/>
                <w:color w:val="auto"/>
              </w:rPr>
            </w:pPr>
            <w:r>
              <w:rPr>
                <w:rFonts w:ascii="Arial" w:cs="Arial" w:eastAsia="Arial" w:hAnsi="Arial"/>
                <w:sz w:val="16"/>
                <w:szCs w:val="16"/>
                <w:color w:val="auto"/>
              </w:rPr>
              <w:t>Release of restricted stock units</w:t>
            </w:r>
          </w:p>
        </w:tc>
        <w:tc>
          <w:tcPr>
            <w:tcW w:w="760" w:type="dxa"/>
            <w:vAlign w:val="bottom"/>
          </w:tcPr>
          <w:p>
            <w:pPr>
              <w:jc w:val="right"/>
              <w:spacing w:after="0"/>
              <w:rPr>
                <w:sz w:val="20"/>
                <w:szCs w:val="20"/>
                <w:color w:val="auto"/>
              </w:rPr>
            </w:pPr>
            <w:r>
              <w:rPr>
                <w:rFonts w:ascii="Arial" w:cs="Arial" w:eastAsia="Arial" w:hAnsi="Arial"/>
                <w:sz w:val="16"/>
                <w:szCs w:val="16"/>
                <w:color w:val="auto"/>
              </w:rPr>
              <w:t>868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(10,493)</w:t>
            </w:r>
          </w:p>
        </w:tc>
        <w:tc>
          <w:tcPr>
            <w:tcW w:w="0" w:type="dxa"/>
            <w:vAlign w:val="bottom"/>
          </w:tcPr>
          <w:p>
            <w:pPr>
              <w:spacing w:after="0"/>
              <w:rPr>
                <w:sz w:val="1"/>
                <w:szCs w:val="1"/>
                <w:color w:val="auto"/>
              </w:rPr>
            </w:pPr>
          </w:p>
        </w:tc>
      </w:tr>
      <w:tr>
        <w:trPr>
          <w:trHeight w:val="166"/>
        </w:trPr>
        <w:tc>
          <w:tcPr>
            <w:tcW w:w="3260" w:type="dxa"/>
            <w:vAlign w:val="bottom"/>
          </w:tcPr>
          <w:p>
            <w:pPr>
              <w:ind w:left="240"/>
              <w:spacing w:after="0" w:line="166" w:lineRule="exact"/>
              <w:rPr>
                <w:sz w:val="20"/>
                <w:szCs w:val="20"/>
                <w:color w:val="auto"/>
              </w:rPr>
            </w:pPr>
            <w:r>
              <w:rPr>
                <w:rFonts w:ascii="Arial" w:cs="Arial" w:eastAsia="Arial" w:hAnsi="Arial"/>
                <w:sz w:val="16"/>
                <w:szCs w:val="16"/>
                <w:color w:val="auto"/>
                <w:w w:val="93"/>
              </w:rPr>
              <w:t>Conversion from Class B to Class A common</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76,706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(76,706)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4"/>
                <w:szCs w:val="14"/>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260" w:type="dxa"/>
            <w:vAlign w:val="bottom"/>
          </w:tcPr>
          <w:p>
            <w:pPr>
              <w:ind w:left="400"/>
              <w:spacing w:after="0"/>
              <w:rPr>
                <w:sz w:val="20"/>
                <w:szCs w:val="20"/>
                <w:color w:val="auto"/>
              </w:rPr>
            </w:pPr>
            <w:r>
              <w:rPr>
                <w:rFonts w:ascii="Arial" w:cs="Arial" w:eastAsia="Arial" w:hAnsi="Arial"/>
                <w:sz w:val="16"/>
                <w:szCs w:val="16"/>
                <w:color w:val="auto"/>
              </w:rPr>
              <w:t>stock</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6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6"/>
              </w:rPr>
              <w:t>Issuance of common stock upon exercise of</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3,467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options</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60" w:type="dxa"/>
            <w:vAlign w:val="bottom"/>
          </w:tcPr>
          <w:p>
            <w:pPr>
              <w:ind w:left="240"/>
              <w:spacing w:after="0" w:line="166" w:lineRule="exact"/>
              <w:rPr>
                <w:sz w:val="20"/>
                <w:szCs w:val="20"/>
                <w:color w:val="auto"/>
              </w:rPr>
            </w:pPr>
            <w:r>
              <w:rPr>
                <w:rFonts w:ascii="Arial" w:cs="Arial" w:eastAsia="Arial" w:hAnsi="Arial"/>
                <w:sz w:val="16"/>
                <w:szCs w:val="16"/>
                <w:color w:val="auto"/>
                <w:w w:val="93"/>
              </w:rPr>
              <w:t>Issuance of common stock in connection with</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260" w:type="dxa"/>
            <w:vAlign w:val="bottom"/>
          </w:tcPr>
          <w:p>
            <w:pPr>
              <w:ind w:left="400"/>
              <w:spacing w:after="0"/>
              <w:rPr>
                <w:sz w:val="20"/>
                <w:szCs w:val="20"/>
                <w:color w:val="auto"/>
              </w:rPr>
            </w:pPr>
            <w:r>
              <w:rPr>
                <w:rFonts w:ascii="Arial" w:cs="Arial" w:eastAsia="Arial" w:hAnsi="Arial"/>
                <w:sz w:val="16"/>
                <w:szCs w:val="16"/>
                <w:color w:val="auto"/>
              </w:rPr>
              <w:t>acquisition</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Vesting of early exercised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3"/>
        </w:trPr>
        <w:tc>
          <w:tcPr>
            <w:tcW w:w="3260" w:type="dxa"/>
            <w:vAlign w:val="bottom"/>
          </w:tcPr>
          <w:p>
            <w:pPr>
              <w:ind w:left="240"/>
              <w:spacing w:after="0"/>
              <w:rPr>
                <w:sz w:val="20"/>
                <w:szCs w:val="20"/>
                <w:color w:val="auto"/>
              </w:rPr>
            </w:pPr>
            <w:r>
              <w:rPr>
                <w:rFonts w:ascii="Arial" w:cs="Arial" w:eastAsia="Arial" w:hAnsi="Arial"/>
                <w:sz w:val="16"/>
                <w:szCs w:val="16"/>
                <w:color w:val="auto"/>
              </w:rPr>
              <w:t>Vesting of restricted stock</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
              <w:spacing w:after="0"/>
              <w:rPr>
                <w:sz w:val="20"/>
                <w:szCs w:val="20"/>
                <w:color w:val="auto"/>
              </w:rPr>
            </w:pPr>
            <w:r>
              <w:rPr>
                <w:rFonts w:ascii="Arial" w:cs="Arial" w:eastAsia="Arial" w:hAnsi="Arial"/>
                <w:sz w:val="16"/>
                <w:szCs w:val="16"/>
                <w:color w:val="auto"/>
              </w:rPr>
              <w:t>1,429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17,544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17,544</w:t>
            </w:r>
          </w:p>
        </w:tc>
        <w:tc>
          <w:tcPr>
            <w:tcW w:w="0" w:type="dxa"/>
            <w:vAlign w:val="bottom"/>
          </w:tcPr>
          <w:p>
            <w:pPr>
              <w:spacing w:after="0"/>
              <w:rPr>
                <w:sz w:val="1"/>
                <w:szCs w:val="1"/>
                <w:color w:val="auto"/>
              </w:rPr>
            </w:pPr>
          </w:p>
        </w:tc>
      </w:tr>
      <w:tr>
        <w:trPr>
          <w:trHeight w:val="213"/>
        </w:trPr>
        <w:tc>
          <w:tcPr>
            <w:tcW w:w="3260" w:type="dxa"/>
            <w:vAlign w:val="bottom"/>
          </w:tcPr>
          <w:p>
            <w:pPr>
              <w:ind w:left="240"/>
              <w:spacing w:after="0"/>
              <w:rPr>
                <w:sz w:val="20"/>
                <w:szCs w:val="20"/>
                <w:color w:val="auto"/>
              </w:rPr>
            </w:pPr>
            <w:r>
              <w:rPr>
                <w:rFonts w:ascii="Arial" w:cs="Arial" w:eastAsia="Arial" w:hAnsi="Arial"/>
                <w:sz w:val="16"/>
                <w:szCs w:val="16"/>
                <w:color w:val="auto"/>
              </w:rPr>
              <w:t>Other comprehensive loss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19"/>
        </w:trPr>
        <w:tc>
          <w:tcPr>
            <w:tcW w:w="3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(36,843)</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(36,843)</w:t>
            </w:r>
          </w:p>
        </w:tc>
        <w:tc>
          <w:tcPr>
            <w:tcW w:w="0" w:type="dxa"/>
            <w:vAlign w:val="bottom"/>
          </w:tcPr>
          <w:p>
            <w:pPr>
              <w:spacing w:after="0"/>
              <w:rPr>
                <w:sz w:val="1"/>
                <w:szCs w:val="1"/>
                <w:color w:val="auto"/>
              </w:rPr>
            </w:pPr>
          </w:p>
        </w:tc>
      </w:tr>
      <w:tr>
        <w:trPr>
          <w:trHeight w:val="209"/>
        </w:trPr>
        <w:tc>
          <w:tcPr>
            <w:tcW w:w="3260" w:type="dxa"/>
            <w:vAlign w:val="bottom"/>
          </w:tcPr>
          <w:p>
            <w:pPr>
              <w:ind w:left="20"/>
              <w:spacing w:after="0"/>
              <w:rPr>
                <w:sz w:val="20"/>
                <w:szCs w:val="20"/>
                <w:color w:val="auto"/>
              </w:rPr>
            </w:pPr>
            <w:r>
              <w:rPr>
                <w:rFonts w:ascii="Arial" w:cs="Arial" w:eastAsia="Arial" w:hAnsi="Arial"/>
                <w:sz w:val="16"/>
                <w:szCs w:val="16"/>
                <w:color w:val="auto"/>
              </w:rPr>
              <w:t>Balances as of June 30, 2022</w:t>
            </w:r>
          </w:p>
        </w:tc>
        <w:tc>
          <w:tcPr>
            <w:tcW w:w="760" w:type="dxa"/>
            <w:vAlign w:val="bottom"/>
          </w:tcPr>
          <w:p>
            <w:pPr>
              <w:jc w:val="right"/>
              <w:spacing w:after="0"/>
              <w:rPr>
                <w:sz w:val="20"/>
                <w:szCs w:val="20"/>
                <w:color w:val="auto"/>
              </w:rPr>
            </w:pPr>
            <w:r>
              <w:rPr>
                <w:rFonts w:ascii="Arial" w:cs="Arial" w:eastAsia="Arial" w:hAnsi="Arial"/>
                <w:sz w:val="16"/>
                <w:szCs w:val="16"/>
                <w:color w:val="auto"/>
              </w:rPr>
              <w:t>154,979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230,699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c>
          <w:tcPr>
            <w:tcW w:w="900" w:type="dxa"/>
            <w:vAlign w:val="bottom"/>
            <w:gridSpan w:val="2"/>
          </w:tcPr>
          <w:p>
            <w:pPr>
              <w:jc w:val="right"/>
              <w:ind w:right="2"/>
              <w:spacing w:after="0"/>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1,255,034</w:t>
            </w:r>
          </w:p>
        </w:tc>
        <w:tc>
          <w:tcPr>
            <w:tcW w:w="28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(3,485)</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6"/>
              </w:rPr>
              <w:t>(550,130)</w:t>
            </w:r>
          </w:p>
        </w:tc>
        <w:tc>
          <w:tcPr>
            <w:tcW w:w="3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701,458</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4"/>
                <w:szCs w:val="14"/>
                <w:b w:val="1"/>
                <w:bCs w:val="1"/>
                <w:color w:val="auto"/>
              </w:rPr>
              <w:t>Six Months Ended June 30, 2023</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24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3440" w:type="dxa"/>
            <w:vAlign w:val="bottom"/>
          </w:tcPr>
          <w:p>
            <w:pPr>
              <w:spacing w:after="0"/>
              <w:rPr>
                <w:sz w:val="12"/>
                <w:szCs w:val="12"/>
                <w:color w:val="auto"/>
              </w:rPr>
            </w:pPr>
          </w:p>
        </w:tc>
        <w:tc>
          <w:tcPr>
            <w:tcW w:w="16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6"/>
              </w:rPr>
              <w:t>Class A Common Stock</w:t>
            </w:r>
          </w:p>
        </w:tc>
        <w:tc>
          <w:tcPr>
            <w:tcW w:w="8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B Common Stock</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60"/>
              <w:spacing w:after="0" w:line="13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440" w:type="dxa"/>
            <w:vAlign w:val="bottom"/>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9"/>
                <w:szCs w:val="9"/>
                <w:color w:val="auto"/>
              </w:rPr>
            </w:pPr>
          </w:p>
        </w:tc>
        <w:tc>
          <w:tcPr>
            <w:tcW w:w="1240" w:type="dxa"/>
            <w:vAlign w:val="bottom"/>
            <w:gridSpan w:val="3"/>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9"/>
                <w:szCs w:val="9"/>
                <w:color w:val="auto"/>
              </w:rPr>
            </w:pPr>
          </w:p>
        </w:tc>
        <w:tc>
          <w:tcPr>
            <w:tcW w:w="880" w:type="dxa"/>
            <w:vAlign w:val="bottom"/>
            <w:gridSpan w:val="2"/>
            <w:vMerge w:val="restart"/>
          </w:tcPr>
          <w:p>
            <w:pPr>
              <w:ind w:left="20"/>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December 31, 2022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153,693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218,029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92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$1,231,482</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(618,255)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611,068</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Release of restricted stock units</w:t>
            </w:r>
          </w:p>
        </w:tc>
        <w:tc>
          <w:tcPr>
            <w:tcW w:w="780" w:type="dxa"/>
            <w:vAlign w:val="bottom"/>
          </w:tcPr>
          <w:p>
            <w:pPr>
              <w:jc w:val="right"/>
              <w:spacing w:after="0"/>
              <w:rPr>
                <w:sz w:val="20"/>
                <w:szCs w:val="20"/>
                <w:color w:val="auto"/>
              </w:rPr>
            </w:pPr>
            <w:r>
              <w:rPr>
                <w:rFonts w:ascii="Arial" w:cs="Arial" w:eastAsia="Arial" w:hAnsi="Arial"/>
                <w:sz w:val="16"/>
                <w:szCs w:val="16"/>
                <w:color w:val="auto"/>
              </w:rPr>
              <w:t>4,053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9"/>
              </w:rPr>
              <w:t>Conversion from Class B to Class A common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(8,835)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40" w:type="dxa"/>
            <w:vAlign w:val="bottom"/>
          </w:tcPr>
          <w:p>
            <w:pPr>
              <w:ind w:left="240"/>
              <w:spacing w:after="0" w:line="166" w:lineRule="exact"/>
              <w:rPr>
                <w:sz w:val="20"/>
                <w:szCs w:val="20"/>
                <w:color w:val="auto"/>
              </w:rPr>
            </w:pPr>
            <w:r>
              <w:rPr>
                <w:rFonts w:ascii="Arial" w:cs="Arial" w:eastAsia="Arial" w:hAnsi="Arial"/>
                <w:sz w:val="16"/>
                <w:szCs w:val="16"/>
                <w:color w:val="auto"/>
              </w:rPr>
              <w:t>Issuance of common stock upon exercise of</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ind w:right="3"/>
              <w:spacing w:after="0"/>
              <w:rPr>
                <w:sz w:val="20"/>
                <w:szCs w:val="20"/>
                <w:color w:val="auto"/>
              </w:rPr>
            </w:pPr>
            <w:r>
              <w:rPr>
                <w:rFonts w:ascii="Arial" w:cs="Arial" w:eastAsia="Arial" w:hAnsi="Arial"/>
                <w:sz w:val="16"/>
                <w:szCs w:val="16"/>
                <w:color w:val="auto"/>
              </w:rPr>
              <w:t>2,563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2,563</w:t>
            </w:r>
          </w:p>
        </w:tc>
        <w:tc>
          <w:tcPr>
            <w:tcW w:w="0" w:type="dxa"/>
            <w:vAlign w:val="bottom"/>
          </w:tcPr>
          <w:p>
            <w:pPr>
              <w:spacing w:after="0"/>
              <w:rPr>
                <w:sz w:val="1"/>
                <w:szCs w:val="1"/>
                <w:color w:val="auto"/>
              </w:rPr>
            </w:pPr>
          </w:p>
        </w:tc>
      </w:tr>
      <w:tr>
        <w:trPr>
          <w:trHeight w:val="209"/>
        </w:trPr>
        <w:tc>
          <w:tcPr>
            <w:tcW w:w="3440" w:type="dxa"/>
            <w:vAlign w:val="bottom"/>
          </w:tcPr>
          <w:p>
            <w:pPr>
              <w:ind w:left="400"/>
              <w:spacing w:after="0"/>
              <w:rPr>
                <w:sz w:val="20"/>
                <w:szCs w:val="20"/>
                <w:color w:val="auto"/>
              </w:rPr>
            </w:pPr>
            <w:r>
              <w:rPr>
                <w:rFonts w:ascii="Arial" w:cs="Arial" w:eastAsia="Arial" w:hAnsi="Arial"/>
                <w:sz w:val="16"/>
                <w:szCs w:val="16"/>
                <w:color w:val="auto"/>
              </w:rPr>
              <w:t>stock options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0"/>
              </w:rPr>
              <w:t>Issuance of common stock under employee stock</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1,075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purchase plan</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Vesting of early exercised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37,392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37,392</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Other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(69,119)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(69,119)</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Arial" w:cs="Arial" w:eastAsia="Arial" w:hAnsi="Arial"/>
                <w:sz w:val="16"/>
                <w:szCs w:val="16"/>
                <w:color w:val="auto"/>
              </w:rPr>
              <w:t>Balances as of June 30, 2023</w:t>
            </w:r>
          </w:p>
        </w:tc>
        <w:tc>
          <w:tcPr>
            <w:tcW w:w="780" w:type="dxa"/>
            <w:vAlign w:val="bottom"/>
          </w:tcPr>
          <w:p>
            <w:pPr>
              <w:jc w:val="right"/>
              <w:spacing w:after="0"/>
              <w:rPr>
                <w:sz w:val="20"/>
                <w:szCs w:val="20"/>
                <w:color w:val="auto"/>
              </w:rPr>
            </w:pPr>
            <w:r>
              <w:rPr>
                <w:rFonts w:ascii="Arial" w:cs="Arial" w:eastAsia="Arial" w:hAnsi="Arial"/>
                <w:sz w:val="16"/>
                <w:szCs w:val="16"/>
                <w:color w:val="auto"/>
              </w:rPr>
              <w:t>168,422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209,194</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920" w:type="dxa"/>
            <w:vAlign w:val="bottom"/>
            <w:gridSpan w:val="2"/>
          </w:tcPr>
          <w:p>
            <w:pPr>
              <w:jc w:val="right"/>
              <w:ind w:right="3"/>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1,272,676</w:t>
            </w:r>
          </w:p>
        </w:tc>
        <w:tc>
          <w:tcPr>
            <w:tcW w:w="2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(2,262)</w:t>
            </w:r>
          </w:p>
        </w:tc>
        <w:tc>
          <w:tcPr>
            <w:tcW w:w="2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6"/>
              </w:rPr>
              <w:t>(687,374)</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583,078</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Six Months Ended June 30, 2022</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1240" w:type="dxa"/>
            <w:vAlign w:val="bottom"/>
            <w:gridSpan w:val="3"/>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6"/>
              </w:rPr>
              <w:t>Class A Common Stock</w:t>
            </w:r>
          </w:p>
        </w:tc>
        <w:tc>
          <w:tcPr>
            <w:tcW w:w="8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B Common Stock</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440" w:type="dxa"/>
            <w:vAlign w:val="bottom"/>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9"/>
                <w:szCs w:val="9"/>
                <w:color w:val="auto"/>
              </w:rPr>
            </w:pPr>
          </w:p>
        </w:tc>
        <w:tc>
          <w:tcPr>
            <w:tcW w:w="1240" w:type="dxa"/>
            <w:vAlign w:val="bottom"/>
            <w:gridSpan w:val="3"/>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9"/>
                <w:szCs w:val="9"/>
                <w:color w:val="auto"/>
              </w:rPr>
            </w:pPr>
          </w:p>
        </w:tc>
        <w:tc>
          <w:tcPr>
            <w:tcW w:w="880" w:type="dxa"/>
            <w:vAlign w:val="bottom"/>
            <w:gridSpan w:val="2"/>
            <w:vMerge w:val="restart"/>
          </w:tcPr>
          <w:p>
            <w:pPr>
              <w:ind w:left="20"/>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December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78,954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304,701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92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$1,225,815</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(480,339)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744,985</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Release of restricted stock units</w:t>
            </w:r>
          </w:p>
        </w:tc>
        <w:tc>
          <w:tcPr>
            <w:tcW w:w="780" w:type="dxa"/>
            <w:vAlign w:val="bottom"/>
          </w:tcPr>
          <w:p>
            <w:pPr>
              <w:jc w:val="right"/>
              <w:spacing w:after="0"/>
              <w:rPr>
                <w:sz w:val="20"/>
                <w:szCs w:val="20"/>
                <w:color w:val="auto"/>
              </w:rPr>
            </w:pPr>
            <w:r>
              <w:rPr>
                <w:rFonts w:ascii="Arial" w:cs="Arial" w:eastAsia="Arial" w:hAnsi="Arial"/>
                <w:sz w:val="16"/>
                <w:szCs w:val="16"/>
                <w:color w:val="auto"/>
              </w:rPr>
              <w:t>921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6"/>
              </w:rPr>
              <w:t>Tax withholdings on release of restricted stock</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units</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Repurchase of common stock</w:t>
            </w:r>
          </w:p>
        </w:tc>
        <w:tc>
          <w:tcPr>
            <w:tcW w:w="780" w:type="dxa"/>
            <w:vAlign w:val="bottom"/>
          </w:tcPr>
          <w:p>
            <w:pPr>
              <w:jc w:val="right"/>
              <w:spacing w:after="0"/>
              <w:rPr>
                <w:sz w:val="20"/>
                <w:szCs w:val="20"/>
                <w:color w:val="auto"/>
              </w:rPr>
            </w:pPr>
            <w:r>
              <w:rPr>
                <w:rFonts w:ascii="Arial" w:cs="Arial" w:eastAsia="Arial" w:hAnsi="Arial"/>
                <w:sz w:val="16"/>
                <w:szCs w:val="16"/>
                <w:color w:val="auto"/>
              </w:rPr>
              <w:t>(3,061)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(10,493)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(10,493)</w:t>
            </w: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9"/>
              </w:rPr>
              <w:t>Conversion from Class B to Class A common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76,706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(76,706)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40" w:type="dxa"/>
            <w:vAlign w:val="bottom"/>
          </w:tcPr>
          <w:p>
            <w:pPr>
              <w:ind w:left="240"/>
              <w:spacing w:after="0" w:line="166" w:lineRule="exact"/>
              <w:rPr>
                <w:sz w:val="20"/>
                <w:szCs w:val="20"/>
                <w:color w:val="auto"/>
              </w:rPr>
            </w:pPr>
            <w:r>
              <w:rPr>
                <w:rFonts w:ascii="Arial" w:cs="Arial" w:eastAsia="Arial" w:hAnsi="Arial"/>
                <w:sz w:val="16"/>
                <w:szCs w:val="16"/>
                <w:color w:val="auto"/>
              </w:rPr>
              <w:t>Issuance of common stock upon exercise of</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2,434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920" w:type="dxa"/>
            <w:vAlign w:val="bottom"/>
            <w:gridSpan w:val="2"/>
            <w:vMerge w:val="restart"/>
          </w:tcPr>
          <w:p>
            <w:pPr>
              <w:jc w:val="right"/>
              <w:ind w:right="3"/>
              <w:spacing w:after="0"/>
              <w:rPr>
                <w:sz w:val="20"/>
                <w:szCs w:val="20"/>
                <w:color w:val="auto"/>
              </w:rPr>
            </w:pPr>
            <w:r>
              <w:rPr>
                <w:rFonts w:ascii="Arial" w:cs="Arial" w:eastAsia="Arial" w:hAnsi="Arial"/>
                <w:sz w:val="16"/>
                <w:szCs w:val="16"/>
                <w:color w:val="auto"/>
              </w:rPr>
              <w:t>7,611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7,612</w:t>
            </w:r>
          </w:p>
        </w:tc>
        <w:tc>
          <w:tcPr>
            <w:tcW w:w="0" w:type="dxa"/>
            <w:vAlign w:val="bottom"/>
          </w:tcPr>
          <w:p>
            <w:pPr>
              <w:spacing w:after="0"/>
              <w:rPr>
                <w:sz w:val="1"/>
                <w:szCs w:val="1"/>
                <w:color w:val="auto"/>
              </w:rPr>
            </w:pPr>
          </w:p>
        </w:tc>
      </w:tr>
      <w:tr>
        <w:trPr>
          <w:trHeight w:val="209"/>
        </w:trPr>
        <w:tc>
          <w:tcPr>
            <w:tcW w:w="3440" w:type="dxa"/>
            <w:vAlign w:val="bottom"/>
          </w:tcPr>
          <w:p>
            <w:pPr>
              <w:ind w:left="400"/>
              <w:spacing w:after="0"/>
              <w:rPr>
                <w:sz w:val="20"/>
                <w:szCs w:val="20"/>
                <w:color w:val="auto"/>
              </w:rPr>
            </w:pPr>
            <w:r>
              <w:rPr>
                <w:rFonts w:ascii="Arial" w:cs="Arial" w:eastAsia="Arial" w:hAnsi="Arial"/>
                <w:sz w:val="16"/>
                <w:szCs w:val="16"/>
                <w:color w:val="auto"/>
              </w:rPr>
              <w:t>stock options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9"/>
              </w:rPr>
              <w:t>Issuance of common stock in connection with</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acquisition</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Vesting of early exercised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Vesting of restricted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2,858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
              <w:spacing w:after="0"/>
              <w:rPr>
                <w:sz w:val="20"/>
                <w:szCs w:val="20"/>
                <w:color w:val="auto"/>
              </w:rPr>
            </w:pPr>
            <w:r>
              <w:rPr>
                <w:rFonts w:ascii="Arial" w:cs="Arial" w:eastAsia="Arial" w:hAnsi="Arial"/>
                <w:sz w:val="16"/>
                <w:szCs w:val="16"/>
                <w:color w:val="auto"/>
              </w:rPr>
              <w:t>29,688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29,688</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loss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(69,791)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(69,791)</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June 30, 2022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230,699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92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1,255,034</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(550,130)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701,458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4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(69,119)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(69,791)</w:t>
            </w: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2,704</w:t>
            </w: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29,688</w:t>
            </w: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Bad debt expense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3,600</w:t>
            </w: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w:t>
            </w: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(846)</w:t>
            </w: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4,325</w:t>
            </w:r>
          </w:p>
        </w:tc>
      </w:tr>
      <w:tr>
        <w:trPr>
          <w:trHeight w:val="209"/>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(28,121)</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w:t>
            </w: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(303,206)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(482,681)</w:t>
            </w: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of marketable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Maturities of marketable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306,835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46,648</w:t>
            </w: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Loan to Opportunity Finance Network</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(435,600)</w:t>
            </w:r>
          </w:p>
        </w:tc>
      </w:tr>
      <w:tr>
        <w:trPr>
          <w:trHeight w:val="19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7,612</w:t>
            </w: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Payment of transaction costs related to the Reverse Recapitalization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withholdings on release of restricted stock units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Repurchase of common stock</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(10,493)</w:t>
            </w:r>
          </w:p>
        </w:tc>
      </w:tr>
      <w:tr>
        <w:trPr>
          <w:trHeight w:val="216"/>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Prepayment under share repurchase program</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(14,507)</w:t>
            </w:r>
          </w:p>
        </w:tc>
      </w:tr>
      <w:tr>
        <w:trPr>
          <w:trHeight w:val="210"/>
        </w:trPr>
        <w:tc>
          <w:tcPr>
            <w:tcW w:w="8420" w:type="dxa"/>
            <w:vAlign w:val="bottom"/>
          </w:tcPr>
          <w:p>
            <w:pPr>
              <w:ind w:left="36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(18,397)</w:t>
            </w:r>
          </w:p>
        </w:tc>
      </w:tr>
      <w:tr>
        <w:trPr>
          <w:trHeight w:val="21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w:t>
            </w:r>
          </w:p>
        </w:tc>
      </w:tr>
      <w:tr>
        <w:trPr>
          <w:trHeight w:val="209"/>
        </w:trPr>
        <w:tc>
          <w:tcPr>
            <w:tcW w:w="8420" w:type="dxa"/>
            <w:vAlign w:val="bottom"/>
          </w:tcPr>
          <w:p>
            <w:pPr>
              <w:ind w:left="36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(481,626)</w:t>
            </w:r>
          </w:p>
        </w:tc>
      </w:tr>
      <w:tr>
        <w:trPr>
          <w:trHeight w:val="21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55,236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521,812</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85,494</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40,186</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74,268</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40,186</w:t>
            </w:r>
          </w:p>
        </w:tc>
      </w:tr>
      <w:tr>
        <w:trPr>
          <w:trHeight w:val="21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 non-current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42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85,494</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40,186</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 and early exercised stock options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Lease liabilities arising from obtaining right-of-use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10,665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 not yet settled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Nextdoor Holdings, Inc. (“Nextdoor” or the “Company”) is headquartered in San Francisco, California. Nextdoor’s purpose is to cultivate a kinder world where everyone has a neighborhood they can rely on. That purpose enables the Company’s mission to be the neighborhood hub for trusted connections and the exchange of helpful information, goods, and services.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condensed consolidated balance sheet as of December 31, 2022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2022.</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2023 or any other future interim or annual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unaudited condensed consolidated financial statements and accompanying notes. Estimates include, but are not limited to, valuation of financial instruments, valuation of common stock through the date of the Reverse Recapitalization,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to the Company’s significant accounting policies disclosed in Note 2 to the consolidated financial statements described in the Company’s Annual Report on Form 10-K as of and for the year ended December 31, 2022 that have had a material impact on the Company’s condensed consolidated financial statements and related notes, except as noted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restricted cash balance is primarily invested in a savings account and pledged as collateral for standby letters of credit as security deposits for the Company’s office leases.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and has since issued various amendments including ASU 2018-19, ASU 2019-04, and ASU 2019-05. The guidance and related amendments modify the accounting for credit losses for most financial assets and require the use of an expected loss model, replacing the currently used incurred loss method. Under this model, entities will be required to estimate the lifetime expected credit loss on such instruments and record an allowance to offset the amortized cost basis of the financial asset, resulting in a net presentation of the amount expected to be collected on the financial asset. The Company adopted this standard as of January 1, 2023, and the adoption did not have an impact on the Company’s unaudited condensed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Deferred Revenue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certain advertising arrangements the Company requires payment upfront from its customers. The Company records deferred revenue when it collects cash from customers in advance of revenue recognition. As of June 30, 2023 and December 31, 2022, deferred revenue was $7.6 million and $6.0 million, respectively, and included within accrued expenses and other current liabilities on the condensed consolidated balance sheets. For the three months ended June 30, 2023 and 2022, revenue recognized from deferred revenue at the beginning of each period was $2.8 million and $2.5 million, respectively. For the six months ended June 30, 2023 and 2022, revenue recognized from deferred revenue at the beginning of each period was $2.8 million and $2.8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Equivalents and Marketable Securities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costs, unrealized gains and losses, and estimated fair values of the Company’s cash equivalents and marketable securities were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As of June 30, 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5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ind w:right="274"/>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73"/>
              <w:spacing w:after="0" w:line="12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273"/>
              <w:spacing w:after="0" w:line="129" w:lineRule="exact"/>
              <w:rPr>
                <w:sz w:val="20"/>
                <w:szCs w:val="20"/>
                <w:color w:val="auto"/>
              </w:rPr>
            </w:pPr>
            <w:r>
              <w:rPr>
                <w:rFonts w:ascii="Arial" w:cs="Arial" w:eastAsia="Arial" w:hAnsi="Arial"/>
                <w:sz w:val="14"/>
                <w:szCs w:val="14"/>
                <w:b w:val="1"/>
                <w:bCs w:val="1"/>
                <w:color w:val="auto"/>
              </w:rPr>
              <w:t>Estimated</w:t>
            </w:r>
          </w:p>
        </w:tc>
      </w:tr>
      <w:tr>
        <w:trPr>
          <w:trHeight w:val="196"/>
        </w:trPr>
        <w:tc>
          <w:tcPr>
            <w:tcW w:w="5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Gain</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51,608</w:t>
            </w: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51,608</w:t>
            </w:r>
          </w:p>
        </w:tc>
      </w:tr>
      <w:tr>
        <w:trPr>
          <w:trHeight w:val="210"/>
        </w:trPr>
        <w:tc>
          <w:tcPr>
            <w:tcW w:w="55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43"/>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35,178</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103,095</w:t>
            </w: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148,819</w:t>
            </w:r>
          </w:p>
        </w:tc>
      </w:tr>
      <w:tr>
        <w:trPr>
          <w:trHeight w:val="237"/>
        </w:trPr>
        <w:tc>
          <w:tcPr>
            <w:tcW w:w="552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71,234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70,296</w:t>
            </w:r>
          </w:p>
        </w:tc>
      </w:tr>
      <w:tr>
        <w:trPr>
          <w:trHeight w:val="236"/>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Agency bonds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103,045</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16,889</w:t>
            </w:r>
          </w:p>
        </w:tc>
      </w:tr>
      <w:tr>
        <w:trPr>
          <w:trHeight w:val="23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479,838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477,322</w:t>
            </w: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528,930</w:t>
            </w: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As of December 31, 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5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73"/>
              <w:spacing w:after="0" w:line="129"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74"/>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73"/>
              <w:spacing w:after="0" w:line="12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273"/>
              <w:spacing w:after="0" w:line="129" w:lineRule="exact"/>
              <w:rPr>
                <w:sz w:val="20"/>
                <w:szCs w:val="20"/>
                <w:color w:val="auto"/>
              </w:rPr>
            </w:pPr>
            <w:r>
              <w:rPr>
                <w:rFonts w:ascii="Arial" w:cs="Arial" w:eastAsia="Arial" w:hAnsi="Arial"/>
                <w:sz w:val="14"/>
                <w:szCs w:val="14"/>
                <w:b w:val="1"/>
                <w:bCs w:val="1"/>
                <w:color w:val="auto"/>
              </w:rPr>
              <w:t>Estimated</w:t>
            </w:r>
          </w:p>
        </w:tc>
      </w:tr>
      <w:tr>
        <w:trPr>
          <w:trHeight w:val="196"/>
        </w:trPr>
        <w:tc>
          <w:tcPr>
            <w:tcW w:w="5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Gain</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5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20,381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20,381</w:t>
            </w:r>
          </w:p>
        </w:tc>
      </w:tr>
      <w:tr>
        <w:trPr>
          <w:trHeight w:val="236"/>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35,796</w:t>
            </w:r>
          </w:p>
        </w:tc>
      </w:tr>
      <w:tr>
        <w:trPr>
          <w:trHeight w:val="217"/>
        </w:trPr>
        <w:tc>
          <w:tcPr>
            <w:tcW w:w="55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6"/>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44,550</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100,844</w:t>
            </w:r>
          </w:p>
        </w:tc>
      </w:tr>
      <w:tr>
        <w:trPr>
          <w:trHeight w:val="243"/>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278,054</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41,526</w:t>
            </w: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Agency bonds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46,410</w:t>
            </w:r>
          </w:p>
        </w:tc>
      </w:tr>
      <w:tr>
        <w:trPr>
          <w:trHeight w:val="237"/>
        </w:trPr>
        <w:tc>
          <w:tcPr>
            <w:tcW w:w="5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16,683</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563,863</w:t>
            </w:r>
          </w:p>
        </w:tc>
      </w:tr>
      <w:tr>
        <w:trPr>
          <w:trHeight w:val="21"/>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marketable securities are designated as available-for-sale securities as of June 30, 2023 and December 31, 2022. No investments had been in an unrealized loss position for greater than 12 months as of June 30, 2023 and December 31,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contractual maturities of the Company’s marketable securities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4"/>
          </w:tcPr>
          <w:p>
            <w:pPr>
              <w:jc w:val="right"/>
              <w:ind w:right="1135"/>
              <w:spacing w:after="0"/>
              <w:rPr>
                <w:sz w:val="20"/>
                <w:szCs w:val="20"/>
                <w:color w:val="auto"/>
              </w:rPr>
            </w:pPr>
            <w:r>
              <w:rPr>
                <w:rFonts w:ascii="Arial" w:cs="Arial" w:eastAsia="Arial" w:hAnsi="Arial"/>
                <w:sz w:val="14"/>
                <w:szCs w:val="14"/>
                <w:b w:val="1"/>
                <w:bCs w:val="1"/>
                <w:color w:val="auto"/>
              </w:rPr>
              <w:t>As of June 30, 2023</w:t>
            </w:r>
          </w:p>
        </w:tc>
      </w:tr>
      <w:tr>
        <w:trPr>
          <w:trHeight w:val="26"/>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4"/>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17"/>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Estimated Fair Value</w:t>
            </w:r>
          </w:p>
        </w:tc>
      </w:tr>
      <w:tr>
        <w:trPr>
          <w:trHeight w:val="25"/>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331,509</w:t>
            </w:r>
          </w:p>
        </w:tc>
      </w:tr>
      <w:tr>
        <w:trPr>
          <w:trHeight w:val="23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to three years</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147,405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145,813</w:t>
            </w:r>
          </w:p>
        </w:tc>
      </w:tr>
      <w:tr>
        <w:trPr>
          <w:trHeight w:val="25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477,322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8"/>
        </w:trPr>
        <w:tc>
          <w:tcPr>
            <w:tcW w:w="7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As of December 31, 2022</w:t>
            </w:r>
          </w:p>
        </w:tc>
      </w:tr>
      <w:tr>
        <w:trPr>
          <w:trHeight w:val="250"/>
        </w:trPr>
        <w:tc>
          <w:tcPr>
            <w:tcW w:w="7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7"/>
              </w:rPr>
              <w:t>Estimated Fair Value</w:t>
            </w: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471,378</w:t>
            </w:r>
          </w:p>
        </w:tc>
      </w:tr>
      <w:tr>
        <w:trPr>
          <w:trHeight w:val="23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to four years</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56,689</w:t>
            </w:r>
          </w:p>
        </w:tc>
      </w:tr>
      <w:tr>
        <w:trPr>
          <w:trHeight w:val="25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are classified by level within the fair value hierarchy. There were no financial assets or liabilities measured using Level 3 inputs as of June 30, 2023 and December 31, 2022.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following table presents information about the Company’s financial assets that are measured at fair value on a recurring basis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June 30, 2023</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
        </w:trPr>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6"/>
        </w:trPr>
        <w:tc>
          <w:tcPr>
            <w:tcW w:w="6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51,608</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51,608</w:t>
            </w:r>
          </w:p>
        </w:tc>
        <w:tc>
          <w:tcPr>
            <w:tcW w:w="3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51,608</w:t>
            </w:r>
          </w:p>
        </w:tc>
      </w:tr>
      <w:tr>
        <w:trPr>
          <w:trHeight w:val="223"/>
        </w:trPr>
        <w:tc>
          <w:tcPr>
            <w:tcW w:w="69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43"/>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35,178</w:t>
            </w: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103,095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103,095</w:t>
            </w:r>
          </w:p>
        </w:tc>
      </w:tr>
      <w:tr>
        <w:trPr>
          <w:trHeight w:val="230"/>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148,819</w:t>
            </w:r>
          </w:p>
        </w:tc>
      </w:tr>
      <w:tr>
        <w:trPr>
          <w:trHeight w:val="237"/>
        </w:trPr>
        <w:tc>
          <w:tcPr>
            <w:tcW w:w="69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70,296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70,296</w:t>
            </w:r>
          </w:p>
        </w:tc>
      </w:tr>
      <w:tr>
        <w:trPr>
          <w:trHeight w:val="236"/>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Agency bonds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103,045</w:t>
            </w: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16,889</w:t>
            </w:r>
          </w:p>
        </w:tc>
      </w:tr>
      <w:tr>
        <w:trPr>
          <w:trHeight w:val="237"/>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477,322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477,322</w:t>
            </w: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528,930</w:t>
            </w:r>
          </w:p>
        </w:tc>
      </w:tr>
      <w:tr>
        <w:trPr>
          <w:trHeight w:val="20"/>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60"/>
        </w:trPr>
        <w:tc>
          <w:tcPr>
            <w:tcW w:w="6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6"/>
        </w:trPr>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29"/>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7"/>
        </w:trPr>
        <w:tc>
          <w:tcPr>
            <w:tcW w:w="69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20,381</w:t>
            </w:r>
          </w:p>
        </w:tc>
        <w:tc>
          <w:tcPr>
            <w:tcW w:w="3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20,381</w:t>
            </w:r>
          </w:p>
        </w:tc>
      </w:tr>
      <w:tr>
        <w:trPr>
          <w:trHeight w:val="236"/>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r>
      <w:tr>
        <w:trPr>
          <w:trHeight w:val="237"/>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20,381</w:t>
            </w:r>
          </w:p>
        </w:tc>
        <w:tc>
          <w:tcPr>
            <w:tcW w:w="3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35,796</w:t>
            </w:r>
          </w:p>
        </w:tc>
      </w:tr>
      <w:tr>
        <w:trPr>
          <w:trHeight w:val="209"/>
        </w:trPr>
        <w:tc>
          <w:tcPr>
            <w:tcW w:w="69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43"/>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44,550</w:t>
            </w: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100,844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100,844</w:t>
            </w:r>
          </w:p>
        </w:tc>
      </w:tr>
      <w:tr>
        <w:trPr>
          <w:trHeight w:val="230"/>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278,054</w:t>
            </w:r>
          </w:p>
        </w:tc>
      </w:tr>
      <w:tr>
        <w:trPr>
          <w:trHeight w:val="237"/>
        </w:trPr>
        <w:tc>
          <w:tcPr>
            <w:tcW w:w="69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41,526</w:t>
            </w:r>
          </w:p>
        </w:tc>
      </w:tr>
      <w:tr>
        <w:trPr>
          <w:trHeight w:val="236"/>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Agency bonds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46,410</w:t>
            </w: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16,683</w:t>
            </w:r>
          </w:p>
        </w:tc>
      </w:tr>
      <w:tr>
        <w:trPr>
          <w:trHeight w:val="23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543,482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563,863</w:t>
            </w:r>
          </w:p>
        </w:tc>
      </w:tr>
      <w:tr>
        <w:trPr>
          <w:trHeight w:val="20"/>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Assets, and Liabilities Not Recorded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assets not recorded at fair value (in thousands):</w:t>
      </w:r>
    </w:p>
    <w:p>
      <w:pPr>
        <w:spacing w:after="0" w:line="203"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47580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58055" cy="8255"/>
                    </a:xfrm>
                    <a:prstGeom prst="rect">
                      <a:avLst/>
                    </a:prstGeom>
                    <a:noFill/>
                  </pic:spPr>
                </pic:pic>
              </a:graphicData>
            </a:graphic>
          </wp:anchor>
        </w:drawing>
      </w:r>
    </w:p>
    <w:p>
      <w:pPr>
        <w:spacing w:after="0" w:line="22" w:lineRule="exact"/>
        <w:rPr>
          <w:sz w:val="20"/>
          <w:szCs w:val="20"/>
          <w:color w:val="auto"/>
        </w:rPr>
      </w:pPr>
    </w:p>
    <w:p>
      <w:pPr>
        <w:ind w:left="3920"/>
        <w:spacing w:after="0"/>
        <w:tabs>
          <w:tab w:leader="none" w:pos="5740" w:val="left"/>
          <w:tab w:leader="none" w:pos="7240" w:val="left"/>
          <w:tab w:leader="none" w:pos="8760" w:val="left"/>
          <w:tab w:leader="none" w:pos="10180" w:val="left"/>
        </w:tabs>
        <w:rPr>
          <w:sz w:val="20"/>
          <w:szCs w:val="20"/>
          <w:color w:val="auto"/>
        </w:rPr>
      </w:pPr>
      <w:r>
        <w:rPr>
          <w:rFonts w:ascii="Arial" w:cs="Arial" w:eastAsia="Arial" w:hAnsi="Arial"/>
          <w:sz w:val="14"/>
          <w:szCs w:val="14"/>
          <w:b w:val="1"/>
          <w:bCs w:val="1"/>
          <w:color w:val="auto"/>
        </w:rPr>
        <w:t>Carrying Amount</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Level 3</w:t>
      </w:r>
      <w:r>
        <w:rPr>
          <w:sz w:val="20"/>
          <w:szCs w:val="20"/>
          <w:color w:val="auto"/>
        </w:rPr>
        <w:tab/>
      </w:r>
      <w:r>
        <w:rPr>
          <w:rFonts w:ascii="Arial" w:cs="Arial" w:eastAsia="Arial" w:hAnsi="Arial"/>
          <w:sz w:val="13"/>
          <w:szCs w:val="13"/>
          <w:b w:val="1"/>
          <w:bCs w:val="1"/>
          <w:color w:val="auto"/>
        </w:rPr>
        <w:t>Fair Value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40"/>
        <w:spacing w:after="0"/>
        <w:tabs>
          <w:tab w:leader="none" w:pos="3740" w:val="left"/>
          <w:tab w:leader="none" w:pos="4680" w:val="left"/>
          <w:tab w:leader="none" w:pos="5260" w:val="left"/>
          <w:tab w:leader="none" w:pos="6420" w:val="left"/>
          <w:tab w:leader="none" w:pos="6780" w:val="left"/>
          <w:tab w:leader="none" w:pos="7920" w:val="left"/>
          <w:tab w:leader="none" w:pos="8300" w:val="left"/>
          <w:tab w:leader="none" w:pos="9220" w:val="left"/>
          <w:tab w:leader="none" w:pos="9820" w:val="left"/>
          <w:tab w:leader="none" w:pos="10740" w:val="left"/>
        </w:tabs>
        <w:rPr>
          <w:sz w:val="20"/>
          <w:szCs w:val="20"/>
          <w:color w:val="auto"/>
        </w:rPr>
      </w:pPr>
      <w:r>
        <w:rPr>
          <w:rFonts w:ascii="Arial" w:cs="Arial" w:eastAsia="Arial" w:hAnsi="Arial"/>
          <w:sz w:val="18"/>
          <w:szCs w:val="18"/>
          <w:color w:val="auto"/>
        </w:rPr>
        <w:t>Note receivable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7,500</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6,985</w:t>
        <w:tab/>
        <w:t>$</w:t>
      </w:r>
      <w:r>
        <w:rPr>
          <w:sz w:val="20"/>
          <w:szCs w:val="20"/>
          <w:color w:val="auto"/>
        </w:rPr>
        <w:tab/>
      </w:r>
      <w:r>
        <w:rPr>
          <w:rFonts w:ascii="Arial" w:cs="Arial" w:eastAsia="Arial" w:hAnsi="Arial"/>
          <w:sz w:val="15"/>
          <w:szCs w:val="15"/>
          <w:color w:val="auto"/>
        </w:rPr>
        <w:t>6,985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
        </w:trPr>
        <w:tc>
          <w:tcPr>
            <w:tcW w:w="3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99"/>
              <w:spacing w:after="0"/>
              <w:rPr>
                <w:sz w:val="20"/>
                <w:szCs w:val="20"/>
                <w:color w:val="auto"/>
              </w:rPr>
            </w:pPr>
            <w:r>
              <w:rPr>
                <w:rFonts w:ascii="Arial" w:cs="Arial" w:eastAsia="Arial" w:hAnsi="Arial"/>
                <w:sz w:val="14"/>
                <w:szCs w:val="14"/>
                <w:b w:val="1"/>
                <w:bCs w:val="1"/>
                <w:color w:val="auto"/>
                <w:w w:val="97"/>
              </w:rPr>
              <w:t>Carrying Amount</w:t>
            </w:r>
          </w:p>
        </w:tc>
        <w:tc>
          <w:tcPr>
            <w:tcW w:w="1120" w:type="dxa"/>
            <w:vAlign w:val="bottom"/>
          </w:tcPr>
          <w:p>
            <w:pPr>
              <w:jc w:val="right"/>
              <w:ind w:right="39"/>
              <w:spacing w:after="0"/>
              <w:rPr>
                <w:sz w:val="20"/>
                <w:szCs w:val="20"/>
                <w:color w:val="auto"/>
              </w:rPr>
            </w:pPr>
            <w:r>
              <w:rPr>
                <w:rFonts w:ascii="Arial" w:cs="Arial" w:eastAsia="Arial" w:hAnsi="Arial"/>
                <w:sz w:val="14"/>
                <w:szCs w:val="14"/>
                <w:b w:val="1"/>
                <w:bCs w:val="1"/>
                <w:color w:val="auto"/>
              </w:rPr>
              <w:t>Level 1</w:t>
            </w:r>
          </w:p>
        </w:tc>
        <w:tc>
          <w:tcPr>
            <w:tcW w:w="760" w:type="dxa"/>
            <w:vAlign w:val="bottom"/>
          </w:tcPr>
          <w:p>
            <w:pPr>
              <w:spacing w:after="0"/>
              <w:rPr>
                <w:sz w:val="15"/>
                <w:szCs w:val="15"/>
                <w:color w:val="auto"/>
              </w:rPr>
            </w:pPr>
          </w:p>
        </w:tc>
        <w:tc>
          <w:tcPr>
            <w:tcW w:w="1520" w:type="dxa"/>
            <w:vAlign w:val="bottom"/>
          </w:tcPr>
          <w:p>
            <w:pPr>
              <w:jc w:val="center"/>
              <w:ind w:right="619"/>
              <w:spacing w:after="0"/>
              <w:rPr>
                <w:sz w:val="20"/>
                <w:szCs w:val="20"/>
                <w:color w:val="auto"/>
              </w:rPr>
            </w:pPr>
            <w:r>
              <w:rPr>
                <w:rFonts w:ascii="Arial" w:cs="Arial" w:eastAsia="Arial" w:hAnsi="Arial"/>
                <w:sz w:val="14"/>
                <w:szCs w:val="14"/>
                <w:b w:val="1"/>
                <w:bCs w:val="1"/>
                <w:color w:val="auto"/>
                <w:w w:val="96"/>
              </w:rPr>
              <w:t>Level 2</w:t>
            </w:r>
          </w:p>
        </w:tc>
        <w:tc>
          <w:tcPr>
            <w:tcW w:w="1140" w:type="dxa"/>
            <w:vAlign w:val="bottom"/>
          </w:tcPr>
          <w:p>
            <w:pPr>
              <w:jc w:val="right"/>
              <w:ind w:right="439"/>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5"/>
                <w:szCs w:val="15"/>
                <w:color w:val="auto"/>
              </w:rPr>
            </w:pPr>
          </w:p>
        </w:tc>
        <w:tc>
          <w:tcPr>
            <w:tcW w:w="1180" w:type="dxa"/>
            <w:vAlign w:val="bottom"/>
          </w:tcPr>
          <w:p>
            <w:pPr>
              <w:jc w:val="right"/>
              <w:ind w:right="319"/>
              <w:spacing w:after="0"/>
              <w:rPr>
                <w:sz w:val="20"/>
                <w:szCs w:val="20"/>
                <w:color w:val="auto"/>
              </w:rPr>
            </w:pPr>
            <w:r>
              <w:rPr>
                <w:rFonts w:ascii="Arial" w:cs="Arial" w:eastAsia="Arial" w:hAnsi="Arial"/>
                <w:sz w:val="14"/>
                <w:szCs w:val="14"/>
                <w:b w:val="1"/>
                <w:bCs w:val="1"/>
                <w:color w:val="auto"/>
              </w:rPr>
              <w:t>Fair Value</w:t>
            </w:r>
          </w:p>
        </w:tc>
      </w:tr>
      <w:tr>
        <w:trPr>
          <w:trHeight w:val="244"/>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Note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5,000</w:t>
            </w:r>
          </w:p>
        </w:tc>
        <w:tc>
          <w:tcPr>
            <w:tcW w:w="1120" w:type="dxa"/>
            <w:vAlign w:val="bottom"/>
          </w:tcPr>
          <w:p>
            <w:pPr>
              <w:jc w:val="right"/>
              <w:ind w:right="859"/>
              <w:spacing w:after="0"/>
              <w:rPr>
                <w:sz w:val="20"/>
                <w:szCs w:val="20"/>
                <w:color w:val="auto"/>
              </w:rPr>
            </w:pPr>
            <w:r>
              <w:rPr>
                <w:rFonts w:ascii="Arial" w:cs="Arial" w:eastAsia="Arial" w:hAnsi="Arial"/>
                <w:sz w:val="18"/>
                <w:szCs w:val="18"/>
                <w:color w:val="auto"/>
              </w:rPr>
              <w:t>$</w:t>
            </w:r>
          </w:p>
        </w:tc>
        <w:tc>
          <w:tcPr>
            <w:tcW w:w="760" w:type="dxa"/>
            <w:vAlign w:val="bottom"/>
          </w:tcPr>
          <w:p>
            <w:pPr>
              <w:ind w:left="120"/>
              <w:spacing w:after="0"/>
              <w:rPr>
                <w:sz w:val="20"/>
                <w:szCs w:val="20"/>
                <w:color w:val="auto"/>
              </w:rPr>
            </w:pPr>
            <w:r>
              <w:rPr>
                <w:rFonts w:ascii="Arial" w:cs="Arial" w:eastAsia="Arial" w:hAnsi="Arial"/>
                <w:sz w:val="18"/>
                <w:szCs w:val="18"/>
                <w:color w:val="auto"/>
              </w:rPr>
              <w:t>—  $</w:t>
            </w:r>
          </w:p>
        </w:tc>
        <w:tc>
          <w:tcPr>
            <w:tcW w:w="1520" w:type="dxa"/>
            <w:vAlign w:val="bottom"/>
          </w:tcPr>
          <w:p>
            <w:pPr>
              <w:ind w:left="86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4,646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4,646</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there were no financial instruments or liabilities that were not recorded at fair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entered into various non-cancellable office facility leases in various locations with original lease periods expiring between 2020 and 2029, with its primary office location in San Francisco, California. The Company entered into a lease consisting of multiple floors for its San Francisco headquarters in 2019, with a lease term through 2029. On January 30, 2023, the Company entered into a lease amendment for its headquarters lease. The lease amendment extended the lease term through April 30, 2032, and resulted in an increase to right-of-use assets and operating lease liabilities. The Company's lease agreements generally do not contain any material residual value guarantees or material restrictive covenants. The components of lease costs were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5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2,983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6,829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r>
      <w:tr>
        <w:trPr>
          <w:trHeight w:val="20"/>
        </w:trPr>
        <w:tc>
          <w:tcPr>
            <w:tcW w:w="56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66"/>
        </w:trPr>
        <w:tc>
          <w:tcPr>
            <w:tcW w:w="6980" w:type="dxa"/>
            <w:vAlign w:val="bottom"/>
            <w:gridSpan w:val="3"/>
          </w:tcPr>
          <w:p>
            <w:pPr>
              <w:spacing w:after="0"/>
              <w:rPr>
                <w:sz w:val="20"/>
                <w:szCs w:val="20"/>
                <w:color w:val="auto"/>
              </w:rPr>
            </w:pPr>
            <w:r>
              <w:rPr>
                <w:rFonts w:ascii="Arial" w:cs="Arial" w:eastAsia="Arial" w:hAnsi="Arial"/>
                <w:sz w:val="18"/>
                <w:szCs w:val="18"/>
                <w:color w:val="auto"/>
                <w:w w:val="95"/>
              </w:rPr>
              <w:t>Other information related to the Company’s operating leases was as follows (in thousands):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4"/>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7"/>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5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Cash paid for amounts included in the measurement of lease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62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5,097</w:t>
            </w:r>
          </w:p>
        </w:tc>
        <w:tc>
          <w:tcPr>
            <w:tcW w:w="20" w:type="dxa"/>
            <w:vAlign w:val="bottom"/>
          </w:tcPr>
          <w:p>
            <w:pPr>
              <w:spacing w:after="0"/>
              <w:rPr>
                <w:sz w:val="19"/>
                <w:szCs w:val="19"/>
                <w:color w:val="auto"/>
              </w:rPr>
            </w:pPr>
          </w:p>
        </w:tc>
        <w:tc>
          <w:tcPr>
            <w:tcW w:w="4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4,948</w:t>
            </w: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9,107</w:t>
            </w:r>
          </w:p>
        </w:tc>
        <w:tc>
          <w:tcPr>
            <w:tcW w:w="2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620" w:type="dxa"/>
            <w:vAlign w:val="bottom"/>
          </w:tcPr>
          <w:p>
            <w:pPr>
              <w:spacing w:after="0"/>
              <w:rPr>
                <w:sz w:val="20"/>
                <w:szCs w:val="20"/>
                <w:color w:val="auto"/>
              </w:rPr>
            </w:pPr>
            <w:r>
              <w:rPr>
                <w:rFonts w:ascii="Arial" w:cs="Arial" w:eastAsia="Arial" w:hAnsi="Arial"/>
                <w:sz w:val="18"/>
                <w:szCs w:val="18"/>
                <w:color w:val="auto"/>
              </w:rPr>
              <w:t>Lease terms and discount rates for operating leases were as follows: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4"/>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As of June 30,</w:t>
            </w:r>
          </w:p>
        </w:tc>
        <w:tc>
          <w:tcPr>
            <w:tcW w:w="980" w:type="dxa"/>
            <w:vAlign w:val="bottom"/>
          </w:tcPr>
          <w:p>
            <w:pPr>
              <w:spacing w:after="0"/>
              <w:rPr>
                <w:sz w:val="17"/>
                <w:szCs w:val="17"/>
                <w:color w:val="auto"/>
              </w:rPr>
            </w:pPr>
          </w:p>
        </w:tc>
      </w:tr>
      <w:tr>
        <w:trPr>
          <w:trHeight w:val="25"/>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472"/>
        </w:trPr>
        <w:tc>
          <w:tcPr>
            <w:tcW w:w="8420" w:type="dxa"/>
            <w:vAlign w:val="bottom"/>
            <w:gridSpan w:val="7"/>
          </w:tcPr>
          <w:p>
            <w:pPr>
              <w:spacing w:after="0"/>
              <w:rPr>
                <w:sz w:val="20"/>
                <w:szCs w:val="20"/>
                <w:color w:val="auto"/>
              </w:rPr>
            </w:pPr>
            <w:r>
              <w:rPr>
                <w:rFonts w:ascii="Arial" w:cs="Arial" w:eastAsia="Arial" w:hAnsi="Arial"/>
                <w:sz w:val="18"/>
                <w:szCs w:val="18"/>
                <w:color w:val="auto"/>
                <w:w w:val="97"/>
              </w:rPr>
              <w:t>As of June 30, 2023, future minimum lease payments under operating leases were as follows (in thousands):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9"/>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16"/>
                <w:szCs w:val="16"/>
                <w:color w:val="auto"/>
              </w:rPr>
            </w:pPr>
          </w:p>
        </w:tc>
        <w:tc>
          <w:tcPr>
            <w:tcW w:w="980" w:type="dxa"/>
            <w:vAlign w:val="bottom"/>
          </w:tcPr>
          <w:p>
            <w:pPr>
              <w:spacing w:after="0"/>
              <w:rPr>
                <w:sz w:val="16"/>
                <w:szCs w:val="16"/>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10,657</w:t>
            </w: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10,977</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10,777</w:t>
            </w: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44,391</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92,638</w:t>
            </w:r>
          </w:p>
        </w:tc>
      </w:tr>
      <w:tr>
        <w:trPr>
          <w:trHeight w:val="237"/>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(23,184)</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69,454</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Less: current operating lease liabilities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w:t>
            </w:r>
          </w:p>
        </w:tc>
      </w:tr>
      <w:tr>
        <w:trPr>
          <w:trHeight w:val="25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does not include lease payments that were not fixed at commencement or lease modification.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June 30, 2023 and December 31, 2022.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three and six months ended June 30, 2023 and 2022, the Company did not incur material costs to defend lawsuits or settle claims related to these indemnifications. The Company believes the fair value of these liabilities is not material and accordingly has no liabilities recorded for these agreements as of June 30, 2023 and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Finance Network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June 29, 2022, the Company entered into a credit agreement with Opportunity Finance Network (“OFN”) to lend up to an aggregate of $15.0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unsecured, over the course of 24 months. OFN is a national network of community development financial institutions (“CDFIs”). OFN will use the loan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to make low-cost, fixed-rate loans to OFN-member CDFIs that on-lend those loan proceeds to fund affordable housing, community facilities,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small businesses, nonprofit organizations, consumer finance, and other eligible financing extended by such CDFIs. OFN may borrow in increments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 million or more and may not borrow more than $7.5 million within the first 12 months immediately following the closing date of June 29, 2022.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disbursement made by the Company will bear interest at a rate of 0.75% per annum and will be due quarterly from OFN. The outstanding principal,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accrued and unpaid interest, for each disbursement becomes due and payable 10 years following the disbursement date. During the three and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2023, the Company made one loan disbursement of $2.5 million. During the year ended December 31, 2022, the Company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one loan disbursement of $5.0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 and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Repurchase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stock option grant agreements permit exercise prior to vesting. Upon termination of service of an employee, the Company has the right to repurchase any unvested, but issued, common stock at the original purchase price. The consideration received for an exercise of an option is accounted for as a deposit of the exercise price and is recorded as a liability. Upon vesting of the shares pursuant to the grant agreements, the shares and related liability are reclassified into stockholders’ equity (deficit). As of June 30, 2023 and December 31, 2022, the Company had less than $0.1 million and $0.2 million recorded in accrued expenses and other current liabilities related to 4,792 and 101,593 unvested shares of common stock subject to repurchase,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restricted stock units (“RSUs”).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three and six months ended June 30, 2023, 559,707 shares of Class A common stock were purchased under the 2021 ESPP.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Company currently anticipates that the Share Repurchase Program will extend through June 30, 2024, or such shorter period if $100.0 million in aggregate of shares of the Company’s Class A common stock have been repurchased. The Share Repurchase Program does not obligate the Company to repurchase any dollar amount or number of shares, and the program may be extended, modified, suspended, or discontinued at any time.</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2023, the Company did not repurchase or retire any shares of its Class A common stock. During the three and six months ended June 30, 2022, the Company repurchased and retired 3,061,092 shares of Class A common stock at an average purchase price of $3.43 per share for an aggregate repurchase price of $10.5 million. As of June 30, 2023, the Company had $22.8 million available for future share repurchases under the Share Repurchase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four years. RSUs granted for Class A common stock generally vest on a quarterly basis over two to four years.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summary of the Company’s stock option activity for the six months ended June 30, 2023 and related information is as follows (in thousands, except per share data):</w:t>
      </w: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Weighted Average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39"/>
        </w:trPr>
        <w:tc>
          <w:tcPr>
            <w:tcW w:w="55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 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Contractual Term</w:t>
            </w: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17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6"/>
        </w:trPr>
        <w:tc>
          <w:tcPr>
            <w:tcW w:w="55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w:t>
            </w:r>
          </w:p>
        </w:tc>
        <w:tc>
          <w:tcPr>
            <w:tcW w:w="0" w:type="dxa"/>
            <w:vAlign w:val="bottom"/>
          </w:tcPr>
          <w:p>
            <w:pPr>
              <w:spacing w:after="0"/>
              <w:rPr>
                <w:sz w:val="1"/>
                <w:szCs w:val="1"/>
                <w:color w:val="auto"/>
              </w:rPr>
            </w:pPr>
          </w:p>
        </w:tc>
      </w:tr>
      <w:tr>
        <w:trPr>
          <w:trHeight w:val="229"/>
        </w:trPr>
        <w:tc>
          <w:tcPr>
            <w:tcW w:w="552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2,029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forfeited or 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52,678</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Exercisable at June 30, 2023</w:t>
            </w:r>
          </w:p>
        </w:tc>
        <w:tc>
          <w:tcPr>
            <w:tcW w:w="1360" w:type="dxa"/>
            <w:vAlign w:val="bottom"/>
          </w:tcPr>
          <w:p>
            <w:pPr>
              <w:jc w:val="right"/>
              <w:spacing w:after="0"/>
              <w:rPr>
                <w:sz w:val="20"/>
                <w:szCs w:val="20"/>
                <w:color w:val="auto"/>
              </w:rPr>
            </w:pPr>
            <w:r>
              <w:rPr>
                <w:rFonts w:ascii="Arial" w:cs="Arial" w:eastAsia="Arial" w:hAnsi="Arial"/>
                <w:sz w:val="18"/>
                <w:szCs w:val="18"/>
                <w:color w:val="auto"/>
              </w:rPr>
              <w:t>32,371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0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40,792</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or expected to vest at June 30, 2023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52,683</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$1.32 per share and $2.71 per share during the six months ended June 30, 2023 and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intrinsic value of the options exercised was $0.9 million and $11.8 million for the six months ended June 30, 2023 and 2022, respectively.</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summary of the Company’s RSU activity for the six months ended June 30, 2023 and related information is as follows (in thousands, except per share data):</w:t>
      </w:r>
    </w:p>
    <w:tbl>
      <w:tblPr>
        <w:tblLayout w:type="fixed"/>
        <w:tblInd w:w="0" w:type="dxa"/>
        <w:tblCellMar>
          <w:top w:w="0" w:type="dxa"/>
          <w:left w:w="0" w:type="dxa"/>
          <w:bottom w:w="0" w:type="dxa"/>
          <w:right w:w="0" w:type="dxa"/>
        </w:tblCellMar>
      </w:tblPr>
      <w:tr>
        <w:trPr>
          <w:trHeight w:val="144"/>
        </w:trPr>
        <w:tc>
          <w:tcPr>
            <w:tcW w:w="7400" w:type="dxa"/>
            <w:vAlign w:val="bottom"/>
          </w:tcPr>
          <w:p>
            <w:pPr>
              <w:spacing w:after="0"/>
              <w:rPr>
                <w:sz w:val="12"/>
                <w:szCs w:val="12"/>
                <w:color w:val="auto"/>
              </w:rPr>
            </w:pPr>
          </w:p>
        </w:tc>
        <w:tc>
          <w:tcPr>
            <w:tcW w:w="18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jc w:val="right"/>
              <w:ind w:right="95"/>
              <w:spacing w:after="0" w:line="145" w:lineRule="exact"/>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86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8"/>
              </w:rPr>
              <w:t>21,986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7"/>
        </w:trPr>
        <w:tc>
          <w:tcPr>
            <w:tcW w:w="740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860" w:type="dxa"/>
            <w:vAlign w:val="bottom"/>
          </w:tcPr>
          <w:p>
            <w:pPr>
              <w:ind w:left="1300"/>
              <w:spacing w:after="0"/>
              <w:rPr>
                <w:sz w:val="20"/>
                <w:szCs w:val="20"/>
                <w:color w:val="auto"/>
              </w:rPr>
            </w:pPr>
            <w:r>
              <w:rPr>
                <w:rFonts w:ascii="Arial" w:cs="Arial" w:eastAsia="Arial" w:hAnsi="Arial"/>
                <w:sz w:val="18"/>
                <w:szCs w:val="18"/>
                <w:color w:val="auto"/>
                <w:w w:val="98"/>
              </w:rPr>
              <w:t>18,791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86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1"/>
              </w:rPr>
              <w:t>(4,053)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9"/>
        </w:trPr>
        <w:tc>
          <w:tcPr>
            <w:tcW w:w="7400" w:type="dxa"/>
            <w:vAlign w:val="bottom"/>
          </w:tcPr>
          <w:p>
            <w:pPr>
              <w:ind w:left="240"/>
              <w:spacing w:after="0"/>
              <w:rPr>
                <w:sz w:val="20"/>
                <w:szCs w:val="20"/>
                <w:color w:val="auto"/>
              </w:rPr>
            </w:pPr>
            <w:r>
              <w:rPr>
                <w:rFonts w:ascii="Arial" w:cs="Arial" w:eastAsia="Arial" w:hAnsi="Arial"/>
                <w:sz w:val="18"/>
                <w:szCs w:val="18"/>
                <w:color w:val="auto"/>
              </w:rPr>
              <w:t>RSUs forfeited</w:t>
            </w:r>
          </w:p>
        </w:tc>
        <w:tc>
          <w:tcPr>
            <w:tcW w:w="18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1"/>
              </w:rPr>
              <w:t>(2,442)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2023</w:t>
            </w:r>
          </w:p>
        </w:tc>
        <w:tc>
          <w:tcPr>
            <w:tcW w:w="186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8"/>
              </w:rPr>
              <w:t>34,282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to calculate the fair value of employee and non-employee stock option grants made during the following periods: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240" w:type="dxa"/>
            <w:vAlign w:val="bottom"/>
            <w:gridSpan w:val="3"/>
          </w:tcPr>
          <w:p>
            <w:pPr>
              <w:ind w:left="780"/>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80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80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8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65.4% - 66.8%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53.9% -58.5%</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5.9</w:t>
            </w:r>
          </w:p>
        </w:tc>
        <w:tc>
          <w:tcPr>
            <w:tcW w:w="1680" w:type="dxa"/>
            <w:vAlign w:val="bottom"/>
            <w:gridSpan w:val="2"/>
          </w:tcPr>
          <w:p>
            <w:pPr>
              <w:jc w:val="center"/>
              <w:ind w:left="15"/>
              <w:spacing w:after="0"/>
              <w:rPr>
                <w:sz w:val="20"/>
                <w:szCs w:val="20"/>
                <w:color w:val="auto"/>
              </w:rPr>
            </w:pPr>
            <w:r>
              <w:rPr>
                <w:rFonts w:ascii="Arial" w:cs="Arial" w:eastAsia="Arial" w:hAnsi="Arial"/>
                <w:sz w:val="18"/>
                <w:szCs w:val="18"/>
                <w:color w:val="auto"/>
                <w:w w:val="87"/>
              </w:rPr>
              <w:t>6.0</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168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2"/>
              </w:rPr>
              <w:t>2.6%</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$1.91 - $2.73</w:t>
            </w:r>
          </w:p>
        </w:tc>
        <w:tc>
          <w:tcPr>
            <w:tcW w:w="168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0"/>
              </w:rPr>
              <w:t>$3.39 - $6.06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stock-based compensation expense in the condensed consolidated statements of operations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27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4"/>
        </w:trPr>
        <w:tc>
          <w:tcPr>
            <w:tcW w:w="45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8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11,241</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16,509</w:t>
            </w:r>
          </w:p>
        </w:tc>
      </w:tr>
      <w:tr>
        <w:trPr>
          <w:trHeight w:val="23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6,364</w:t>
            </w:r>
          </w:p>
        </w:tc>
        <w:tc>
          <w:tcPr>
            <w:tcW w:w="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w:t>
            </w:r>
          </w:p>
        </w:tc>
      </w:tr>
      <w:tr>
        <w:trPr>
          <w:trHeight w:val="25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21,576</w:t>
            </w:r>
          </w:p>
        </w:tc>
        <w:tc>
          <w:tcPr>
            <w:tcW w:w="108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17,544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29,688</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was $157.7 million of unrecognized stock-based compensation expense, which is expected to be recognized over a weighted average period of 1.9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Loss Per Share Attributable to Common Stockholders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per share data):</w:t>
      </w: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tcPr>
          <w:p>
            <w:pPr>
              <w:jc w:val="right"/>
              <w:ind w:right="17"/>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93"/>
              </w:rPr>
              <w:t>Six Months Ended June 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Class A</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Class B</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Class A</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Class B</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Class A</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Class B</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Class A</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Class B</w:t>
            </w: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Net loss attributable to common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(15,141)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(11,793)</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(25,050)</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(29,219)</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(39,900)</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(51,366)</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20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w w:val="97"/>
              </w:rPr>
              <w:t>Weighted average shares used in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180"/>
              <w:spacing w:after="0" w:line="176" w:lineRule="exact"/>
              <w:rPr>
                <w:sz w:val="20"/>
                <w:szCs w:val="20"/>
                <w:color w:val="auto"/>
              </w:rPr>
            </w:pPr>
            <w:r>
              <w:rPr>
                <w:rFonts w:ascii="Arial" w:cs="Arial" w:eastAsia="Arial" w:hAnsi="Arial"/>
                <w:sz w:val="18"/>
                <w:szCs w:val="18"/>
                <w:color w:val="auto"/>
              </w:rPr>
              <w:t>computing net loss per share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180"/>
              <w:spacing w:after="0" w:line="189" w:lineRule="exact"/>
              <w:rPr>
                <w:sz w:val="20"/>
                <w:szCs w:val="20"/>
                <w:color w:val="auto"/>
              </w:rPr>
            </w:pPr>
            <w:r>
              <w:rPr>
                <w:rFonts w:ascii="Arial" w:cs="Arial" w:eastAsia="Arial" w:hAnsi="Arial"/>
                <w:sz w:val="18"/>
                <w:szCs w:val="18"/>
                <w:color w:val="auto"/>
                <w:w w:val="94"/>
              </w:rPr>
              <w:t>attributable to Class A and Class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180"/>
              <w:spacing w:after="0" w:line="176" w:lineRule="exact"/>
              <w:rPr>
                <w:sz w:val="20"/>
                <w:szCs w:val="20"/>
                <w:color w:val="auto"/>
              </w:rPr>
            </w:pPr>
            <w:r>
              <w:rPr>
                <w:rFonts w:ascii="Arial" w:cs="Arial" w:eastAsia="Arial" w:hAnsi="Arial"/>
                <w:sz w:val="18"/>
                <w:szCs w:val="18"/>
                <w:color w:val="auto"/>
              </w:rPr>
              <w:t>B common stockholders, basic</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160,763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215,133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123,271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261,856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158,299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216,170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101,248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282,264</w:t>
            </w:r>
          </w:p>
        </w:tc>
        <w:tc>
          <w:tcPr>
            <w:tcW w:w="0" w:type="dxa"/>
            <w:vAlign w:val="bottom"/>
          </w:tcPr>
          <w:p>
            <w:pPr>
              <w:spacing w:after="0"/>
              <w:rPr>
                <w:sz w:val="1"/>
                <w:szCs w:val="1"/>
                <w:color w:val="auto"/>
              </w:rPr>
            </w:pPr>
          </w:p>
        </w:tc>
      </w:tr>
      <w:tr>
        <w:trPr>
          <w:trHeight w:val="230"/>
        </w:trPr>
        <w:tc>
          <w:tcPr>
            <w:tcW w:w="266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loss per share attributable to</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Class A and Class B common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stockholders, basic and diluted</w:t>
            </w:r>
          </w:p>
        </w:tc>
        <w:tc>
          <w:tcPr>
            <w:tcW w:w="2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net loss per share because such securities have an anti-dilutive impact due to losses reported (in thousands):</w:t>
      </w: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1920" w:type="dxa"/>
            <w:vAlign w:val="bottom"/>
            <w:gridSpan w:val="3"/>
          </w:tcPr>
          <w:p>
            <w:pPr>
              <w:ind w:left="980"/>
              <w:spacing w:after="0"/>
              <w:rPr>
                <w:sz w:val="20"/>
                <w:szCs w:val="20"/>
                <w:color w:val="auto"/>
              </w:rPr>
            </w:pPr>
            <w:r>
              <w:rPr>
                <w:rFonts w:ascii="Arial" w:cs="Arial" w:eastAsia="Arial" w:hAnsi="Arial"/>
                <w:sz w:val="14"/>
                <w:szCs w:val="14"/>
                <w:b w:val="1"/>
                <w:bCs w:val="1"/>
                <w:color w:val="auto"/>
                <w:w w:val="96"/>
              </w:rPr>
              <w:t>As of June 30,</w:t>
            </w:r>
          </w:p>
        </w:tc>
        <w:tc>
          <w:tcPr>
            <w:tcW w:w="900" w:type="dxa"/>
            <w:vAlign w:val="bottom"/>
          </w:tcPr>
          <w:p>
            <w:pPr>
              <w:spacing w:after="0"/>
              <w:rPr>
                <w:sz w:val="16"/>
                <w:szCs w:val="16"/>
                <w:color w:val="auto"/>
              </w:rPr>
            </w:pPr>
          </w:p>
        </w:tc>
      </w:tr>
      <w:tr>
        <w:trPr>
          <w:trHeight w:val="25"/>
        </w:trPr>
        <w:tc>
          <w:tcPr>
            <w:tcW w:w="84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420" w:type="dxa"/>
            <w:vAlign w:val="bottom"/>
          </w:tcPr>
          <w:p>
            <w:pPr>
              <w:spacing w:after="0"/>
              <w:rPr>
                <w:sz w:val="15"/>
                <w:szCs w:val="15"/>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38"/>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55,440</w:t>
            </w:r>
          </w:p>
        </w:tc>
      </w:tr>
      <w:tr>
        <w:trPr>
          <w:trHeight w:val="263"/>
        </w:trPr>
        <w:tc>
          <w:tcPr>
            <w:tcW w:w="8420" w:type="dxa"/>
            <w:vAlign w:val="bottom"/>
          </w:tcPr>
          <w:p>
            <w:pPr>
              <w:ind w:left="20"/>
              <w:spacing w:after="0"/>
              <w:rPr>
                <w:sz w:val="20"/>
                <w:szCs w:val="20"/>
                <w:color w:val="auto"/>
              </w:rPr>
            </w:pPr>
            <w:r>
              <w:rPr>
                <w:rFonts w:ascii="Arial" w:cs="Arial" w:eastAsia="Arial" w:hAnsi="Arial"/>
                <w:sz w:val="18"/>
                <w:szCs w:val="18"/>
                <w:color w:val="auto"/>
              </w:rPr>
              <w:t>Unvested RSUs</w:t>
            </w:r>
          </w:p>
        </w:tc>
        <w:tc>
          <w:tcPr>
            <w:tcW w:w="1360" w:type="dxa"/>
            <w:vAlign w:val="bottom"/>
          </w:tcPr>
          <w:p>
            <w:pPr>
              <w:jc w:val="right"/>
              <w:spacing w:after="0"/>
              <w:rPr>
                <w:sz w:val="20"/>
                <w:szCs w:val="20"/>
                <w:color w:val="auto"/>
              </w:rPr>
            </w:pPr>
            <w:r>
              <w:rPr>
                <w:rFonts w:ascii="Arial" w:cs="Arial" w:eastAsia="Arial" w:hAnsi="Arial"/>
                <w:sz w:val="18"/>
                <w:szCs w:val="18"/>
                <w:color w:val="auto"/>
              </w:rPr>
              <w:t>34,282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15,620</w:t>
            </w:r>
          </w:p>
        </w:tc>
      </w:tr>
      <w:tr>
        <w:trPr>
          <w:trHeight w:val="23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early exercised stock options subject to repurchase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Unvested restricted stock</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1,284</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pursuant to the ESPP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r>
      <w:tr>
        <w:trPr>
          <w:trHeight w:val="243"/>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Contingently issuable shares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an income tax expense for the three months ended June 30, 2023 and 2022 of $0.1 million and less than $0.1 million, respectively, both of which were primarily related to foreign taxes. The Company recorded an income tax expense for the six months ended June 30, 2023 and 2022 of $0.4 million and $0.1 million, respectively, both of which were primarily related to foreign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Geographical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geography based on the customers’ location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72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4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22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54,460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52,648</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101,509</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w:t>
            </w:r>
          </w:p>
        </w:tc>
      </w:tr>
      <w:tr>
        <w:trPr>
          <w:trHeight w:val="25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56,889</w:t>
            </w:r>
          </w:p>
        </w:tc>
        <w:tc>
          <w:tcPr>
            <w:tcW w:w="11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54,541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106,660</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long-lived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Nextdoor, our purpose is to cultivate a kinder world where everyone has a neighborhood they can rely on. Neighbors around the world turn to Nextdoor to receive trusted information, give and get help, get things done, and build real world connections with those nearby — neighbors, businesses, and public services. By fostering these connections, both online and in the real world, Nextdoor builds stronger, more vibrant, and more resilient neighborhoods. As of June 30, 2023, Nextdoor was in more than 310,000 neighborhoods around the world and in 1 in 3 households in the United States.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business metrics for the three months ended June 30, 2023 are as follows: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Weekly Active Users (“WAUs”) were 41.6 million, an increase of 13% compared to the three months ended June 30, 2022.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Average revenue per weekly active user (“ARPU”) was $1.37, a decrease of 7% compared to the three months ended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as of and for the three and six months ended June 30, 2023 are as follows:</w:t>
      </w:r>
    </w:p>
    <w:p>
      <w:pPr>
        <w:spacing w:after="0" w:line="171" w:lineRule="exact"/>
        <w:rPr>
          <w:sz w:val="20"/>
          <w:szCs w:val="20"/>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 for the three months ended June 30, 2023 was $56.9 million, an increase of 4% compared to the three months ended June 30, 2022. Revenue for the six months ended June 30, 2023 was $106.7 million, an increase of 1% compared to the six months ended June 30, 2022.</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costs and expenses for the three months ended June 30, 2023 were $98.3 million, an increase of 6% compared to the three months ended June 30, 2022. Total costs and expenses for the six months ended June 30, 2023 were $186.9 million, an increase of 6% compared to the six months ended June 30, 2022.</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for the three months ended June 30, 2023 decreased 4% to $35.4 million, compared to $36.8 million for the three months ended June 30, 2022. Net loss for the six months ended June 30, 2023 decreased 1% to $69.1 million, compared to $69.8 million for the six months ended June 30, 2022.</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loss for the three months ended June 30, 2023 decreased 7% to $18.6 million, compared to $20.0 million for the three months ended June 30, 2022. Adjusted EBITDA loss for the six months ended June 30, 2023 increased 1% to $40.3 million, compared to $40.0 million for the six months ended June 30, 2022.</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cash equivalents, and marketable securities were $551.6 million as of June 30, 2023.</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Non-GAAP Financial Measure</w:t>
      </w:r>
      <w:r>
        <w:rPr>
          <w:rFonts w:ascii="Arial" w:cs="Arial" w:eastAsia="Arial" w:hAnsi="Arial"/>
          <w:sz w:val="18"/>
          <w:szCs w:val="18"/>
          <w:color w:val="auto"/>
        </w:rPr>
        <w:t>” below for more information and for a reconciliation of net loss, the most directly comparable financial measure calculated and presented in accordance with U.S. generally accepted accounting principles (“GAAP”), to Adjusted EBITDA.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to the measures presented in our unaudited condensed consolidated financial statements, we use the following key business metrics to evaluate our business, measure our performance, develop financial forecasts,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Weekly Active Users (WAU)</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define a WAU as a Nextdoor user who opens our application, logs on to our website, or engages with an email with monetizable content at least once during a defined 7-day period.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neighborhood. We also present WAUs by geography because we are more advanced in engagement and monetization in the United States than internationally.</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September 2021, Apple released changes to the Apple email client available on its operating systems, including iOS 15 and iPadOS 15,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WAU for the three months ended June 30, 2023 and 2022 were 41.6 million and 36.9 million, respectively, which represents 13% growth period over period.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Average Weekly Active Users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37555" cy="3008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755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8"/>
        <w:spacing w:after="0" w:line="227" w:lineRule="auto"/>
        <w:tabs>
          <w:tab w:leader="none" w:pos="114"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(“CPM”) basis, a cost per click (“CPC”) basis or on a fixed-fee basis. While we have the ability to serve ads in all emails with monetizable content, we currently only do so on a portion of the total.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494665</wp:posOffset>
            </wp:positionV>
            <wp:extent cx="5314950" cy="2743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Weekly Active User (ARPU)</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activities occur. Our ARPU for the three months ended June 30, 2023 and 2022 was $1.37 and $1.48, respectively, with the decrease due to stronger WAU growth relative to revenue growth.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ARPU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120015</wp:posOffset>
            </wp:positionV>
            <wp:extent cx="5314950" cy="5735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0" cy="573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60"/>
        <w:spacing w:after="0" w:line="430" w:lineRule="auto"/>
        <w:rPr>
          <w:sz w:val="20"/>
          <w:szCs w:val="20"/>
          <w:color w:val="auto"/>
        </w:rPr>
      </w:pPr>
      <w:r>
        <w:rPr>
          <w:rFonts w:ascii="Arial" w:cs="Arial" w:eastAsia="Arial" w:hAnsi="Arial"/>
          <w:sz w:val="18"/>
          <w:szCs w:val="18"/>
          <w:color w:val="auto"/>
        </w:rPr>
        <w:t xml:space="preserve">costs associated with delivering and supporting our advertising products and credit card transaction fees related to processing customer transactions. </w:t>
      </w:r>
      <w:r>
        <w:rPr>
          <w:rFonts w:ascii="Arial" w:cs="Arial" w:eastAsia="Arial" w:hAnsi="Arial"/>
          <w:sz w:val="18"/>
          <w:szCs w:val="18"/>
          <w:b w:val="1"/>
          <w:bCs w:val="1"/>
          <w:i w:val="1"/>
          <w:iCs w:val="1"/>
          <w:color w:val="auto"/>
        </w:rPr>
        <w:t>Research and Development</w:t>
      </w:r>
    </w:p>
    <w:p>
      <w:pPr>
        <w:spacing w:after="0" w:line="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Research and development expenses consist primarily of personnel-related costs, including salaries, benefits,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Sales and marketing expenses consist of personnel-related and other costs which include salaries, commissions, benefits,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small and mid-sized customer acquisition, and neighbor services, which includes personnel-related costs for our neighbor support team, our outsourced neighbor support function, and verification costs.</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Performance marketing costs related to user acquisition largely consist of the distribution of mailed invitations and, to a lesser extent, digital advertising. Performance marketing costs related to small and mid-sized customer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benefits,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cash equivalents, and marketable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consists primarily of unrealized gains and losses from the re-measurement of monetary assets and liabilities denominated in non-functional currencies, and foreign currency transaction gains and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right"/>
              <w:ind w:right="452"/>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6"/>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105,541</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line="243" w:lineRule="exact"/>
              <w:rPr>
                <w:sz w:val="20"/>
                <w:szCs w:val="20"/>
                <w:color w:val="auto"/>
              </w:rPr>
            </w:pPr>
            <w:r>
              <w:rPr>
                <w:rFonts w:ascii="Arial" w:cs="Arial" w:eastAsia="Arial" w:hAnsi="Arial"/>
                <w:sz w:val="18"/>
                <w:szCs w:val="18"/>
                <w:color w:val="auto"/>
              </w:rPr>
              <w:t>Costs and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61,659</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63,688</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32,433</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92,796</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186,914</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177,022</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(38,255)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(80,254)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(71,481)</w:t>
            </w: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(69,730)</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(35,403)</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28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right"/>
              <w:ind w:right="392"/>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6"/>
          </w:tcPr>
          <w:p>
            <w:pPr>
              <w:jc w:val="right"/>
              <w:ind w:right="5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4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4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16,509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6,364</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10,662</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21,576</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following table sets forth the components of our unaudited condensed consolidated statements of operations as a percentage of revenue for each of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rPr>
              <w:t>Six Months Ended June 30,</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4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58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2022</w:t>
            </w:r>
          </w:p>
        </w:tc>
        <w:tc>
          <w:tcPr>
            <w:tcW w:w="1540" w:type="dxa"/>
            <w:vAlign w:val="bottom"/>
            <w:gridSpan w:val="2"/>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56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2022</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3"/>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4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54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19</w:t>
            </w: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65</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60</w:t>
            </w:r>
          </w:p>
        </w:tc>
        <w:tc>
          <w:tcPr>
            <w:tcW w:w="1540" w:type="dxa"/>
            <w:vAlign w:val="bottom"/>
            <w:gridSpan w:val="2"/>
          </w:tcPr>
          <w:p>
            <w:pPr>
              <w:jc w:val="right"/>
              <w:ind w:right="113"/>
              <w:spacing w:after="0"/>
              <w:rPr>
                <w:sz w:val="20"/>
                <w:szCs w:val="20"/>
                <w:color w:val="auto"/>
              </w:rPr>
            </w:pPr>
            <w:r>
              <w:rPr>
                <w:rFonts w:ascii="Arial" w:cs="Arial" w:eastAsia="Arial" w:hAnsi="Arial"/>
                <w:sz w:val="18"/>
                <w:szCs w:val="18"/>
                <w:color w:val="auto"/>
              </w:rPr>
              <w:t>66</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58</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4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55</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54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57</w:t>
            </w: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34</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32</w:t>
            </w:r>
          </w:p>
        </w:tc>
        <w:tc>
          <w:tcPr>
            <w:tcW w:w="1540" w:type="dxa"/>
            <w:vAlign w:val="bottom"/>
            <w:gridSpan w:val="2"/>
          </w:tcPr>
          <w:p>
            <w:pPr>
              <w:jc w:val="right"/>
              <w:ind w:right="113"/>
              <w:spacing w:after="0"/>
              <w:rPr>
                <w:sz w:val="20"/>
                <w:szCs w:val="20"/>
                <w:color w:val="auto"/>
              </w:rPr>
            </w:pPr>
            <w:r>
              <w:rPr>
                <w:rFonts w:ascii="Arial" w:cs="Arial" w:eastAsia="Arial" w:hAnsi="Arial"/>
                <w:sz w:val="18"/>
                <w:szCs w:val="18"/>
                <w:color w:val="auto"/>
              </w:rPr>
              <w:t>34</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r>
      <w:tr>
        <w:trPr>
          <w:trHeight w:val="223"/>
        </w:trPr>
        <w:tc>
          <w:tcPr>
            <w:tcW w:w="51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144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168</w:t>
            </w: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ind w:left="980"/>
              <w:spacing w:after="0"/>
              <w:rPr>
                <w:sz w:val="20"/>
                <w:szCs w:val="20"/>
                <w:color w:val="auto"/>
              </w:rPr>
            </w:pPr>
            <w:r>
              <w:rPr>
                <w:rFonts w:ascii="Arial" w:cs="Arial" w:eastAsia="Arial" w:hAnsi="Arial"/>
                <w:sz w:val="18"/>
                <w:szCs w:val="18"/>
                <w:color w:val="auto"/>
              </w:rPr>
              <w:t>(73)</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(70)</w:t>
            </w:r>
          </w:p>
        </w:tc>
        <w:tc>
          <w:tcPr>
            <w:tcW w:w="1540" w:type="dxa"/>
            <w:vAlign w:val="bottom"/>
            <w:gridSpan w:val="2"/>
          </w:tcPr>
          <w:p>
            <w:pPr>
              <w:ind w:left="1080"/>
              <w:spacing w:after="0"/>
              <w:rPr>
                <w:sz w:val="20"/>
                <w:szCs w:val="20"/>
                <w:color w:val="auto"/>
              </w:rPr>
            </w:pPr>
            <w:r>
              <w:rPr>
                <w:rFonts w:ascii="Arial" w:cs="Arial" w:eastAsia="Arial" w:hAnsi="Arial"/>
                <w:sz w:val="18"/>
                <w:szCs w:val="18"/>
                <w:color w:val="auto"/>
              </w:rPr>
              <w:t>(75)</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(68)</w:t>
            </w: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154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11</w:t>
            </w: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r>
        <w:trPr>
          <w:trHeight w:val="223"/>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14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(62)</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(64)</w:t>
            </w:r>
          </w:p>
        </w:tc>
        <w:tc>
          <w:tcPr>
            <w:tcW w:w="1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r>
      <w:tr>
        <w:trPr>
          <w:trHeight w:val="24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48"/>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1"/>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1"/>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2023 and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60" w:type="dxa"/>
            <w:vAlign w:val="bottom"/>
          </w:tcPr>
          <w:p>
            <w:pPr>
              <w:ind w:left="20"/>
              <w:spacing w:after="0" w:line="143" w:lineRule="exact"/>
              <w:rPr>
                <w:sz w:val="20"/>
                <w:szCs w:val="20"/>
                <w:color w:val="auto"/>
              </w:rPr>
            </w:pPr>
            <w:r>
              <w:rPr>
                <w:rFonts w:ascii="Arial" w:cs="Arial" w:eastAsia="Arial" w:hAnsi="Arial"/>
                <w:sz w:val="14"/>
                <w:szCs w:val="14"/>
                <w:i w:val="1"/>
                <w:iCs w:val="1"/>
                <w:color w:val="auto"/>
              </w:rPr>
              <w:t>(in thousands, except</w:t>
            </w:r>
          </w:p>
        </w:tc>
        <w:tc>
          <w:tcPr>
            <w:tcW w:w="140" w:type="dxa"/>
            <w:vAlign w:val="bottom"/>
          </w:tcPr>
          <w:p>
            <w:pPr>
              <w:spacing w:after="0"/>
              <w:rPr>
                <w:sz w:val="12"/>
                <w:szCs w:val="12"/>
                <w:color w:val="auto"/>
              </w:rPr>
            </w:pPr>
          </w:p>
        </w:tc>
        <w:tc>
          <w:tcPr>
            <w:tcW w:w="90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ind w:right="862"/>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54,541</w:t>
            </w:r>
          </w:p>
        </w:tc>
        <w:tc>
          <w:tcPr>
            <w:tcW w:w="40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shd w:val="clear" w:color="auto" w:fill="CCEEFF"/>
          </w:tcPr>
          <w:p>
            <w:pPr>
              <w:jc w:val="right"/>
              <w:ind w:right="442"/>
              <w:spacing w:after="0"/>
              <w:rPr>
                <w:sz w:val="20"/>
                <w:szCs w:val="20"/>
                <w:color w:val="auto"/>
              </w:rPr>
            </w:pPr>
            <w:r>
              <w:rPr>
                <w:rFonts w:ascii="Arial" w:cs="Arial" w:eastAsia="Arial" w:hAnsi="Arial"/>
                <w:sz w:val="18"/>
                <w:szCs w:val="18"/>
                <w:color w:val="auto"/>
              </w:rPr>
              <w:t>2,348</w:t>
            </w:r>
          </w:p>
        </w:tc>
        <w:tc>
          <w:tcPr>
            <w:tcW w:w="8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4 %</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5"/>
              </w:rPr>
              <w:t>106,660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105,541</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Revenue increased by $2.3 million, or 4%, for the three months ended June 30, 2023 compared to the three months ended June 30, 2022. The increase was primarily due to improvements in advertiser demand for our product offerings, which we believe was driven by increased marketer spending as a result of a stabilizing macroeconomic environment, as well as increased user engagement as measured by a 13% increase in Q2 WAUs. ARPU decreased 7% in the three months ended June 30, 2023 compared to the three months ended June 30, 2022, reflecting stronger year-over-year WAU growth relative to revenue growth.</w:t>
      </w:r>
    </w:p>
    <w:p>
      <w:pPr>
        <w:spacing w:after="0" w:line="128"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Revenue increased by $1.1 million, or 1%, for the six months ended June 30, 2023 compared to the six months ended June 30, 2022. The increase was primarily due to improvements in advertiser demand for our product offerings, which we believe was driven by increased marketer spending as a result of a stabilizing macroeconomic environment, as well as increased user engagement as measured by a 13% increase in Q2 WAUs. Year-to-date ARPU decreased 11% in the six months ended June 30, 2023 compared to the six months ended June 30, 2022, reflecting stronger year-over-year WAU growth relative to revenue growth.</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10,438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2 %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Cost of revenue increased by $0.3 million, or 2%, for the three months ended June 30, 2023 compared to the three months ended June 30, 2022. The increase was primarily due to a $0.3 million increase in allocated personnel-related costs.</w:t>
      </w:r>
    </w:p>
    <w:p>
      <w:pPr>
        <w:spacing w:after="0" w:line="10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Cost of revenue increased by $1.1 million, or 6%, for the six months ended June 30, 2023 compared to the six months ended June 30, 2022. The increase was primarily due to a $0.7 million increase in allocated personnel-related costs and $0.6 million higher third-party hosting costs due to increased user growth and engagement, partially offset by a $0.3 million decrease in merchant processing fees.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60" w:type="dxa"/>
            <w:vAlign w:val="bottom"/>
          </w:tcPr>
          <w:p>
            <w:pPr>
              <w:ind w:left="20"/>
              <w:spacing w:after="0" w:line="135" w:lineRule="exact"/>
              <w:rPr>
                <w:sz w:val="20"/>
                <w:szCs w:val="20"/>
                <w:color w:val="auto"/>
              </w:rPr>
            </w:pPr>
            <w:r>
              <w:rPr>
                <w:rFonts w:ascii="Arial" w:cs="Arial" w:eastAsia="Arial" w:hAnsi="Arial"/>
                <w:sz w:val="14"/>
                <w:szCs w:val="14"/>
                <w:i w:val="1"/>
                <w:iCs w:val="1"/>
                <w:color w:val="auto"/>
              </w:rPr>
              <w:t>(in thousands, except</w:t>
            </w:r>
          </w:p>
        </w:tc>
        <w:tc>
          <w:tcPr>
            <w:tcW w:w="160" w:type="dxa"/>
            <w:vAlign w:val="bottom"/>
          </w:tcPr>
          <w:p>
            <w:pPr>
              <w:spacing w:after="0"/>
              <w:rPr>
                <w:sz w:val="11"/>
                <w:szCs w:val="11"/>
                <w:color w:val="auto"/>
              </w:rPr>
            </w:pPr>
          </w:p>
        </w:tc>
        <w:tc>
          <w:tcPr>
            <w:tcW w:w="92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186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Research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37,117</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32,699</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14 %  $</w:t>
            </w:r>
          </w:p>
        </w:tc>
        <w:tc>
          <w:tcPr>
            <w:tcW w:w="88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70,099</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61,659</w:t>
            </w:r>
          </w:p>
        </w:tc>
        <w:tc>
          <w:tcPr>
            <w:tcW w:w="6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8,440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6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34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40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gridSpan w:val="3"/>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34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Research and development expenses increased by $4.4 million, or 14%, for the three months ended June 30, 2023 compared to the three months ended June 30, 2022. The increase was primarily due to a $4.0 million increase in personnel-related costs primarily driven by an increase in headcount and a $0.3 million increase in allocated overhead costs reflecting an increase in headcount.</w:t>
      </w:r>
    </w:p>
    <w:p>
      <w:pPr>
        <w:spacing w:after="0" w:line="116" w:lineRule="exact"/>
        <w:rPr>
          <w:sz w:val="20"/>
          <w:szCs w:val="20"/>
          <w:color w:val="auto"/>
        </w:rPr>
      </w:pPr>
    </w:p>
    <w:p>
      <w:pPr>
        <w:jc w:val="both"/>
        <w:spacing w:after="0" w:line="328" w:lineRule="auto"/>
        <w:rPr>
          <w:sz w:val="20"/>
          <w:szCs w:val="20"/>
          <w:color w:val="auto"/>
        </w:rPr>
      </w:pPr>
      <w:r>
        <w:rPr>
          <w:rFonts w:ascii="Arial" w:cs="Arial" w:eastAsia="Arial" w:hAnsi="Arial"/>
          <w:sz w:val="17"/>
          <w:szCs w:val="17"/>
          <w:color w:val="auto"/>
        </w:rPr>
        <w:t>Research and development expenses increased by $8.4 million, or 14%, for the six months ended June 30, 2023 compared to the six months ended June 30, 2022. The increase was primarily due to an $8.1 million increase in personnel-related costs primarily driven by an increase in headcount and a $0.6 million increase in third-party software costs, partially offset by a $0.4 million decrease in professional service fees.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Personnel-related and</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76"/>
        </w:trPr>
        <w:tc>
          <w:tcPr>
            <w:tcW w:w="1860" w:type="dxa"/>
            <w:vAlign w:val="bottom"/>
          </w:tcPr>
          <w:p>
            <w:pPr>
              <w:ind w:left="20"/>
              <w:spacing w:after="0" w:line="176" w:lineRule="exact"/>
              <w:rPr>
                <w:sz w:val="20"/>
                <w:szCs w:val="20"/>
                <w:color w:val="auto"/>
              </w:rPr>
            </w:pPr>
            <w:r>
              <w:rPr>
                <w:rFonts w:ascii="Arial" w:cs="Arial" w:eastAsia="Arial" w:hAnsi="Arial"/>
                <w:sz w:val="18"/>
                <w:szCs w:val="18"/>
                <w:color w:val="auto"/>
                <w:w w:val="96"/>
              </w:rPr>
              <w:t>Brand and performance</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8,696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11,037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19,466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(8,429)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186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Neighbor services</w:t>
            </w: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9"/>
        </w:trPr>
        <w:tc>
          <w:tcPr>
            <w:tcW w:w="1860" w:type="dxa"/>
            <w:vAlign w:val="bottom"/>
          </w:tcPr>
          <w:p>
            <w:pPr>
              <w:ind w:left="20"/>
              <w:spacing w:after="0" w:line="169" w:lineRule="exact"/>
              <w:rPr>
                <w:sz w:val="20"/>
                <w:szCs w:val="20"/>
                <w:color w:val="auto"/>
              </w:rPr>
            </w:pPr>
            <w:r>
              <w:rPr>
                <w:rFonts w:ascii="Arial" w:cs="Arial" w:eastAsia="Arial" w:hAnsi="Arial"/>
                <w:sz w:val="18"/>
                <w:szCs w:val="18"/>
                <w:color w:val="auto"/>
              </w:rPr>
              <w:t>Total sales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31,386</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32,627</w:t>
            </w: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60,595</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63,688</w:t>
            </w: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1860" w:type="dxa"/>
            <w:vAlign w:val="bottom"/>
          </w:tcPr>
          <w:p>
            <w:pPr>
              <w:ind w:left="20"/>
              <w:spacing w:after="0" w:line="202" w:lineRule="exact"/>
              <w:rPr>
                <w:sz w:val="20"/>
                <w:szCs w:val="20"/>
                <w:color w:val="auto"/>
              </w:rPr>
            </w:pPr>
            <w:r>
              <w:rPr>
                <w:rFonts w:ascii="Arial" w:cs="Arial" w:eastAsia="Arial" w:hAnsi="Arial"/>
                <w:sz w:val="18"/>
                <w:szCs w:val="18"/>
                <w:color w:val="auto"/>
              </w:rPr>
              <w:t>marketing</w:t>
            </w:r>
          </w:p>
        </w:tc>
        <w:tc>
          <w:tcPr>
            <w:tcW w:w="1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expenses decreased by $1.2 million, or 4%, for the three months ended June 30, 2023 compared to the three months ended June 30, 2022. The decrease was primarily due to a $3.7 million decrease in performance marketing costs for user acquisition as focus shifted to organic user acquisition channels, partially offset by a $2.3 million increase in personnel-related and other costs, which was driven by an increase in headcount, and a $0.5 million increase in performance marketing costs to attract small and mid-sized customers.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expenses decreased by $3.1 million, or 5%, for the six months ended June 30, 2023 compared to the six months ended June 30, 2022. The decrease was primarily due to a $7.9 million decrease in performance marketing costs for user acquisition as focus shifted to organic user acquisition channels and a $0.5 million decrease in performance marketing costs to attract small and mid-sized customers, partially offset by a $5.8 million increase in personnel-related and other costs, which was driven by an increase in headcount.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w w:val="94"/>
              </w:rPr>
              <w:t>Three Months Ended June 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88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80" w:type="dxa"/>
            <w:vAlign w:val="bottom"/>
            <w:tcBorders>
              <w:top w:val="single" w:sz="8" w:color="CCEEFF"/>
            </w:tcBorders>
            <w:shd w:val="clear" w:color="auto" w:fill="CCEEFF"/>
          </w:tcPr>
          <w:p>
            <w:pPr>
              <w:ind w:left="20"/>
              <w:spacing w:after="0" w:line="174" w:lineRule="exact"/>
              <w:rPr>
                <w:sz w:val="20"/>
                <w:szCs w:val="20"/>
                <w:color w:val="auto"/>
              </w:rPr>
            </w:pPr>
            <w:r>
              <w:rPr>
                <w:rFonts w:ascii="Arial" w:cs="Arial" w:eastAsia="Arial" w:hAnsi="Arial"/>
                <w:sz w:val="18"/>
                <w:szCs w:val="18"/>
                <w:color w:val="auto"/>
              </w:rPr>
              <w:t>General and</w:t>
            </w: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12 %  $</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35,869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32,433</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General and administrative expenses increased by $2.1 million, or 12%, for the three months ended June 30, 2023 compared to the three months ended June 30, 2022. The increase was primarily due to a $2.6 million increase in personnel-related costs which was driven by an increase in headcount, partially offset by a $0.7 million decrease in insurance expenses.</w:t>
      </w:r>
    </w:p>
    <w:p>
      <w:pPr>
        <w:spacing w:after="0" w:line="12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General and administrative expenses increased by $3.4 million, or 11%, for the six months ended June 30, 2023 compared to the six months ended June 30, 2022. The increase was primarily due to a $5.0 million increase in personnel-related costs which was driven by an increase in headcount, partially offset by a $1.5 million decrease in insurance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184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6,356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195 %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9,225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Interest income increased by $4.2 million, or 195%, for the three months ended June 30, 2023 compared to the three months ended June 30, 2022. The increase was primarily driven by higher interest rates.</w:t>
      </w:r>
    </w:p>
    <w:p>
      <w:pPr>
        <w:spacing w:after="0" w:line="10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Interest income increased by $9.2 million, or 349%, for the six months ended June 30, 2023 compared to the six months ended June 30, 2022. The increase was primarily driven by higher interest rates.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3"/>
          </w:tcPr>
          <w:p>
            <w:pPr>
              <w:ind w:left="2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86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1"/>
              </w:rPr>
              <w:t>Other income (expense),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(73)%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740" w:type="dxa"/>
            <w:vAlign w:val="bottom"/>
            <w:gridSpan w:val="2"/>
            <w:vMerge w:val="restart"/>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57" w:lineRule="auto"/>
        <w:rPr>
          <w:sz w:val="20"/>
          <w:szCs w:val="20"/>
          <w:color w:val="auto"/>
        </w:rPr>
      </w:pPr>
      <w:r>
        <w:rPr>
          <w:rFonts w:ascii="Arial" w:cs="Arial" w:eastAsia="Arial" w:hAnsi="Arial"/>
          <w:sz w:val="17"/>
          <w:szCs w:val="17"/>
          <w:color w:val="auto"/>
        </w:rPr>
        <w:t>Other expense decreased by $0.5 million, or 73%, for the three months ended June 30, 2023 compared to the three months ended June 30, 2022. The decrease was primarily due to the periodic re-measurement of monetary assets and liabilities denominated in non-functional currencies.</w:t>
      </w:r>
    </w:p>
    <w:p>
      <w:pPr>
        <w:spacing w:after="0" w:line="80" w:lineRule="exact"/>
        <w:rPr>
          <w:sz w:val="20"/>
          <w:szCs w:val="20"/>
          <w:color w:val="auto"/>
        </w:rPr>
      </w:pPr>
    </w:p>
    <w:p>
      <w:pPr>
        <w:jc w:val="both"/>
        <w:spacing w:after="0" w:line="357" w:lineRule="auto"/>
        <w:rPr>
          <w:sz w:val="20"/>
          <w:szCs w:val="20"/>
          <w:color w:val="auto"/>
        </w:rPr>
      </w:pPr>
      <w:r>
        <w:rPr>
          <w:rFonts w:ascii="Arial" w:cs="Arial" w:eastAsia="Arial" w:hAnsi="Arial"/>
          <w:sz w:val="17"/>
          <w:szCs w:val="17"/>
          <w:color w:val="auto"/>
        </w:rPr>
        <w:t>Other expense decreased by $0.6 million, or 65%, for the six months ended June 30, 2023 compared to the six months ended June 30, 2022. The decrease was primarily due to the periodic re-measurement of monetary assets and liabilities denominated in non-functional currencies.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88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Provision for income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276 %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900" w:type="dxa"/>
            <w:vAlign w:val="bottom"/>
            <w:gridSpan w:val="2"/>
            <w:vMerge w:val="restart"/>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61</w:t>
            </w:r>
          </w:p>
        </w:tc>
        <w:tc>
          <w:tcPr>
            <w:tcW w:w="740" w:type="dxa"/>
            <w:vAlign w:val="bottom"/>
            <w:gridSpan w:val="2"/>
            <w:vMerge w:val="restart"/>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597 %</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34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380" w:type="dxa"/>
            <w:vAlign w:val="bottom"/>
            <w:gridSpan w:val="2"/>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gridSpan w:val="3"/>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Provision for income taxes increased by $0.1 million, or 276%, for the three months ended June 30, 2023 compared to the three months ended June 30, 2022. The increase was primarily due to foreign income tax expenses.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Provision for income taxes increased by $0.4 million, or 597%, for the six months ended June 30, 2023 compared to the six months ended June 30, 2022.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foreign income tax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generated losses from our operations, as reflected in our accumulated deficit of $687.4 million as of June 30, 2023.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expansion of our business.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2023, we had $551.6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(the “Share Repurchase Program”), and our ability to obtain equity or debt financing. Moreover, any instability in the U.S. or international banking systems may impact liquidity both in the short term and long term.</w:t>
      </w:r>
    </w:p>
    <w:p>
      <w:pPr>
        <w:spacing w:after="0" w:line="2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 capital as and when required would have an adverse effect, which could be material, on our results of operations, financial condition, and ability to achieve our business objectives.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We currently anticipate that the Share Repurchase Program will extend through June 30, 2024, or such shorter period if $100.0 million in aggregate of shares of our Class A common stock have been repurchased. The Share Repurchase Program does not obligate us to repurchase any dollar amount or number of shares, and the program may be extended, modified, suspended, or discontinued at any time. During the three and six months ended June 30, 2023, we did not repurchase or retire any shares of Class A common stock. As of June 30, 2023, we had $22.8 million available for future share repurchases under the Share Repurchase Program.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8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(28,121)</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52,625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(435,600)</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in operating activities during the six months ended June 30, 2023 was $26.0 million which resulted from a net loss of $69.1 million, adjusted for non-cash charges of $35.7 million and net cash inflows of $7.4 million from changes in operating assets and liabilities. Non-cash charges primarily consisted of $37.4 million of stock-based compensation expense and $2.9 million of depreciation and amortization expense. The net cash inflows from changes in operating assets and liabilities were primarily due to a $3.4 million increase in accrued expenses and other liabilities, a $2.4 million decrease in operating lease right-of-use assets due to normal amortization, a $1.7 million decrease in prepaid expenses and other assets, a $1.4 million decrease in accounts receivable, and a $1.4 million increase in accounts payable. These amounts were partially offset by a $2.8 million decrease in operating lease liabilities due to lease payments.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used in operating activities during the six months ended June 30, 2022 was $28.1 million which resulted from a net loss of $69.8 million, adjusted for non-cash charges of $31.0 million and net cash inflows of $10.7 million from changes in operating assets and liabilities. Non-cash charges primarily consisted of $29.7 million of stock-based compensation expense and $2.7 million of depreciation and amortization expense. The net cash inflows from changes in operating assets and liabilities were primarily due to a $4.3 million increase in accrued expenses and other current liabilities, a $3.7 million decrease in accounts receivable, a $3.6 million decrease in prepaid expenses and other assets, and a $3.4 million decrease in operating lease right-of-use assets due to normal amortization. These amounts were partially offset by a $3.5 million decrease in operating lease liabilities due to lease payments and a $0.8 million decrease in accounts payable.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investing activities for the six months ended June 30, 2023 was $52.6 million, which consisted of proceeds from maturities of marketable securities of $306.8 million and proceeds from sales of marketable securities of $51.6 million. This was partially offset by purchases of marketable securities of $303.2 million and a loan to Opportunity Finance Network of $2.5 million.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for the six months ended June 30, 2022 was $435.6 million, which consisted of purchases of marketable securities of $482.7 million and the purchase of property and equipment of $1.3 million. This was partially offset by proceeds from maturities of marketable securities of $46.6 million and proceeds from sales of marketable securities of $1.7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financing activities for the six months ended June 30, 2023 was $3.6 million, which consisted of $2.6 million of proceeds from the exercise of stock options and $1.1 million of proceeds from the issuance of common stock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financing activities for the six months ended June 30, 2022 was $18.4 million, which included prepayment under the Share Repurchase Program of $14.5 million, repurchases of common stock of $10.5 million, tax withholdings on release of restricted stock units of $0.7 million, and payment of deferred transaction costs of $0.3 million, partially offset by $7.6 million of proceeds from the exercise of stock options.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EBITDA is a non-GAAP financial measure that represents our net loss adjusted for depreciation and amortization, stock-based compensation, net interest income, provision for income taxes, and any acquisition-related costs.</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loss, the most comparable GAAP measure, to Adjusted EBITDA:</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(69,791)</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29,688</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(18,605)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(20,045)</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(40,266)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(39,982)</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critical accounting policies requiring estimates, assumptions, and judgments as compared to the critical accounting policies and estimates as described in our Annual Report on Form 10-K for the year ended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2 to our unaudited condensed consolidated financial statements included elsewhere in this Quarterly Report for more information regarding recently issued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2023, we had cash and cash equivalents of $74.3 million and marketable securities of $477.3 million. Our cash and cash equivalents consist of cash in bank accounts, demand deposits, money market funds, corporate bonds, and commercial paper.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Quarterly Report, and have concluded that, based on such evaluation, our disclosure controls and procedures were effective as of June 30, 2023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Disclosure Controls and Procedures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or financial results.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commenced operating the Nextdoor platform in 2011 and began supporting the platform with advertising in 2016.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continue to grow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global economic and financial conditions could harm our business and financial condition.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Adverse global economic and financial events and the effects thereof, such as the persisting impacts of the COVID-19 pandemic, the war in Ukraine, inflation, rising interest rates, potential recessions, fluctuations in foreign exchange rates, recent turmoil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spacing w:after="0" w:line="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neighbor or advertiser engagement on the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slower than anticipated growth in, or lack of growth or decreases in, the number of neighbors on the platform;</w:t>
      </w:r>
    </w:p>
    <w:p>
      <w:pPr>
        <w:spacing w:after="0" w:line="171"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macroeconomic conditions, whether in the advertising industry in general, among specific types of advertisers or within particular geographies, including but not limited to the recent turmoil in the global banking system, labor shortages, supply chain disruptions, a potential recession, inflation and rising interest rates;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competitors offering more attractive pricing for advertisements that we are unable or unwilling to match;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quantity or quality of advertisements shown to neighbors;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demographics of our neighbors that make us less attractive to advertisers;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neighbors who exercise opt-out rights under privacy laws to restrict the advertisements they receive;</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neighbors that upload content or take other actions that are deemed to be hostile, inappropriate, illicit, objectionable, illegal, or otherwise not consistent with the brand of our advertisers;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government actions or legislative, regulatory, or other legal developments;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neighbor behavior or changes to the platform that may affect, among other things, the safety and security of other neighbors or the cultivation of a positive and inclusive online community;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media reports or other negative publicity involving us;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or enforcing policies, such as advertising policies, community guidelines, and other terms or service that are perceived negatively by advertisers;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improve our products for advertisers;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in, or reductions to, the availability, accuracy, utility, and security of analytics and measurement solutions offered by us or third parties that are intended to demonstrate the value of our advertisements to advertisers; and</w:t>
      </w:r>
    </w:p>
    <w:p>
      <w:pPr>
        <w:spacing w:after="0" w:line="116" w:lineRule="exact"/>
        <w:rPr>
          <w:rFonts w:ascii="Arial" w:cs="Arial" w:eastAsia="Arial" w:hAnsi="Arial"/>
          <w:sz w:val="18"/>
          <w:szCs w:val="18"/>
          <w:color w:val="auto"/>
        </w:rPr>
      </w:pPr>
    </w:p>
    <w:p>
      <w:pPr>
        <w:ind w:left="660" w:right="22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data privacy practices that affect the type or manner of advertising that we are able to provide, including as a result of changes to laws, regulations or regulatory actions, such as the GDPR, European Directive 2002/58/EC (the “ePrivacy Directive”), UK General Data Protection Regulation (“UK GDPR”), UK Data Protection Act 2018, the CCPA, Nevada’s Online Privacy Law, the CDPA, the VCPDA, the CPRA, and other U.S. state privacy laws, or changes to third-party policies.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launched its Intelligent Tracking Prevention (“ITP”) feature in its Safari browser. ITP blocks some or all third-party cookies by default on mobile and desktop and ITP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introduced an App Tracking Transparency framework that limits the ability of mobile applications to request an iOS device’s advertising identifier and may also affect our ability to track neighbors’ actions off our platform and connect their interactions with on-platform advertising. Similarly, Google has announced that it plans to start phasing out third-party cookies in its Google Chrome browser, beginning in the second half of 2024, and, more recently, that it intends to limit access by mobile applications to advertising identifiers on Android devices. These web and mobile browser developers have also implemented and may continue to implement changes and restrictions in browser or device functionality that limit our ability to communicate with or understand the identity of our neighbors.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the current growth rate, if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neighbor base slows or reverses, we may be required to incur significantly higher marketing expenses than we currently anticipate in order to acquire new neighbors or retain current neighbors.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There are many factors that could negatively impact our ability to grow, retain and engage current and prospective neighbors, including but not limited to:</w:t>
      </w:r>
    </w:p>
    <w:p>
      <w:pPr>
        <w:spacing w:after="0" w:line="19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neighbors increasing their engagement with competitors’ platforms, products or services instead of, or more frequently than, our platform;</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amount of time neighbors spend across all applications and platforms, including our platform;</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failing to introduce platform enhancements that neighbors find engaging or if we introduce new features, terms, policies or procedures, or make changes to our platform, that are not favorably received by current or prospective neighbors;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technical or other problems frustrating the neighbor experience, such as problems that prevent us from delivering our service in a fast and reliable manner;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neighbors having difficulty installing, updating or otherwise accessing the Nextdoor platform on mobile devices through the app or web browsers;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neighbor behavior on the Nextdoor platform changing, including a decrease in the quality and frequency of content shares on the platform;</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mandated by legislation, government and regulatory authorities, or litigation that adversely impact our platform or neighbors;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 parties preventing their content from being displayed on the Nextdoor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we may make to how we promote different features on our platform;</w:t>
      </w:r>
    </w:p>
    <w:p>
      <w:pPr>
        <w:spacing w:after="0" w:line="17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initiatives designed to attract and retain neighbors and engagement are unsuccessful or discontinued, whether as a result of actions by us, third parties, or otherwise;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other partners and companies in the industry are the subject of adverse media reports or other negative publicity;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unable to combat spam, harassment, cyberbullying or other hostile, inappropriate, abusive or offensive content or usage on our platform; or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cannot preserve and enhance our brand and reputation as a trusted neighborhood networking community.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competitive. Competition presents an ongoing threat to the success of our business.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compete with companies that provide a variety of internet products, services, content, and online advertising. In addition, aspects of our platform compete with other products and services, including home services, classifieds, real estate,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real estate,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Moreover, Google recently announced that it intends to limit access by mobile applications to advertising identifiers on Android devices, likely by the end of 2024.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popularity, usefulness, ease of use, performance, and reliability of our platform compared to our competitors’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and composition of our neighbor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engagement of neighbors with our platform and competing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and third-party data available to us relative to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advertisers who use our free or paid advertisements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market acceptance of developments and enhancements to our platform or our competitors’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safety and security efforts and our ability to protect neighbor data and to provide neighbors with control over their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distribute our platform to new and existing neighbors;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monetize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successful implementation of platform changes, such as the migration to our proprietary ad server;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frequency, size, format, quality, and relative prominence of the advertisements displayed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and selling efforts, including our ability to measure the effectiveness of our advertisements and to provide advertisers with a compelling return on their investments;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publisher interest in integrating their content with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mandated by legislation, regulatory authorities, or litigation, some of which may have a disproportionate effect on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 particularly software engineers, designers, and managers;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cost-effectively manage and grow our operations;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and brand strength relative to those of our competitors.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 in Ukraine),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majority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substantial portion of our network infrastructure is provided by third parties, including AWS.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our revenue growth has slowed in recent quarters, since inception, we have experienced rapid growth and expect to continue to invest broadly across our organization to support our growth. Although we have experienced rapid growth historically, we may not return to prior growth rates or sustain our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plan to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as we have grown, our business has become increasingly complex and requires more resources. To manage any future growth effectively, we must continue to improve and expand our information technology and financial infrastructure, our operating 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administrative systems and controls, and our ability to manage headcount, capital, and processes in an efficient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recent turmoil in the global banking system, labor shortages, supply chain disruptions, a potential recession, rising interest rates and inflation, the war in Ukraine and the persisting impacts of the COVID-19 pandemic.</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our artificial intelligence initiatives, which could adversely affect our business, reputation, or financial results.</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We are continuing to make investments in artificial intelligence (“AI”) initiatives, including to recommend relevant unconnected content across our products, enhance our advertising tools, and develop new product features using generative AI. Our AI initiatives may require increased investment in infrastructure and headcount.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For example, the use of datasets to develop AI models, the content generated by AI systems, or the application of AI systems may be found to be insufficient, offensive, biased, or harmful, or violate current or future laws and regulations. Moreover, AI may give rise to litigation risk, including potential intellectual property or privacy liability. In addition, market acceptance of AI technologies is uncertain, and we may be unsuccessful in our product development efforts. Any of these factors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negatively affects our business from time to time.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plan to continue expanding our business operations abroad by opening new and expanding within existing neighborhoods outside of the United States. As of June 30, 2023, the Nextdoor platform was accessible in 11 countries (including the United States) and had over 310,000 neighborhoods. We plan to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spacing w:after="0" w:line="12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acts of war or terrorism, including the war in Ukraine;</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damage to our brand and reputation due to compliance with local laws, including potential censorship and requirements to provide neighbor information to local authorities;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enhanced difficulty in reviewing content on the Nextdoor platform and enforcing community standards across different languages and countries;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multiple U.S. and international tax jurisdictions and management of tax impact of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higher levels of credit risk and payment fraud;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integrating any foreign acquisitions;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burdens of complying with a variety of foreign laws, including laws related to taxation, content removal, data localization, data transfer, consents, payments, and regulatory oversight;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71"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legal compliance costs associated with multiple international locations.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need additional capital in the future, it may not be available on favorable terms, if at all.</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plan to continue to make acquisitions, which could harm our financial condition or operating results and may adversely affect the price of our Class A common stock.</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our business strategy, we have made, and intend to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the persisting impacts of the COVID-19 pandemic, and workforce participation rates.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future success also depends in large part on the continued services of senior management and other key personnel. In particular, we are dependent on the services of Sarah Friar, our Chief Executive Officer and President, who is critical to the future vision and strategic direction of our business. We rely on our leadership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core values may conflict with the short-term interests of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Security and Technology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dependent on third-party software and service providers, including the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we rely on third-party technology providers in our business, we rely on the cybersecurity practices and policies adopted by these third parties. Our ability to monitor our third-party technology providers’ cybersecurity practices is limited.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rely on third parties, including email providers, mobile data networks, and geolocation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rely on third parties to verify our neighbors’ accounts through several methods, including but not limited to email, SMS text message, phone calls, geolocation and mailed invitations. For example, we utilize email providers, mobile data networks, and geolocation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 may be more costly to use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 our current providers. Any disruption in the third parties could harm our neighbor growth, which in turn could make us a less attractive advertising platform and harm our reputation, and could harm our business, operating results, and financial condition.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trend towards working from home and using private residential networks to access the Internet, which has arisen in response to the persisting impacts of the COVID-19 pandemic and other global economic and labor market conditions, may further exacerbate risks associated with cyberattacks and data security breaches, because we cannot guarantee these private work environments and electronic connections to our work environment have the same robust security measures deployed in our physical offices.</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take a variety of technical and organizational security measures and other measures to protect our data. Although we have implemented systems and processes that are designed to protect our data and our neighbors’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Security breaches may cause interruptions to our platform, degrade the neighbor experience, cause neighbors or advertisers to lose confidence and trust in our platform, impair our internal systems, or result in financial harm to our company.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 on our business, operating results, financial condition, market acceptance of our products or revenues and may also divert development resources and increase service and support costs.</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security breach of our system could trigger a breach of our agreements with partners that we rely on to deliver our services and expose us to significant loss.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the release of iOS 14.5 brought with it a number of new changes, including the need for neighbors using the app to opt in before their identifier for advertisers (“IDFA”) can be accessed by an app (which came into effect in April 2021). Apple’s IDFA is a string of numbers and letters assigned to Apple devices which advertisers use to identify app users to deliver personalized and targeted advertising. As a consequence, the ability of advertisers to accurately target and measure their advertising campaigns at the neighbor level will depend on the opt-in rate to grant IDFA access and if the opt-in rate is low, advertisers’ ability to target and measure advertising campaigns on the Nextdoor platform may become significantly limited. We did not observe any directly attributable negative impact on our business, operating results or financial condition, including our revenue, revenue growth rates, and operating income (loss), related to the introduction of IDFA during the six months ended June 30, 2023, though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 Further, in May 2022, Apple introduced changes for the Apple mail client available on its operating systems, including iOS 15, iPadOS 15, and macOS 12, which have impacted, and are expected to continue to impact our ability to track individual users and devices, and measure the effectiveness of our advertisements. Moreover, Google recently announced that it intends to limit access by mobile applications to advertising identifiers on Android devices, likely by the end of 2024. As a result, advertisers may find our products less appealing and may seek alternative platforms on which to run their advertising campaigns.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and ethical issues may result in reputational harm and liability.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disclosures on environmental, social, and governance (“ESG”) matters, and any standards we may set for ourselves or a failure to meet these standards, may influence our reputation and the value of our brand. For example, we have elected to share publicly certain information about our ESG initiatives and information, and our commitment to the recruitment, engagement and retention of a diverse board and workforce. In addition, the SEC has also proposed additional disclosure requirements regarding, among other ESG topics, the impact our business has on the environment.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To the extent the SEC proposals become effective for our company, we will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results difficult to predict.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revenues from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acquire, retain, and grow our neighbors and neighbor engagement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attract and retain advertisers;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recognize revenue or collect payments from advertisers in a particular period;</w:t>
      </w:r>
    </w:p>
    <w:p>
      <w:pPr>
        <w:spacing w:after="0" w:line="171"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spending by our advertisers due to macroeconomic conditions, seasonality, episodic regional or global events, including the persisting impacts of the COVID-19 pandemic, or other factors;</w:t>
      </w:r>
    </w:p>
    <w:p>
      <w:pPr>
        <w:spacing w:after="0" w:line="197" w:lineRule="exact"/>
        <w:rPr>
          <w:rFonts w:ascii="Arial" w:cs="Arial" w:eastAsia="Arial" w:hAnsi="Arial"/>
          <w:sz w:val="18"/>
          <w:szCs w:val="18"/>
          <w:color w:val="auto"/>
        </w:rPr>
      </w:pPr>
    </w:p>
    <w:p>
      <w:pPr>
        <w:ind w:left="660" w:right="4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domestic and global business and macroeconomic conditions, including the recent turmoil in the global banking system, potential recession, the continued rise of inflation and interest rates, persisting impacts of the COVID-19 pandemic, and the war in Ukraine;</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internet usage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prominence, size, format, quality and relevancy of advertisements shown to neighbors;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technologies designed to block the display of advertisements;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pricing of our advertisements;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cost of and mix of new and existing sales and marketing and promotional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our platform and app on mobile devices and other third-party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our platform or the development and introduction of new products or services by our competitors;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neighbor behavior or platform changes that may reduce traffic to features of the platform that we monetize;</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system failures, disruptions, breaches of security or privacy, whether on our platform or on those of third parties, and the costs associated with any such breaches and remediation;</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or viruses;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incurring additional expenses, such as increases in sales and marketing or research and development, including as a result of the persisting impacts of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cybersecurity, or actions by governments or regulators, including fines, orders, or consent decrees;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believe that our rapid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market opportunities and key metric estimates could prove to be inaccurate, and any real or perceived inaccuracies may harm our reputation and negatively affect our business.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section, which could cause actual results to differ materially from our estimates. Unfavorable changes in any of these or other assumptions, most</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regularly review key business and other metrics, including WAUs, Verified Neighbors and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For example, in 2021, Apple introduced changes for the Apple mail client available on its operating systems, including iOS 15, iPadOS 15, and macOS 12, which have limited, and are expected to continue to limit, our ability to track individual users and devices, and measure user engagement with our emails containing monetizable content for users that use the Apple email client. These changes have affected our ability to calculate WAUs, a key business metric. Because of the introduction of these changes, we are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experienced significant net losses each year since we began operations in 2007, including net losses of $69.1 million and $69.8 million for the six months ended June 30, 2023 and 2022, respectively. We have an accumulated deficit of $687.4 million as of June 30, 2023.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hiring additional team members, developing and enhancing our platform, marketing and sales, and enhancing our infrastructure. Our expansion efforts may prove more expensive than we anticipate, and we may not succeed in increasing our revenues sufficiently to offset these higher expenses.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2022, we had gross U.S. federal net operating loss (“NOL”) carryforwards of approximately $382.1 million and gross state NOL carryforwards of approximately $234.8 million, which if not utilized, will begin to expire for federal and state income tax purposes beginning in 2028. To the extent that we continue to generate taxable losses, unused losses will carry forward to offset future taxable income, if any. Under the 2017 Tax Cuts and Jobs Act,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currency exchange rates fluctuate substantially in the future, our operating results, which are reported in U.S. dollars, could be adversely affected.</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greater than anticipated tax liabilities, which could harm our business, revenue and financial results.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a number of tax jurisdictions globally, including in the United States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 In August 2022, President Biden signed into law the Inflation Reduction Act of 2022 (“IRA”). The IRA includes a 15% corporate alternative minimum tax for companies with modified GAAP net income in excess of $1 billion, a 1% excise tax on certain stock repurchases, and numerous environmental and green energy tax credits. Currently, we are not subject to the corporate alternative minimum tax and we do not expect the new law to have a material impact on our results of operations.</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As of June 30, 2023, we had $22.8 million available for future share repurchases under the Share Repurchase Program.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as a result of content or information that is published or made available on our platform.</w:t>
      </w:r>
    </w:p>
    <w:p>
      <w:pPr>
        <w:spacing w:after="0" w:line="15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Additionally, some controversial content may not be banned on the Nextdoor platform and, even if it is not featured in advertisements to neighbors, it may still appear in the newsfeed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business is subject to complex and evolving U.S. and foreign laws, regulations, and industry standards, many of which are subject to change and uncertain interpretations, which uncertainty could harm our business, operating results, and financial condition.</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many U.S. federal and state and foreign laws, regulations and industry standards that involve matters central to our business, including laws and regulations that involve data privacy, data security, intellectual property (including copyright and patent laws), content, rights of publicity, advertising, marketing, competition, protection of minors, age verification, consumer protection, taxation, and telecommunications.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Although the U.S. Supreme Court declined to narrow the scope of Section 230 in its Gonzalez v. Google decision, there are still legislative efforts to amend the CDA, which if successful could expose us to additional lawsuits and potential judgments that could seriously harm our business. We could incur significant costs investigating and defending such claims and, if we are found liable, significant damages.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Digital Services Act (the “DSA”), signed into law in the European Union on October 19, 2022, is a package of legislation intended to update the liability and safety rules for digital platforms, products, and services. The DSA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The United Kingdom, similarly, has proposed a draft Online Safety Bill, which, if passed, would create requirements around monitoring and handling harmful content and require us to expend resources to try to comply with the new regulations or incur liability. Similarly, Australia’s Online Safety Act 2021, which went into effect in January 2022, and its accompanying Social Media Services Code, which goes into effect in December 2023, may impose new obligations and liabilities on platforms with respect to certain types of harmful content. These new and proposed laws, together with any changes to the existing laws and regulations within the jurisdictions in which</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could require us to expend additional resources to maintain compliance with any new or evolving regulations. As a result, we may incur additional liability, and our business, operating results, and financial condition could be harmed.</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and security and the processing of personal information and other data from neighbors, employees or business partners. The regulatory framework for privacy, information security, data protection and processing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and security can subject us to potential actions if they are found to be deceptive, unfair, or otherwise misrepresent our actual practices, which could materially and adversely affect our business, operating results, and financial condition.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United States, we are subject to numerous federal, state and local data privacy and security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Additionally, California voters approved a new privacy law, the CPRA, which became effective January 1, 2023 (with a look back to January 1, 2022). The CPRA significantly modifies the CCPA, including by expanding consumers’ rights and establishing a new state agency that is vested with authority to implement and enforce the CPRA. Other states have also passed comparable legislation, with unique compliance requirements relevant to our business. For example, Virginia, Colorado, Connecticut, and Utah have all passed data privacy laws that go into effect at various times in 2023,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Compliance with these laws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Outside the United States, we are subject to an increasing number of laws, regulations and industry standards that apply to data privacy and security. In Canada, we are subject to the Personal Information Protection and Electronic Documents Act, which governs the collection, use and disclosure of Canadian residents’ personal information in the course of commercial activities. In Australia, we are also subject to, among other laws, Australia’s “Privacy Act 1988” and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In the EEA, we are subject to the GDPR and in the United Kingdom, we are subject to the United Kingdom data protection regime consisting primarily of the UK GDPR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imposes a strict data protection compliance regime, grants new rights for data subjects in regard to their personal data (including the right to be “forgotten” and the right to data portability) and enhances current rights (e.g., data subject access requests).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European Union rules with respect to cross-border transfers of personal data out of the EEA and the United Kingdom. After years of uncertainty following the July 16, 2020 decision of the Court of Justice of the European Union (the “CJEU”) invalidating the EU-U.S. Privacy Shield Framework (the “Privacy Shield”), on July 10, 2023 the European Commission adopted its adequacy decision for the new EU-U.S. Data Privacy Framework (“DPF”). The DPF creates a path forward for personal data to be transferred from the EU to United States for U.S. entities that have self-certified with the U.S. Department of Commerce.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We are also subject to evolving EU and U.K. privacy laws on cookies and e-marketing. In the EU and the U.K., regulators are increasingly focusing on compliance with current national laws that implement the ePrivacy Directive. The ePrivacy Directive may be replaced by an EU regulation known as the ePrivacy Regulation that will significantly increase fines for non-compliance. In the EU and the U.K., informed consent is required for the placement of certain cookies or similar technologies on a user’s device and for direct electronic marketing and (under the UK GDPR and the GDPR) valid consent is tightly defined, including, a prohibition on pre-checked consents and, in the context of cookies, a requirement to obtain separate consents for each type of cookie or similar technology. While the text of the ePrivacy Regulation is still under development, a December 2021 European court decision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 Furthermore, the EU Artificial Intelligence Act was proposed on April 21, 2021 by the European Commission and aims to introduce a common regulatory and legal framework for artificial intelligence. The proposal, among other things, regulates AI providers and entities making use of AI tools in a professional capacity, and would require the implementation of additional quality assurance controls and measures to be reviewed and approved by regulatory submissions of our products.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other jurisdictions that could impose new obligations or limitations in areas affecting our business.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that have greater resources. Even though we communicate with lawmakers and regulators in countries and regions in which we conduct business, and despite having a dedicated policy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involved in legal disputes that are expensive and time consuming, and, if resolved adversely, could harm our business, operating results, and financial condition.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Exposure to United Kingdom political developments, including the effect of its withdrawal from the European Union, could be costly and difficult to comply with and could adversely impact our business,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2016, a referendum was passed in the United Kingdom to leave the European Union, commonly referred to as “Brexit.” This decision created an uncertain political and economic environment in the United Kingdom and other European Union countries, and the formal process for leaving the European Union has taken years to complete. Although the United Kingdom and the European Union have recently entered into a trade and cooperation agreement, the long-term nature of the United Kingdom’s relationship with the European Union remains unclear and there is considerable uncertainty as to their future political and economic relations. The political and economic instability created by Brexit has caused and may continue to cause significant volatility in global financial markets and uncertainty regarding the regulation of cybersecurity in the United Kingdom. In addition, Brexit could lead to legal uncertainty and potentially divergent national laws and regulations as the United Kingdom determines which European Union laws to replace or replicate. For example, as discussed above, although the European Commission has adopted an adequacy decision in favor of the United Kingdom, enabling data transfers from EU member states to the United Kingdom without additional safeguards, uncertainty remains regarding how data transfers to and from the United Kingdom will be regulated in the long term. Brexit could also have the effect of disrupting the free movement of goods, services, capital, and people between the United Kingdom, the European Union, and elsewhere. The full effect of Brexit is uncertain and depends on any current and future agreements the United Kingdom makes with the European Union and others. Consequently, no assurance can be given about the impact of these developments, and our operational, tax, and other policies may require reassessment and our business, operating results, and financial condition may be seriously harmed.</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Operating as a public company has and is expected to continue to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spacing w:after="0" w:line="111" w:lineRule="exact"/>
        <w:rPr>
          <w:sz w:val="20"/>
          <w:szCs w:val="20"/>
          <w:color w:val="auto"/>
        </w:rPr>
      </w:pPr>
    </w:p>
    <w:p>
      <w:pPr>
        <w:ind w:left="660" w:right="6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with our obligations under the federal securities 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and committees of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new and enhance existing internal policies, including those relating to disclosure controls and procedures.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systems of internal controls and disclosure controls could have a material adverse effect on our business, operating results, and financial condition.</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the value of our brands and other intangible assets may be diminished, and our business, operating results, and financial condition may be adversely affected.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proprietary information.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 for us. We expect the number of such claims to increase as the functionality of our platform overlaps with that of other products and services, and as the volume of issued software patents and patent applications continues to increase.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also face exposure to third-party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parties claiming ownership of what we believe to be open source software, or claiming non-compliance with the applicable open source licensing terms.</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A common stock has been and may continue to be volatile.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user growth, retention, engagement, revenue, or other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involving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between our actual operating results and the expectations of securities analysts, investors, and the financial community;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our competitors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shares of our Class A common stock being sold into the market by us or our existing stockholders, or the anticipation of such sales, or if existing stockholders subject to a lock-up sell shares into the market when applicable “lock-up” periods end;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by us or estimates by third parties of actual or anticipated changes in the size of our user base or the level of user engagement;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technology companies in our industry, including our partners and competitors;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interest rate increases on the overall stock market and the market for technology company stocks;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94" w:lineRule="exact"/>
        <w:rPr>
          <w:rFonts w:ascii="Arial" w:cs="Arial" w:eastAsia="Arial" w:hAnsi="Arial"/>
          <w:sz w:val="16"/>
          <w:szCs w:val="16"/>
          <w:color w:val="auto"/>
        </w:rPr>
      </w:pPr>
    </w:p>
    <w:p>
      <w:pPr>
        <w:ind w:left="660" w:right="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effects of the persisting impacts of the COVID-19 pandemic, the war in Ukraine, recessions, rising inflation, interest rates, local and national elections, the recent turmoil in the global banking system, international currency fluctuations, corruption, political instability and acts of war or terrorism.</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S&amp;P Dow Jones and FTSE Russell limit their eligibility criteria for inclusion of shares of public companies on certain indices, including the S&amp;P 500, namely, to exclude companies with multiple classes of shares of common stock from being added to such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June 30, 2023.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resales of our Class A common stock may cause the market price of our securities to drop significantly, even if our business is doing well.</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June 30, 2023, we had 168,421,864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spacing w:after="0" w:line="13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71" w:lineRule="exact"/>
        <w:rPr>
          <w:rFonts w:ascii="Arial" w:cs="Arial" w:eastAsia="Arial" w:hAnsi="Arial"/>
          <w:sz w:val="18"/>
          <w:szCs w:val="18"/>
          <w:color w:val="auto"/>
        </w:rPr>
      </w:pPr>
    </w:p>
    <w:p>
      <w:pPr>
        <w:ind w:left="660" w:right="340" w:hanging="328"/>
        <w:spacing w:after="0" w:line="31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Bylaws; and</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Forum Provision means that suits brought by our stockholders to enforce any duty or liability created by the Securities Act must be brought in federal court and cannot be brought in state court.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Our stockholders will not be deemed to have waived our compliance with the federal securities laws and the regulations promulgated thereunder.</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March 26, 2021, Khosla Ventures Acquisition Co. II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Simultaneously with the consummation of the initial public offering, KVSB consummated a private placement of 1,100,000 private placement shares, at a price of $10.00 per share, to Khosla Ventures SPAC Sponsor II LLC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31, 2022, our Board of Directors authorized and approved the Share Repurchase Program to repurchase up to $100.0 million in aggregate of our Class A common stock, with the authorization to expire on June 30, 2024. We did not repurchase or retire any shares of Class A common stock during the three and six months ended June 30, 2023. As of June 30, 2023, we had $22.8 million available for future share repurchases under the Share Repurchase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Incorporated by Reference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0" w:type="dxa"/>
            <w:vAlign w:val="bottom"/>
            <w:gridSpan w:val="8"/>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0" w:type="dxa"/>
            <w:vAlign w:val="bottom"/>
            <w:gridSpan w:val="8"/>
            <w:vMerge w:val="continue"/>
          </w:tcPr>
          <w:p>
            <w:pPr>
              <w:spacing w:after="0"/>
              <w:rPr>
                <w:sz w:val="16"/>
                <w:szCs w:val="16"/>
                <w:color w:val="auto"/>
              </w:rPr>
            </w:pPr>
          </w:p>
        </w:tc>
        <w:tc>
          <w:tcPr>
            <w:tcW w:w="1160" w:type="dxa"/>
            <w:vAlign w:val="bottom"/>
          </w:tcPr>
          <w:p>
            <w:pPr>
              <w:ind w:left="42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760" w:type="dxa"/>
            <w:vAlign w:val="bottom"/>
            <w:gridSpan w:val="3"/>
          </w:tcPr>
          <w:p>
            <w:pPr>
              <w:ind w:left="360"/>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8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gridSpan w:val="8"/>
          </w:tcPr>
          <w:p>
            <w:pPr>
              <w:spacing w:after="0" w:line="189" w:lineRule="exact"/>
              <w:rPr>
                <w:sz w:val="20"/>
                <w:szCs w:val="20"/>
                <w:color w:val="auto"/>
              </w:rPr>
            </w:pPr>
            <w:r>
              <w:rPr>
                <w:rFonts w:ascii="Arial" w:cs="Arial" w:eastAsia="Arial" w:hAnsi="Arial"/>
                <w:sz w:val="18"/>
                <w:szCs w:val="18"/>
                <w:color w:val="0000FF"/>
                <w:w w:val="95"/>
              </w:rPr>
              <w:t>Certification of Principal Executive Officer pursuant to</w:t>
            </w: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89"/>
              </w:rPr>
              <w:t>Rule 13a-14(a) and 15d-14(a) under the Exchange Act,</w:t>
            </w:r>
          </w:p>
        </w:tc>
        <w:tc>
          <w:tcPr>
            <w:tcW w:w="16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3"/>
              </w:rPr>
              <w:t>as adopted pursuant to Section 302 of the Sarbanes-</w:t>
            </w:r>
          </w:p>
        </w:tc>
        <w:tc>
          <w:tcPr>
            <w:tcW w:w="18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2"/>
              </w:rPr>
              <w:t>Oxley Act of 2002</w:t>
            </w:r>
          </w:p>
        </w:tc>
        <w:tc>
          <w:tcPr>
            <w:tcW w:w="2380" w:type="dxa"/>
            <w:vAlign w:val="bottom"/>
            <w:tcBorders>
              <w:top w:val="single" w:sz="8" w:color="0000FF"/>
            </w:tcBorders>
            <w:gridSpan w:val="2"/>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gridSpan w:val="9"/>
          </w:tcPr>
          <w:p>
            <w:pPr>
              <w:spacing w:after="0"/>
              <w:rPr>
                <w:sz w:val="20"/>
                <w:szCs w:val="20"/>
                <w:color w:val="auto"/>
              </w:rPr>
            </w:pPr>
            <w:r>
              <w:rPr>
                <w:rFonts w:ascii="Arial" w:cs="Arial" w:eastAsia="Arial" w:hAnsi="Arial"/>
                <w:sz w:val="18"/>
                <w:szCs w:val="18"/>
                <w:color w:val="0000FF"/>
                <w:w w:val="98"/>
              </w:rPr>
              <w:t>Certification of Principal Financial Officer pursuant to</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8"/>
              </w:rPr>
              <w:t>Rule 13a-14(a) and 15d-14(a) under the Exchange Act,</w:t>
            </w: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3"/>
              </w:rPr>
              <w:t>as adopted pursuant to Section 302 of the Sarbanes-</w:t>
            </w:r>
          </w:p>
        </w:tc>
        <w:tc>
          <w:tcPr>
            <w:tcW w:w="18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3"/>
                <w:szCs w:val="23"/>
                <w:color w:val="auto"/>
                <w:vertAlign w:val="superscript"/>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2"/>
              </w:rPr>
              <w:t>Oxley Act of 2002</w:t>
            </w:r>
          </w:p>
        </w:tc>
        <w:tc>
          <w:tcPr>
            <w:tcW w:w="2380" w:type="dxa"/>
            <w:vAlign w:val="bottom"/>
            <w:tcBorders>
              <w:top w:val="single" w:sz="8" w:color="0000FF"/>
            </w:tcBorders>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9"/>
          </w:tcPr>
          <w:p>
            <w:pPr>
              <w:spacing w:after="0"/>
              <w:rPr>
                <w:sz w:val="20"/>
                <w:szCs w:val="20"/>
                <w:color w:val="auto"/>
              </w:rPr>
            </w:pPr>
            <w:r>
              <w:rPr>
                <w:rFonts w:ascii="Arial" w:cs="Arial" w:eastAsia="Arial" w:hAnsi="Arial"/>
                <w:sz w:val="18"/>
                <w:szCs w:val="18"/>
                <w:color w:val="0000FF"/>
                <w:w w:val="96"/>
              </w:rPr>
              <w:t>Certification of Principal Executive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89"/>
              </w:rPr>
              <w:t>18 U.S.C. Section 1350 as adopted pursuant to Section</w:t>
            </w:r>
          </w:p>
        </w:tc>
        <w:tc>
          <w:tcPr>
            <w:tcW w:w="16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3"/>
                <w:szCs w:val="23"/>
                <w:color w:val="auto"/>
                <w:vertAlign w:val="superscript"/>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0"/>
              </w:rPr>
              <w:t>906 of the Sarbanes-Oxley Act of 2002</w:t>
            </w:r>
          </w:p>
        </w:tc>
        <w:tc>
          <w:tcPr>
            <w:tcW w:w="1120" w:type="dxa"/>
            <w:vAlign w:val="bottom"/>
            <w:tcBorders>
              <w:top w:val="single" w:sz="8" w:color="0000FF"/>
            </w:tcBorders>
            <w:gridSpan w:val="3"/>
          </w:tcPr>
          <w:p>
            <w:pPr>
              <w:spacing w:after="0"/>
              <w:rPr>
                <w:sz w:val="14"/>
                <w:szCs w:val="14"/>
                <w:color w:val="auto"/>
              </w:rPr>
            </w:pPr>
          </w:p>
        </w:tc>
        <w:tc>
          <w:tcPr>
            <w:tcW w:w="20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9"/>
          </w:tcPr>
          <w:p>
            <w:pPr>
              <w:spacing w:after="0"/>
              <w:rPr>
                <w:sz w:val="20"/>
                <w:szCs w:val="20"/>
                <w:color w:val="auto"/>
              </w:rPr>
            </w:pPr>
            <w:r>
              <w:rPr>
                <w:rFonts w:ascii="Arial" w:cs="Arial" w:eastAsia="Arial" w:hAnsi="Arial"/>
                <w:sz w:val="18"/>
                <w:szCs w:val="18"/>
                <w:color w:val="0000FF"/>
                <w:w w:val="98"/>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8"/>
              </w:rPr>
              <w:t>18 U.S.C. Section 1350 as adopted pursuant to Section</w:t>
            </w:r>
          </w:p>
        </w:tc>
        <w:tc>
          <w:tcPr>
            <w:tcW w:w="22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0"/>
              </w:rPr>
              <w:t>906 of the Sarbanes-Oxley Act of 2002</w:t>
            </w:r>
          </w:p>
        </w:tc>
        <w:tc>
          <w:tcPr>
            <w:tcW w:w="1120" w:type="dxa"/>
            <w:vAlign w:val="bottom"/>
            <w:tcBorders>
              <w:top w:val="single" w:sz="8" w:color="0000FF"/>
            </w:tcBorders>
            <w:gridSpan w:val="3"/>
          </w:tcPr>
          <w:p>
            <w:pPr>
              <w:spacing w:after="0"/>
              <w:rPr>
                <w:sz w:val="14"/>
                <w:szCs w:val="14"/>
                <w:color w:val="auto"/>
              </w:rPr>
            </w:pPr>
          </w:p>
        </w:tc>
        <w:tc>
          <w:tcPr>
            <w:tcW w:w="20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gridSpan w:val="9"/>
          </w:tcPr>
          <w:p>
            <w:pPr>
              <w:spacing w:after="0"/>
              <w:rPr>
                <w:sz w:val="20"/>
                <w:szCs w:val="20"/>
                <w:color w:val="auto"/>
              </w:rPr>
            </w:pPr>
            <w:r>
              <w:rPr>
                <w:rFonts w:ascii="Arial" w:cs="Arial" w:eastAsia="Arial" w:hAnsi="Arial"/>
                <w:sz w:val="18"/>
                <w:szCs w:val="18"/>
                <w:color w:val="auto"/>
                <w:w w:val="95"/>
              </w:rPr>
              <w:t>Inline XBRL Taxonomy Extension Schema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40" w:type="dxa"/>
            <w:vAlign w:val="bottom"/>
            <w:gridSpan w:val="9"/>
          </w:tcPr>
          <w:p>
            <w:pPr>
              <w:spacing w:after="0" w:line="189" w:lineRule="exact"/>
              <w:rPr>
                <w:sz w:val="20"/>
                <w:szCs w:val="20"/>
                <w:color w:val="auto"/>
              </w:rPr>
            </w:pPr>
            <w:r>
              <w:rPr>
                <w:rFonts w:ascii="Arial" w:cs="Arial" w:eastAsia="Arial" w:hAnsi="Arial"/>
                <w:sz w:val="18"/>
                <w:szCs w:val="18"/>
                <w:color w:val="auto"/>
              </w:rPr>
              <w:t>Inline XBRL Taxonomy Extension Calculation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40" w:type="dxa"/>
            <w:vAlign w:val="bottom"/>
            <w:gridSpan w:val="9"/>
          </w:tcPr>
          <w:p>
            <w:pPr>
              <w:spacing w:after="0" w:line="189" w:lineRule="exact"/>
              <w:rPr>
                <w:sz w:val="20"/>
                <w:szCs w:val="20"/>
                <w:color w:val="auto"/>
              </w:rPr>
            </w:pPr>
            <w:r>
              <w:rPr>
                <w:rFonts w:ascii="Arial" w:cs="Arial" w:eastAsia="Arial" w:hAnsi="Arial"/>
                <w:sz w:val="18"/>
                <w:szCs w:val="18"/>
                <w:color w:val="auto"/>
                <w:w w:val="96"/>
              </w:rPr>
              <w:t>Inline XBRL Taxonomy Extension Definition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gridSpan w:val="9"/>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40" w:type="dxa"/>
            <w:vAlign w:val="bottom"/>
            <w:gridSpan w:val="9"/>
          </w:tcPr>
          <w:p>
            <w:pPr>
              <w:spacing w:after="0" w:line="189" w:lineRule="exact"/>
              <w:rPr>
                <w:sz w:val="20"/>
                <w:szCs w:val="20"/>
                <w:color w:val="auto"/>
              </w:rPr>
            </w:pPr>
            <w:r>
              <w:rPr>
                <w:rFonts w:ascii="Arial" w:cs="Arial" w:eastAsia="Arial" w:hAnsi="Arial"/>
                <w:sz w:val="18"/>
                <w:szCs w:val="18"/>
                <w:color w:val="auto"/>
              </w:rPr>
              <w:t>Inline XBRL Taxonomy Extension Presentation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40" w:type="dxa"/>
            <w:vAlign w:val="bottom"/>
            <w:gridSpan w:val="9"/>
          </w:tcPr>
          <w:p>
            <w:pPr>
              <w:spacing w:after="0" w:line="189" w:lineRule="exact"/>
              <w:rPr>
                <w:sz w:val="20"/>
                <w:szCs w:val="20"/>
                <w:color w:val="auto"/>
              </w:rPr>
            </w:pPr>
            <w:r>
              <w:rPr>
                <w:rFonts w:ascii="Arial" w:cs="Arial" w:eastAsia="Arial" w:hAnsi="Arial"/>
                <w:sz w:val="18"/>
                <w:szCs w:val="18"/>
                <w:color w:val="auto"/>
                <w:w w:val="97"/>
              </w:rPr>
              <w:t>Cover Page Interactive Date File (formatted in iXBRL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gridSpan w:val="9"/>
          </w:tcPr>
          <w:p>
            <w:pPr>
              <w:spacing w:after="0"/>
              <w:rPr>
                <w:sz w:val="20"/>
                <w:szCs w:val="20"/>
                <w:color w:val="auto"/>
              </w:rPr>
            </w:pPr>
            <w:r>
              <w:rPr>
                <w:rFonts w:ascii="Arial" w:cs="Arial" w:eastAsia="Arial" w:hAnsi="Arial"/>
                <w:sz w:val="18"/>
                <w:szCs w:val="18"/>
                <w:color w:val="auto"/>
              </w:rPr>
              <w:t>and contained in Exhibit 101)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180" w:type="dxa"/>
            <w:vAlign w:val="bottom"/>
          </w:tcPr>
          <w:p>
            <w:pPr>
              <w:spacing w:after="0"/>
              <w:rPr>
                <w:sz w:val="20"/>
                <w:szCs w:val="20"/>
                <w:color w:val="auto"/>
              </w:rPr>
            </w:pPr>
            <w:r>
              <w:rPr>
                <w:rFonts w:ascii="Arial" w:cs="Arial" w:eastAsia="Arial" w:hAnsi="Arial"/>
                <w:sz w:val="14"/>
                <w:szCs w:val="14"/>
                <w:color w:val="auto"/>
              </w:rPr>
              <w:t>_____________</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20"/>
                <w:szCs w:val="20"/>
                <w:color w:val="auto"/>
              </w:rPr>
            </w:pPr>
            <w:r>
              <w:rPr>
                <w:rFonts w:ascii="Arial" w:cs="Arial" w:eastAsia="Arial" w:hAnsi="Arial"/>
                <w:sz w:val="14"/>
                <w:szCs w:val="14"/>
                <w:color w:val="auto"/>
              </w:rPr>
              <w:t>*  Filed herewith.</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83" w:lineRule="auto"/>
        <w:tabs>
          <w:tab w:leader="none" w:pos="2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NEXTDOOR HOLDINGS, INC.</w:t>
      </w:r>
    </w:p>
    <w:p>
      <w:pPr>
        <w:spacing w:after="0" w:line="270" w:lineRule="exact"/>
        <w:rPr>
          <w:sz w:val="20"/>
          <w:szCs w:val="20"/>
          <w:color w:val="auto"/>
        </w:rPr>
      </w:pPr>
    </w:p>
    <w:tbl>
      <w:tblPr>
        <w:tblLayout w:type="fixed"/>
        <w:tblInd w:w="60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Friar</w:t>
            </w:r>
          </w:p>
        </w:tc>
        <w:tc>
          <w:tcPr>
            <w:tcW w:w="0" w:type="dxa"/>
            <w:vAlign w:val="bottom"/>
          </w:tcPr>
          <w:p>
            <w:pPr>
              <w:spacing w:after="0"/>
              <w:rPr>
                <w:sz w:val="1"/>
                <w:szCs w:val="1"/>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ind w:left="20"/>
              <w:spacing w:after="0"/>
              <w:rPr>
                <w:sz w:val="20"/>
                <w:szCs w:val="20"/>
                <w:color w:val="auto"/>
              </w:rPr>
            </w:pPr>
            <w:r>
              <w:rPr>
                <w:rFonts w:ascii="Arial" w:cs="Arial" w:eastAsia="Arial" w:hAnsi="Arial"/>
                <w:sz w:val="18"/>
                <w:szCs w:val="18"/>
                <w:color w:val="auto"/>
              </w:rPr>
              <w:t>Sarah Friar</w:t>
            </w:r>
          </w:p>
        </w:tc>
        <w:tc>
          <w:tcPr>
            <w:tcW w:w="0" w:type="dxa"/>
            <w:vAlign w:val="bottom"/>
          </w:tcPr>
          <w:p>
            <w:pPr>
              <w:spacing w:after="0"/>
              <w:rPr>
                <w:sz w:val="1"/>
                <w:szCs w:val="1"/>
                <w:color w:val="auto"/>
              </w:rPr>
            </w:pPr>
          </w:p>
        </w:tc>
      </w:tr>
      <w:tr>
        <w:trPr>
          <w:trHeight w:val="189"/>
        </w:trPr>
        <w:tc>
          <w:tcPr>
            <w:tcW w:w="68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4500" w:type="dxa"/>
            <w:vAlign w:val="bottom"/>
          </w:tcPr>
          <w:p>
            <w:pPr>
              <w:ind w:left="20"/>
              <w:spacing w:after="0" w:line="189" w:lineRule="exact"/>
              <w:rPr>
                <w:sz w:val="20"/>
                <w:szCs w:val="20"/>
                <w:color w:val="auto"/>
              </w:rPr>
            </w:pPr>
            <w:r>
              <w:rPr>
                <w:rFonts w:ascii="Arial" w:cs="Arial" w:eastAsia="Arial" w:hAnsi="Arial"/>
                <w:sz w:val="18"/>
                <w:szCs w:val="18"/>
                <w:color w:val="auto"/>
                <w:w w:val="97"/>
              </w:rPr>
              <w:t>Chief Executive Officer, President and Chairperson of the</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4500" w:type="dxa"/>
            <w:vAlign w:val="bottom"/>
          </w:tcPr>
          <w:p>
            <w:pPr>
              <w:ind w:left="20"/>
              <w:spacing w:after="0" w:line="176" w:lineRule="exact"/>
              <w:rPr>
                <w:sz w:val="20"/>
                <w:szCs w:val="20"/>
                <w:color w:val="auto"/>
              </w:rPr>
            </w:pPr>
            <w:r>
              <w:rPr>
                <w:rFonts w:ascii="Arial" w:cs="Arial" w:eastAsia="Arial" w:hAnsi="Arial"/>
                <w:sz w:val="18"/>
                <w:szCs w:val="18"/>
                <w:color w:val="auto"/>
              </w:rPr>
              <w:t>Board of Directors</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ind w:left="20"/>
              <w:spacing w:after="0"/>
              <w:rPr>
                <w:sz w:val="20"/>
                <w:szCs w:val="20"/>
                <w:color w:val="auto"/>
              </w:rPr>
            </w:pPr>
            <w:r>
              <w:rPr>
                <w:rFonts w:ascii="Arial" w:cs="Arial" w:eastAsia="Arial" w:hAnsi="Arial"/>
                <w:sz w:val="18"/>
                <w:szCs w:val="18"/>
                <w:color w:val="auto"/>
              </w:rPr>
              <w:t>/s/ Michael Doyle</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80" w:type="dxa"/>
            <w:vAlign w:val="bottom"/>
            <w:vMerge w:val="continue"/>
          </w:tcPr>
          <w:p>
            <w:pPr>
              <w:spacing w:after="0"/>
              <w:rPr>
                <w:sz w:val="19"/>
                <w:szCs w:val="19"/>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Michael Doyle</w:t>
            </w:r>
          </w:p>
        </w:tc>
        <w:tc>
          <w:tcPr>
            <w:tcW w:w="0" w:type="dxa"/>
            <w:vAlign w:val="bottom"/>
          </w:tcPr>
          <w:p>
            <w:pPr>
              <w:spacing w:after="0"/>
              <w:rPr>
                <w:sz w:val="1"/>
                <w:szCs w:val="1"/>
                <w:color w:val="auto"/>
              </w:rPr>
            </w:pP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ind w:left="340" w:right="204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AND 15D-14(A) UNDER THE EXCHANGE ACT,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Sarah Friar, certify that:</w:t>
      </w:r>
    </w:p>
    <w:p>
      <w:pPr>
        <w:spacing w:after="0" w:line="25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Nextdoor Holdings, Inc. (the “registrant”);</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p>
    <w:p>
      <w:pPr>
        <w:spacing w:after="0" w:line="77" w:lineRule="exact"/>
        <w:rPr>
          <w:sz w:val="20"/>
          <w:szCs w:val="20"/>
          <w:color w:val="auto"/>
        </w:rPr>
      </w:pPr>
    </w:p>
    <w:p>
      <w:pPr>
        <w:ind w:left="7440"/>
        <w:spacing w:after="0"/>
        <w:tabs>
          <w:tab w:leader="none" w:pos="792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31750</wp:posOffset>
            </wp:positionV>
            <wp:extent cx="2108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4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Sarah Friar</w:t>
      </w:r>
    </w:p>
    <w:p>
      <w:pPr>
        <w:spacing w:after="0" w:line="36"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Chief Executive Officer, President and Chairperson</w:t>
      </w:r>
    </w:p>
    <w:p>
      <w:pPr>
        <w:spacing w:after="0" w:line="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of the Board of Directors</w:t>
      </w:r>
    </w:p>
    <w:p>
      <w:pPr>
        <w:sectPr>
          <w:pgSz w:w="11900" w:h="16838" w:orient="portrait"/>
          <w:cols w:equalWidth="0" w:num="1">
            <w:col w:w="11240"/>
          </w:cols>
          <w:pgMar w:left="320" w:top="37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color w:val="201F1E"/>
        </w:rPr>
        <w:t>Michael Doyle</w:t>
      </w:r>
      <w:r>
        <w:rPr>
          <w:rFonts w:ascii="Arial" w:cs="Arial" w:eastAsia="Arial" w:hAnsi="Arial"/>
          <w:sz w:val="18"/>
          <w:szCs w:val="18"/>
          <w:color w:val="auto"/>
        </w:rPr>
        <w:t>, certify that:</w:t>
      </w:r>
    </w:p>
    <w:p>
      <w:pPr>
        <w:spacing w:after="0" w:line="25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Nextdoor Holdings, Inc. (the “registrant”);</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57"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p>
    <w:p>
      <w:pPr>
        <w:ind w:left="7200"/>
        <w:spacing w:after="0" w:line="189" w:lineRule="auto"/>
        <w:tabs>
          <w:tab w:leader="none" w:pos="7660" w:val="left"/>
        </w:tabs>
        <w:rPr>
          <w:sz w:val="20"/>
          <w:szCs w:val="20"/>
          <w:color w:val="auto"/>
        </w:rPr>
      </w:pPr>
      <w:r>
        <w:rPr>
          <w:rFonts w:ascii="Arial" w:cs="Arial" w:eastAsia="Arial" w:hAnsi="Arial"/>
          <w:sz w:val="28"/>
          <w:szCs w:val="28"/>
          <w:color w:val="auto"/>
          <w:vertAlign w:val="subscript"/>
        </w:rPr>
        <w:t>By:</w:t>
      </w:r>
      <w:r>
        <w:rPr>
          <w:sz w:val="20"/>
          <w:szCs w:val="20"/>
          <w:color w:val="auto"/>
        </w:rPr>
        <w:tab/>
      </w:r>
      <w:r>
        <w:rPr>
          <w:rFonts w:ascii="Arial" w:cs="Arial" w:eastAsia="Arial" w:hAnsi="Arial"/>
          <w:sz w:val="15"/>
          <w:szCs w:val="15"/>
          <w:i w:val="1"/>
          <w:iCs w:val="1"/>
          <w:color w:val="auto"/>
        </w:rPr>
        <w:t xml:space="preserve">/s/ </w:t>
      </w:r>
      <w:r>
        <w:rPr>
          <w:rFonts w:ascii="Arial" w:cs="Arial" w:eastAsia="Arial" w:hAnsi="Arial"/>
          <w:sz w:val="15"/>
          <w:szCs w:val="15"/>
          <w:i w:val="1"/>
          <w:iCs w:val="1"/>
          <w:color w:val="201F1E"/>
        </w:rPr>
        <w:t>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93980</wp:posOffset>
            </wp:positionV>
            <wp:extent cx="21945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40" w:lineRule="exact"/>
        <w:rPr>
          <w:sz w:val="20"/>
          <w:szCs w:val="20"/>
          <w:color w:val="auto"/>
        </w:rPr>
      </w:pPr>
    </w:p>
    <w:p>
      <w:pPr>
        <w:ind w:left="7200"/>
        <w:spacing w:after="0"/>
        <w:rPr>
          <w:sz w:val="20"/>
          <w:szCs w:val="20"/>
          <w:color w:val="auto"/>
        </w:rPr>
      </w:pPr>
      <w:r>
        <w:rPr>
          <w:rFonts w:ascii="Arial" w:cs="Arial" w:eastAsia="Arial" w:hAnsi="Arial"/>
          <w:sz w:val="18"/>
          <w:szCs w:val="18"/>
          <w:color w:val="201F1E"/>
        </w:rPr>
        <w:t>Michael Doyle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40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left="340" w:right="2760"/>
        <w:spacing w:after="0" w:line="313"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color w:val="auto"/>
        </w:rPr>
        <w:t>In connection with the Quarterly Report of Nextdoor Holdings, Inc. (the “Company”) on Form 10-Q for the quarter ended June 30, 2023,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p>
    <w:p>
      <w:pPr>
        <w:spacing w:after="0" w:line="115" w:lineRule="exact"/>
        <w:rPr>
          <w:sz w:val="20"/>
          <w:szCs w:val="20"/>
          <w:color w:val="auto"/>
        </w:rPr>
      </w:pPr>
    </w:p>
    <w:p>
      <w:pPr>
        <w:ind w:left="7200"/>
        <w:spacing w:after="0"/>
        <w:tabs>
          <w:tab w:leader="none" w:pos="7640" w:val="left"/>
        </w:tabs>
        <w:rPr>
          <w:sz w:val="20"/>
          <w:szCs w:val="20"/>
          <w:color w:val="auto"/>
        </w:rPr>
      </w:pPr>
      <w:r>
        <w:rPr>
          <w:rFonts w:ascii="Arial" w:cs="Arial" w:eastAsia="Arial" w:hAnsi="Arial"/>
          <w:sz w:val="36"/>
          <w:szCs w:val="36"/>
          <w:color w:val="auto"/>
          <w:vertAlign w:val="subscript"/>
        </w:rPr>
        <w:t>By:</w:t>
      </w:r>
      <w:r>
        <w:rPr>
          <w:sz w:val="20"/>
          <w:szCs w:val="20"/>
          <w:color w:val="auto"/>
        </w:rPr>
        <w:tab/>
      </w:r>
      <w:r>
        <w:rPr>
          <w:rFonts w:ascii="Arial" w:cs="Arial" w:eastAsia="Arial" w:hAnsi="Arial"/>
          <w:sz w:val="22"/>
          <w:szCs w:val="22"/>
          <w:color w:val="auto"/>
        </w:rPr>
        <w:t xml:space="preserve">/s/ </w:t>
      </w:r>
      <w:r>
        <w:rPr>
          <w:rFonts w:ascii="Arial" w:cs="Arial" w:eastAsia="Arial" w:hAnsi="Arial"/>
          <w:sz w:val="17"/>
          <w:szCs w:val="17"/>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124460</wp:posOffset>
            </wp:positionV>
            <wp:extent cx="16459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Sarah Friar</w:t>
      </w:r>
    </w:p>
    <w:p>
      <w:pPr>
        <w:spacing w:after="0" w:line="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President and</w:t>
      </w:r>
    </w:p>
    <w:p>
      <w:pPr>
        <w:ind w:left="7200"/>
        <w:spacing w:after="0"/>
        <w:rPr>
          <w:sz w:val="20"/>
          <w:szCs w:val="20"/>
          <w:color w:val="auto"/>
        </w:rPr>
      </w:pPr>
      <w:r>
        <w:rPr>
          <w:rFonts w:ascii="Arial" w:cs="Arial" w:eastAsia="Arial" w:hAnsi="Arial"/>
          <w:sz w:val="18"/>
          <w:szCs w:val="18"/>
          <w:color w:val="auto"/>
        </w:rPr>
        <w:t>Chairperson of the Board of Directors</w:t>
      </w:r>
    </w:p>
    <w:p>
      <w:pPr>
        <w:sectPr>
          <w:pgSz w:w="11900" w:h="16838" w:orient="portrait"/>
          <w:cols w:equalWidth="0" w:num="1">
            <w:col w:w="11240"/>
          </w:cols>
          <w:pgMar w:left="320" w:top="40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760"/>
        <w:spacing w:after="0" w:line="313"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spacing w:after="0" w:line="348" w:lineRule="auto"/>
        <w:rPr>
          <w:sz w:val="20"/>
          <w:szCs w:val="20"/>
          <w:color w:val="auto"/>
        </w:rPr>
      </w:pPr>
      <w:r>
        <w:rPr>
          <w:rFonts w:ascii="Arial" w:cs="Arial" w:eastAsia="Arial" w:hAnsi="Arial"/>
          <w:sz w:val="18"/>
          <w:szCs w:val="18"/>
          <w:color w:val="auto"/>
        </w:rPr>
        <w:t>In connection with the Quarterly Report of Nextdoor Holdings, Inc. (the “Company”) on Form 10-Q for the quarter ended June 30, 2023,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0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p>
    <w:p>
      <w:pPr>
        <w:spacing w:after="0" w:line="293" w:lineRule="exact"/>
        <w:rPr>
          <w:sz w:val="20"/>
          <w:szCs w:val="20"/>
          <w:color w:val="auto"/>
        </w:rPr>
      </w:pPr>
    </w:p>
    <w:p>
      <w:pPr>
        <w:ind w:left="720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23495</wp:posOffset>
            </wp:positionV>
            <wp:extent cx="18948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94840"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Michael Doyle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240"/>
      </w:cols>
      <w:pgMar w:left="320" w:top="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2023-08-08T15:31:01Z</dcterms:created>
  <dcterms:modified xsi:type="dcterms:W3CDTF">2023-08-08T15:31:01Z</dcterms:modified>
</cp:coreProperties>
</file>