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(Mark One)</w:t>
      </w:r>
    </w:p>
    <w:p>
      <w:pPr>
        <w:spacing w:after="0" w:line="27" w:lineRule="exact"/>
        <w:rPr>
          <w:sz w:val="24"/>
          <w:szCs w:val="24"/>
          <w:color w:val="auto"/>
        </w:rPr>
      </w:pPr>
    </w:p>
    <w:p>
      <w:pPr>
        <w:ind w:left="880" w:hanging="368"/>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quarterly period ended September 30, 2023</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44" w:lineRule="exact"/>
        <w:rPr>
          <w:sz w:val="24"/>
          <w:szCs w:val="24"/>
          <w:color w:val="auto"/>
        </w:rPr>
      </w:pPr>
    </w:p>
    <w:p>
      <w:pPr>
        <w:ind w:left="880" w:hanging="386"/>
        <w:spacing w:after="0"/>
        <w:tabs>
          <w:tab w:leader="none" w:pos="8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For the transition period from  to</w:t>
      </w:r>
    </w:p>
    <w:p>
      <w:pPr>
        <w:spacing w:after="0" w:line="25" w:lineRule="exact"/>
        <w:rPr>
          <w:sz w:val="24"/>
          <w:szCs w:val="24"/>
          <w:color w:val="auto"/>
        </w:rPr>
      </w:pPr>
    </w:p>
    <w:p>
      <w:pPr>
        <w:ind w:left="4540"/>
        <w:spacing w:after="0"/>
        <w:rPr>
          <w:sz w:val="20"/>
          <w:szCs w:val="20"/>
          <w:color w:val="auto"/>
        </w:rPr>
      </w:pPr>
      <w:r>
        <w:rPr>
          <w:rFonts w:ascii="Arial" w:cs="Arial" w:eastAsia="Arial" w:hAnsi="Arial"/>
          <w:sz w:val="14"/>
          <w:szCs w:val="14"/>
          <w:b w:val="1"/>
          <w:bCs w:val="1"/>
          <w:color w:val="auto"/>
        </w:rPr>
        <w:t>Commission file number 001-40246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145415</wp:posOffset>
            </wp:positionV>
            <wp:extent cx="1311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Nextdoor Holdings, Inc.</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133350</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800" w:type="dxa"/>
            <w:vAlign w:val="bottom"/>
          </w:tcPr>
          <w:p>
            <w:pPr>
              <w:jc w:val="center"/>
              <w:ind w:left="86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right"/>
              <w:ind w:right="1968"/>
              <w:spacing w:after="0"/>
              <w:rPr>
                <w:sz w:val="20"/>
                <w:szCs w:val="20"/>
                <w:color w:val="auto"/>
              </w:rPr>
            </w:pPr>
            <w:r>
              <w:rPr>
                <w:rFonts w:ascii="Arial" w:cs="Arial" w:eastAsia="Arial" w:hAnsi="Arial"/>
                <w:sz w:val="14"/>
                <w:szCs w:val="14"/>
                <w:b w:val="1"/>
                <w:bCs w:val="1"/>
                <w:color w:val="auto"/>
              </w:rPr>
              <w:t>86-1776836</w:t>
            </w:r>
          </w:p>
        </w:tc>
        <w:tc>
          <w:tcPr>
            <w:tcW w:w="0" w:type="dxa"/>
            <w:vAlign w:val="bottom"/>
          </w:tcPr>
          <w:p>
            <w:pPr>
              <w:spacing w:after="0"/>
              <w:rPr>
                <w:sz w:val="1"/>
                <w:szCs w:val="1"/>
                <w:color w:val="auto"/>
              </w:rPr>
            </w:pPr>
          </w:p>
        </w:tc>
      </w:tr>
      <w:tr>
        <w:trPr>
          <w:trHeight w:val="161"/>
        </w:trPr>
        <w:tc>
          <w:tcPr>
            <w:tcW w:w="3800" w:type="dxa"/>
            <w:vAlign w:val="bottom"/>
          </w:tcPr>
          <w:p>
            <w:pPr>
              <w:jc w:val="center"/>
              <w:ind w:left="868"/>
              <w:spacing w:after="0"/>
              <w:rPr>
                <w:sz w:val="20"/>
                <w:szCs w:val="20"/>
                <w:color w:val="auto"/>
              </w:rPr>
            </w:pPr>
            <w:r>
              <w:rPr>
                <w:rFonts w:ascii="Arial" w:cs="Arial" w:eastAsia="Arial" w:hAnsi="Arial"/>
                <w:sz w:val="14"/>
                <w:szCs w:val="14"/>
                <w:b w:val="1"/>
                <w:bCs w:val="1"/>
                <w:color w:val="auto"/>
                <w:w w:val="93"/>
              </w:rPr>
              <w:t>(State or Other Jurisdiction of</w:t>
            </w:r>
          </w:p>
        </w:tc>
        <w:tc>
          <w:tcPr>
            <w:tcW w:w="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60" w:type="dxa"/>
            <w:vAlign w:val="bottom"/>
          </w:tcPr>
          <w:p>
            <w:pPr>
              <w:jc w:val="center"/>
              <w:ind w:right="116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00" w:type="dxa"/>
            <w:vAlign w:val="bottom"/>
          </w:tcPr>
          <w:p>
            <w:pPr>
              <w:jc w:val="center"/>
              <w:ind w:left="868"/>
              <w:spacing w:after="0"/>
              <w:rPr>
                <w:sz w:val="20"/>
                <w:szCs w:val="20"/>
                <w:color w:val="auto"/>
              </w:rPr>
            </w:pPr>
            <w:r>
              <w:rPr>
                <w:rFonts w:ascii="Arial" w:cs="Arial" w:eastAsia="Arial" w:hAnsi="Arial"/>
                <w:sz w:val="14"/>
                <w:szCs w:val="14"/>
                <w:b w:val="1"/>
                <w:bCs w:val="1"/>
                <w:color w:val="auto"/>
                <w:w w:val="95"/>
              </w:rPr>
              <w:t>Incorporation or Organization)</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center"/>
              <w:ind w:right="114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516"/>
        </w:trPr>
        <w:tc>
          <w:tcPr>
            <w:tcW w:w="3800" w:type="dxa"/>
            <w:vAlign w:val="bottom"/>
          </w:tcPr>
          <w:p>
            <w:pPr>
              <w:jc w:val="center"/>
              <w:ind w:left="868"/>
              <w:spacing w:after="0"/>
              <w:rPr>
                <w:sz w:val="20"/>
                <w:szCs w:val="20"/>
                <w:color w:val="auto"/>
              </w:rPr>
            </w:pPr>
            <w:r>
              <w:rPr>
                <w:rFonts w:ascii="Arial" w:cs="Arial" w:eastAsia="Arial" w:hAnsi="Arial"/>
                <w:sz w:val="14"/>
                <w:szCs w:val="14"/>
                <w:b w:val="1"/>
                <w:bCs w:val="1"/>
                <w:color w:val="auto"/>
                <w:w w:val="93"/>
              </w:rPr>
              <w:t>420 Taylor Street</w:t>
            </w: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60" w:type="dxa"/>
            <w:vAlign w:val="bottom"/>
            <w:vMerge w:val="restart"/>
          </w:tcPr>
          <w:p>
            <w:pPr>
              <w:jc w:val="right"/>
              <w:ind w:right="2148"/>
              <w:spacing w:after="0"/>
              <w:rPr>
                <w:sz w:val="20"/>
                <w:szCs w:val="20"/>
                <w:color w:val="auto"/>
              </w:rPr>
            </w:pPr>
            <w:r>
              <w:rPr>
                <w:rFonts w:ascii="Arial" w:cs="Arial" w:eastAsia="Arial" w:hAnsi="Arial"/>
                <w:sz w:val="14"/>
                <w:szCs w:val="14"/>
                <w:b w:val="1"/>
                <w:bCs w:val="1"/>
                <w:color w:val="auto"/>
              </w:rPr>
              <w:t>94102</w:t>
            </w:r>
          </w:p>
        </w:tc>
        <w:tc>
          <w:tcPr>
            <w:tcW w:w="0" w:type="dxa"/>
            <w:vAlign w:val="bottom"/>
          </w:tcPr>
          <w:p>
            <w:pPr>
              <w:spacing w:after="0"/>
              <w:rPr>
                <w:sz w:val="1"/>
                <w:szCs w:val="1"/>
                <w:color w:val="auto"/>
              </w:rPr>
            </w:pPr>
          </w:p>
        </w:tc>
      </w:tr>
      <w:tr>
        <w:trPr>
          <w:trHeight w:val="148"/>
        </w:trPr>
        <w:tc>
          <w:tcPr>
            <w:tcW w:w="38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San Francisco, California</w:t>
            </w:r>
          </w:p>
        </w:tc>
        <w:tc>
          <w:tcPr>
            <w:tcW w:w="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00" w:type="dxa"/>
            <w:vAlign w:val="bottom"/>
          </w:tcPr>
          <w:p>
            <w:pPr>
              <w:jc w:val="center"/>
              <w:ind w:left="86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center"/>
              <w:ind w:right="11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7"/>
        </w:trPr>
        <w:tc>
          <w:tcPr>
            <w:tcW w:w="7700" w:type="dxa"/>
            <w:vAlign w:val="bottom"/>
            <w:gridSpan w:val="4"/>
          </w:tcPr>
          <w:p>
            <w:pPr>
              <w:jc w:val="center"/>
              <w:ind w:left="3488"/>
              <w:spacing w:after="0"/>
              <w:rPr>
                <w:sz w:val="20"/>
                <w:szCs w:val="20"/>
                <w:color w:val="auto"/>
              </w:rPr>
            </w:pPr>
            <w:r>
              <w:rPr>
                <w:rFonts w:ascii="Arial" w:cs="Arial" w:eastAsia="Arial" w:hAnsi="Arial"/>
                <w:sz w:val="14"/>
                <w:szCs w:val="14"/>
                <w:b w:val="1"/>
                <w:bCs w:val="1"/>
                <w:color w:val="auto"/>
                <w:w w:val="92"/>
              </w:rPr>
              <w:t>Registrant’s telephone number, including area code: (415) 344-0333</w:t>
            </w: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3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00" w:type="dxa"/>
            <w:vAlign w:val="bottom"/>
            <w:tcBorders>
              <w:left w:val="single" w:sz="8" w:color="auto"/>
            </w:tcBorders>
          </w:tcPr>
          <w:p>
            <w:pPr>
              <w:jc w:val="center"/>
              <w:ind w:left="648"/>
              <w:spacing w:after="0"/>
              <w:rPr>
                <w:sz w:val="20"/>
                <w:szCs w:val="20"/>
                <w:color w:val="auto"/>
              </w:rPr>
            </w:pPr>
            <w:r>
              <w:rPr>
                <w:rFonts w:ascii="Arial" w:cs="Arial" w:eastAsia="Arial" w:hAnsi="Arial"/>
                <w:sz w:val="14"/>
                <w:szCs w:val="14"/>
                <w:color w:val="auto"/>
                <w:w w:val="92"/>
              </w:rPr>
              <w:t>Title of each class</w:t>
            </w:r>
          </w:p>
        </w:tc>
        <w:tc>
          <w:tcPr>
            <w:tcW w:w="70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940" w:type="dxa"/>
            <w:vAlign w:val="bottom"/>
          </w:tcPr>
          <w:p>
            <w:pPr>
              <w:spacing w:after="0"/>
              <w:rPr>
                <w:sz w:val="15"/>
                <w:szCs w:val="15"/>
                <w:color w:val="auto"/>
              </w:rPr>
            </w:pPr>
          </w:p>
        </w:tc>
        <w:tc>
          <w:tcPr>
            <w:tcW w:w="3560" w:type="dxa"/>
            <w:vAlign w:val="bottom"/>
            <w:tcBorders>
              <w:right w:val="single" w:sz="8" w:color="auto"/>
            </w:tcBorders>
          </w:tcPr>
          <w:p>
            <w:pPr>
              <w:jc w:val="center"/>
              <w:ind w:right="888"/>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380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800" w:type="dxa"/>
            <w:vAlign w:val="bottom"/>
            <w:tcBorders>
              <w:left w:val="single" w:sz="8" w:color="auto"/>
            </w:tcBorders>
          </w:tcPr>
          <w:p>
            <w:pPr>
              <w:jc w:val="center"/>
              <w:ind w:left="648"/>
              <w:spacing w:after="0"/>
              <w:rPr>
                <w:sz w:val="20"/>
                <w:szCs w:val="20"/>
                <w:color w:val="auto"/>
              </w:rPr>
            </w:pPr>
            <w:r>
              <w:rPr>
                <w:rFonts w:ascii="Arial" w:cs="Arial" w:eastAsia="Arial" w:hAnsi="Arial"/>
                <w:sz w:val="14"/>
                <w:szCs w:val="14"/>
                <w:color w:val="auto"/>
                <w:w w:val="92"/>
              </w:rPr>
              <w:t>Class A common stock, par value $0.0001 per share</w:t>
            </w:r>
          </w:p>
        </w:tc>
        <w:tc>
          <w:tcPr>
            <w:tcW w:w="70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KIND</w:t>
            </w:r>
          </w:p>
        </w:tc>
        <w:tc>
          <w:tcPr>
            <w:tcW w:w="940" w:type="dxa"/>
            <w:vAlign w:val="bottom"/>
          </w:tcPr>
          <w:p>
            <w:pPr>
              <w:spacing w:after="0"/>
              <w:rPr>
                <w:sz w:val="15"/>
                <w:szCs w:val="15"/>
                <w:color w:val="auto"/>
              </w:rPr>
            </w:pPr>
          </w:p>
        </w:tc>
        <w:tc>
          <w:tcPr>
            <w:tcW w:w="3560" w:type="dxa"/>
            <w:vAlign w:val="bottom"/>
            <w:tcBorders>
              <w:right w:val="single" w:sz="8" w:color="auto"/>
            </w:tcBorders>
          </w:tcPr>
          <w:p>
            <w:pPr>
              <w:jc w:val="center"/>
              <w:ind w:right="88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
        </w:trPr>
        <w:tc>
          <w:tcPr>
            <w:tcW w:w="380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ind w:right="200"/>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ind w:right="20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ind w:right="46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4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380" w:type="dxa"/>
            <w:vAlign w:val="bottom"/>
          </w:tcPr>
          <w:p>
            <w:pPr>
              <w:ind w:left="1760"/>
              <w:spacing w:after="0"/>
              <w:rPr>
                <w:sz w:val="20"/>
                <w:szCs w:val="20"/>
                <w:color w:val="auto"/>
              </w:rPr>
            </w:pPr>
            <w:r>
              <w:rPr>
                <w:rFonts w:ascii="Arial" w:cs="Arial" w:eastAsia="Arial" w:hAnsi="Arial"/>
                <w:sz w:val="14"/>
                <w:szCs w:val="14"/>
                <w:color w:val="auto"/>
              </w:rPr>
              <w:t>Emerging growth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0" w:lineRule="exact"/>
        <w:rPr>
          <w:sz w:val="24"/>
          <w:szCs w:val="24"/>
          <w:color w:val="auto"/>
        </w:rPr>
      </w:pPr>
    </w:p>
    <w:p>
      <w:pPr>
        <w:ind w:right="580"/>
        <w:spacing w:after="0" w:line="19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tabs>
          <w:tab w:leader="none" w:pos="6700" w:val="left"/>
          <w:tab w:leader="none" w:pos="73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As of November 3, 2023, there were 182,078,094 shares of the registrant’s Class A common stock outstanding and 203,049,749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67722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ectPr>
          <w:pgSz w:w="11900" w:h="16838" w:orient="portrait"/>
          <w:cols w:equalWidth="0" w:num="1">
            <w:col w:w="11260"/>
          </w:cols>
          <w:pgMar w:left="320" w:top="85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00" w:type="dxa"/>
            <w:vAlign w:val="bottom"/>
            <w:gridSpan w:val="11"/>
          </w:tcPr>
          <w:p>
            <w:pPr>
              <w:ind w:left="3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gridSpan w:val="5"/>
          </w:tcPr>
          <w:p>
            <w:pPr>
              <w:ind w:left="220"/>
              <w:spacing w:after="0"/>
              <w:rPr>
                <w:sz w:val="20"/>
                <w:szCs w:val="20"/>
                <w:color w:val="auto"/>
              </w:rPr>
            </w:pPr>
            <w:r>
              <w:rPr>
                <w:rFonts w:ascii="Arial" w:cs="Arial" w:eastAsia="Arial" w:hAnsi="Arial"/>
                <w:sz w:val="18"/>
                <w:szCs w:val="18"/>
                <w:color w:val="auto"/>
              </w:rPr>
              <w:t>Page</w:t>
            </w:r>
          </w:p>
        </w:tc>
      </w:tr>
      <w:tr>
        <w:trPr>
          <w:trHeight w:val="183"/>
        </w:trPr>
        <w:tc>
          <w:tcPr>
            <w:tcW w:w="20" w:type="dxa"/>
            <w:vAlign w:val="bottom"/>
          </w:tcPr>
          <w:p>
            <w:pPr>
              <w:spacing w:after="0"/>
              <w:rPr>
                <w:sz w:val="15"/>
                <w:szCs w:val="15"/>
                <w:color w:val="auto"/>
              </w:rPr>
            </w:pPr>
          </w:p>
        </w:tc>
        <w:tc>
          <w:tcPr>
            <w:tcW w:w="10360" w:type="dxa"/>
            <w:vAlign w:val="bottom"/>
            <w:gridSpan w:val="22"/>
          </w:tcPr>
          <w:p>
            <w:pPr>
              <w:spacing w:after="0" w:line="182" w:lineRule="exact"/>
              <w:rPr>
                <w:sz w:val="20"/>
                <w:szCs w:val="20"/>
                <w:color w:val="auto"/>
              </w:rPr>
            </w:pPr>
            <w:r>
              <w:rPr>
                <w:rFonts w:ascii="Arial" w:cs="Arial" w:eastAsia="Arial" w:hAnsi="Arial"/>
                <w:sz w:val="18"/>
                <w:szCs w:val="18"/>
                <w:color w:val="0000FF"/>
              </w:rPr>
              <w:t>Special Note Regarding Forward-Looking Statements</w:t>
            </w:r>
          </w:p>
        </w:tc>
        <w:tc>
          <w:tcPr>
            <w:tcW w:w="480" w:type="dxa"/>
            <w:vAlign w:val="bottom"/>
            <w:tcBorders>
              <w:top w:val="single" w:sz="8" w:color="auto"/>
            </w:tcBorders>
            <w:gridSpan w:val="3"/>
          </w:tcPr>
          <w:p>
            <w:pPr>
              <w:jc w:val="center"/>
              <w:ind w:left="230"/>
              <w:spacing w:after="0" w:line="182" w:lineRule="exact"/>
              <w:rPr>
                <w:sz w:val="20"/>
                <w:szCs w:val="20"/>
                <w:color w:val="auto"/>
              </w:rPr>
            </w:pPr>
            <w:r>
              <w:rPr>
                <w:rFonts w:ascii="Arial" w:cs="Arial" w:eastAsia="Arial" w:hAnsi="Arial"/>
                <w:sz w:val="18"/>
                <w:szCs w:val="18"/>
                <w:color w:val="0000FF"/>
                <w:w w:val="79"/>
              </w:rPr>
              <w:t>2</w:t>
            </w:r>
          </w:p>
        </w:tc>
        <w:tc>
          <w:tcPr>
            <w:tcW w:w="3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10"/>
          </w:tcPr>
          <w:p>
            <w:pPr>
              <w:spacing w:after="0"/>
              <w:rPr>
                <w:sz w:val="20"/>
                <w:szCs w:val="20"/>
                <w:color w:val="auto"/>
              </w:rPr>
            </w:pPr>
            <w:r>
              <w:rPr>
                <w:rFonts w:ascii="Arial" w:cs="Arial" w:eastAsia="Arial" w:hAnsi="Arial"/>
                <w:sz w:val="18"/>
                <w:szCs w:val="18"/>
                <w:color w:val="0000FF"/>
              </w:rPr>
              <w:t>Risk Factor Summary</w:t>
            </w:r>
          </w:p>
        </w:tc>
        <w:tc>
          <w:tcPr>
            <w:tcW w:w="6480" w:type="dxa"/>
            <w:vAlign w:val="bottom"/>
            <w:gridSpan w:val="12"/>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Arial" w:cs="Arial" w:eastAsia="Arial" w:hAnsi="Arial"/>
                <w:sz w:val="18"/>
                <w:szCs w:val="18"/>
                <w:color w:val="0000FF"/>
                <w:w w:val="79"/>
              </w:rPr>
              <w:t>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Borders>
              <w:bottom w:val="single" w:sz="8" w:color="0000FF"/>
            </w:tcBorders>
            <w:gridSpan w:val="7"/>
          </w:tcPr>
          <w:p>
            <w:pPr>
              <w:jc w:val="center"/>
              <w:spacing w:after="0"/>
              <w:rPr>
                <w:sz w:val="20"/>
                <w:szCs w:val="20"/>
                <w:color w:val="auto"/>
              </w:rPr>
            </w:pPr>
            <w:r>
              <w:rPr>
                <w:rFonts w:ascii="Arial" w:cs="Arial" w:eastAsia="Arial" w:hAnsi="Arial"/>
                <w:sz w:val="18"/>
                <w:szCs w:val="18"/>
                <w:color w:val="0000FF"/>
                <w:w w:val="93"/>
              </w:rPr>
              <w:t>Part I - Financial Information</w:t>
            </w:r>
          </w:p>
        </w:tc>
        <w:tc>
          <w:tcPr>
            <w:tcW w:w="346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4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480" w:type="dxa"/>
            <w:vAlign w:val="bottom"/>
            <w:gridSpan w:val="3"/>
          </w:tcPr>
          <w:p>
            <w:pPr>
              <w:jc w:val="center"/>
              <w:ind w:left="230"/>
              <w:spacing w:after="0"/>
              <w:rPr>
                <w:sz w:val="20"/>
                <w:szCs w:val="20"/>
                <w:color w:val="auto"/>
              </w:rPr>
            </w:pPr>
            <w:r>
              <w:rPr>
                <w:rFonts w:ascii="Arial" w:cs="Arial" w:eastAsia="Arial" w:hAnsi="Arial"/>
                <w:sz w:val="18"/>
                <w:szCs w:val="18"/>
                <w:color w:val="0000FF"/>
                <w:w w:val="79"/>
              </w:rPr>
              <w:t>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w:t>
            </w:r>
          </w:p>
        </w:tc>
        <w:tc>
          <w:tcPr>
            <w:tcW w:w="480" w:type="dxa"/>
            <w:vAlign w:val="bottom"/>
            <w:gridSpan w:val="3"/>
          </w:tcPr>
          <w:p>
            <w:pPr>
              <w:jc w:val="center"/>
              <w:ind w:left="230"/>
              <w:spacing w:after="0"/>
              <w:rPr>
                <w:sz w:val="20"/>
                <w:szCs w:val="20"/>
                <w:color w:val="auto"/>
              </w:rPr>
            </w:pPr>
            <w:r>
              <w:rPr>
                <w:rFonts w:ascii="Arial" w:cs="Arial" w:eastAsia="Arial" w:hAnsi="Arial"/>
                <w:sz w:val="18"/>
                <w:szCs w:val="18"/>
                <w:color w:val="0000FF"/>
                <w:w w:val="79"/>
              </w:rPr>
              <w:t>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Operations</w:t>
            </w:r>
          </w:p>
        </w:tc>
        <w:tc>
          <w:tcPr>
            <w:tcW w:w="480" w:type="dxa"/>
            <w:vAlign w:val="bottom"/>
            <w:gridSpan w:val="3"/>
          </w:tcPr>
          <w:p>
            <w:pPr>
              <w:jc w:val="center"/>
              <w:ind w:left="230"/>
              <w:spacing w:after="0"/>
              <w:rPr>
                <w:sz w:val="20"/>
                <w:szCs w:val="20"/>
                <w:color w:val="auto"/>
              </w:rPr>
            </w:pPr>
            <w:r>
              <w:rPr>
                <w:rFonts w:ascii="Arial" w:cs="Arial" w:eastAsia="Arial" w:hAnsi="Arial"/>
                <w:sz w:val="18"/>
                <w:szCs w:val="18"/>
                <w:color w:val="0000FF"/>
                <w:w w:val="79"/>
              </w:rPr>
              <w:t>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15"/>
          </w:tcPr>
          <w:p>
            <w:pPr>
              <w:spacing w:after="0"/>
              <w:rPr>
                <w:sz w:val="20"/>
                <w:szCs w:val="20"/>
                <w:color w:val="auto"/>
              </w:rPr>
            </w:pPr>
            <w:r>
              <w:rPr>
                <w:rFonts w:ascii="Arial" w:cs="Arial" w:eastAsia="Arial" w:hAnsi="Arial"/>
                <w:sz w:val="18"/>
                <w:szCs w:val="18"/>
                <w:color w:val="0000FF"/>
                <w:w w:val="87"/>
              </w:rPr>
              <w:t>Condensed Consolidated Statements of Comprehensive Loss</w:t>
            </w:r>
          </w:p>
        </w:tc>
        <w:tc>
          <w:tcPr>
            <w:tcW w:w="4680" w:type="dxa"/>
            <w:vAlign w:val="bottom"/>
            <w:gridSpan w:val="5"/>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Arial" w:cs="Arial" w:eastAsia="Arial" w:hAnsi="Arial"/>
                <w:sz w:val="18"/>
                <w:szCs w:val="18"/>
                <w:color w:val="0000FF"/>
                <w:w w:val="79"/>
              </w:rPr>
              <w:t>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480" w:type="dxa"/>
            <w:vAlign w:val="bottom"/>
            <w:gridSpan w:val="3"/>
          </w:tcPr>
          <w:p>
            <w:pPr>
              <w:jc w:val="center"/>
              <w:ind w:left="230"/>
              <w:spacing w:after="0"/>
              <w:rPr>
                <w:sz w:val="20"/>
                <w:szCs w:val="20"/>
                <w:color w:val="auto"/>
              </w:rPr>
            </w:pPr>
            <w:r>
              <w:rPr>
                <w:rFonts w:ascii="Arial" w:cs="Arial" w:eastAsia="Arial" w:hAnsi="Arial"/>
                <w:sz w:val="18"/>
                <w:szCs w:val="18"/>
                <w:color w:val="0000FF"/>
                <w:w w:val="79"/>
              </w:rPr>
              <w:t>9</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4680" w:type="dxa"/>
            <w:vAlign w:val="bottom"/>
            <w:gridSpan w:val="5"/>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Arial" w:cs="Arial" w:eastAsia="Arial" w:hAnsi="Arial"/>
                <w:sz w:val="18"/>
                <w:szCs w:val="18"/>
                <w:color w:val="0000FF"/>
                <w:w w:val="79"/>
              </w:rPr>
              <w:t>11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480" w:type="dxa"/>
            <w:vAlign w:val="bottom"/>
            <w:gridSpan w:val="3"/>
          </w:tcPr>
          <w:p>
            <w:pPr>
              <w:jc w:val="center"/>
              <w:ind w:left="230"/>
              <w:spacing w:after="0"/>
              <w:rPr>
                <w:sz w:val="20"/>
                <w:szCs w:val="20"/>
                <w:color w:val="auto"/>
              </w:rPr>
            </w:pPr>
            <w:r>
              <w:rPr>
                <w:rFonts w:ascii="Arial" w:cs="Arial" w:eastAsia="Arial" w:hAnsi="Arial"/>
                <w:sz w:val="18"/>
                <w:szCs w:val="18"/>
                <w:color w:val="0000FF"/>
                <w:w w:val="79"/>
              </w:rPr>
              <w:t>11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80" w:type="dxa"/>
            <w:vAlign w:val="bottom"/>
            <w:gridSpan w:val="3"/>
          </w:tcPr>
          <w:p>
            <w:pPr>
              <w:jc w:val="center"/>
              <w:ind w:left="210"/>
              <w:spacing w:after="0"/>
              <w:rPr>
                <w:sz w:val="20"/>
                <w:szCs w:val="20"/>
                <w:color w:val="auto"/>
              </w:rPr>
            </w:pPr>
            <w:r>
              <w:rPr>
                <w:rFonts w:ascii="Arial" w:cs="Arial" w:eastAsia="Arial" w:hAnsi="Arial"/>
                <w:sz w:val="18"/>
                <w:szCs w:val="18"/>
                <w:color w:val="0000FF"/>
                <w:w w:val="89"/>
              </w:rPr>
              <w:t>22</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580" w:type="dxa"/>
            <w:vAlign w:val="bottom"/>
            <w:gridSpan w:val="2"/>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Arial" w:cs="Arial" w:eastAsia="Arial" w:hAnsi="Arial"/>
                <w:sz w:val="18"/>
                <w:szCs w:val="18"/>
                <w:color w:val="0000FF"/>
                <w:w w:val="89"/>
              </w:rPr>
              <w:t>33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5"/>
          </w:tcPr>
          <w:p>
            <w:pPr>
              <w:spacing w:after="0"/>
              <w:rPr>
                <w:sz w:val="20"/>
                <w:szCs w:val="20"/>
                <w:color w:val="auto"/>
              </w:rPr>
            </w:pPr>
            <w:r>
              <w:rPr>
                <w:rFonts w:ascii="Arial" w:cs="Arial" w:eastAsia="Arial" w:hAnsi="Arial"/>
                <w:sz w:val="18"/>
                <w:szCs w:val="18"/>
                <w:color w:val="0000FF"/>
              </w:rPr>
              <w:t>Controls and Procedures</w:t>
            </w:r>
          </w:p>
        </w:tc>
        <w:tc>
          <w:tcPr>
            <w:tcW w:w="4680" w:type="dxa"/>
            <w:vAlign w:val="bottom"/>
            <w:gridSpan w:val="5"/>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Arial" w:cs="Arial" w:eastAsia="Arial" w:hAnsi="Arial"/>
                <w:sz w:val="18"/>
                <w:szCs w:val="18"/>
                <w:color w:val="0000FF"/>
                <w:w w:val="89"/>
              </w:rPr>
              <w:t>33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4"/>
              </w:rPr>
              <w:t>Part II - Other Information</w:t>
            </w:r>
          </w:p>
        </w:tc>
        <w:tc>
          <w:tcPr>
            <w:tcW w:w="3560" w:type="dxa"/>
            <w:vAlign w:val="bottom"/>
            <w:gridSpan w:val="4"/>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4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480" w:type="dxa"/>
            <w:vAlign w:val="bottom"/>
            <w:gridSpan w:val="3"/>
          </w:tcPr>
          <w:p>
            <w:pPr>
              <w:jc w:val="center"/>
              <w:ind w:left="210"/>
              <w:spacing w:after="0"/>
              <w:rPr>
                <w:sz w:val="20"/>
                <w:szCs w:val="20"/>
                <w:color w:val="auto"/>
              </w:rPr>
            </w:pPr>
            <w:r>
              <w:rPr>
                <w:rFonts w:ascii="Arial" w:cs="Arial" w:eastAsia="Arial" w:hAnsi="Arial"/>
                <w:sz w:val="18"/>
                <w:szCs w:val="18"/>
                <w:color w:val="0000FF"/>
                <w:w w:val="89"/>
              </w:rPr>
              <w:t>35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sz w:val="20"/>
                <w:szCs w:val="20"/>
                <w:color w:val="auto"/>
              </w:rPr>
            </w:pPr>
            <w:r>
              <w:rPr>
                <w:rFonts w:ascii="Arial" w:cs="Arial" w:eastAsia="Arial" w:hAnsi="Arial"/>
                <w:sz w:val="18"/>
                <w:szCs w:val="18"/>
                <w:color w:val="0000FF"/>
                <w:w w:val="89"/>
              </w:rPr>
              <w:t>Risk Factors</w:t>
            </w:r>
          </w:p>
        </w:tc>
        <w:tc>
          <w:tcPr>
            <w:tcW w:w="400" w:type="dxa"/>
            <w:vAlign w:val="bottom"/>
          </w:tcPr>
          <w:p>
            <w:pPr>
              <w:spacing w:after="0"/>
              <w:rPr>
                <w:sz w:val="18"/>
                <w:szCs w:val="18"/>
                <w:color w:val="auto"/>
              </w:rPr>
            </w:pPr>
          </w:p>
        </w:tc>
        <w:tc>
          <w:tcPr>
            <w:tcW w:w="7720" w:type="dxa"/>
            <w:vAlign w:val="bottom"/>
            <w:gridSpan w:val="16"/>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Arial" w:cs="Arial" w:eastAsia="Arial" w:hAnsi="Arial"/>
                <w:sz w:val="18"/>
                <w:szCs w:val="18"/>
                <w:color w:val="0000FF"/>
                <w:w w:val="89"/>
              </w:rPr>
              <w:t>36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1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160" w:type="dxa"/>
            <w:vAlign w:val="bottom"/>
            <w:gridSpan w:val="19"/>
          </w:tcPr>
          <w:p>
            <w:pPr>
              <w:spacing w:after="0"/>
              <w:rPr>
                <w:sz w:val="20"/>
                <w:szCs w:val="20"/>
                <w:color w:val="auto"/>
              </w:rPr>
            </w:pPr>
            <w:r>
              <w:rPr>
                <w:rFonts w:ascii="Arial" w:cs="Arial" w:eastAsia="Arial" w:hAnsi="Arial"/>
                <w:sz w:val="18"/>
                <w:szCs w:val="18"/>
                <w:color w:val="0000FF"/>
                <w:w w:val="89"/>
              </w:rPr>
              <w:t>Unregistered Sales of Equity Securities, Use of Proceeds, and Issuer Purchases of Equity Securities</w:t>
            </w: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Arial" w:cs="Arial" w:eastAsia="Arial" w:hAnsi="Arial"/>
                <w:sz w:val="18"/>
                <w:szCs w:val="18"/>
                <w:color w:val="0000FF"/>
                <w:w w:val="89"/>
              </w:rPr>
              <w:t>65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820" w:type="dxa"/>
            <w:vAlign w:val="bottom"/>
            <w:gridSpan w:val="13"/>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gridSpan w:val="6"/>
          </w:tcPr>
          <w:p>
            <w:pPr>
              <w:spacing w:after="0"/>
              <w:rPr>
                <w:sz w:val="20"/>
                <w:szCs w:val="20"/>
                <w:color w:val="auto"/>
              </w:rPr>
            </w:pPr>
            <w:r>
              <w:rPr>
                <w:rFonts w:ascii="Arial" w:cs="Arial" w:eastAsia="Arial" w:hAnsi="Arial"/>
                <w:sz w:val="18"/>
                <w:szCs w:val="18"/>
                <w:color w:val="0000FF"/>
                <w:w w:val="90"/>
              </w:rPr>
              <w:t>Defaults Upon Senior Securities</w:t>
            </w:r>
          </w:p>
        </w:tc>
        <w:tc>
          <w:tcPr>
            <w:tcW w:w="4820" w:type="dxa"/>
            <w:vAlign w:val="bottom"/>
            <w:gridSpan w:val="13"/>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Arial" w:cs="Arial" w:eastAsia="Arial" w:hAnsi="Arial"/>
                <w:sz w:val="18"/>
                <w:szCs w:val="18"/>
                <w:color w:val="0000FF"/>
                <w:w w:val="89"/>
              </w:rPr>
              <w:t>66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sz w:val="20"/>
                <w:szCs w:val="20"/>
                <w:color w:val="auto"/>
              </w:rPr>
            </w:pPr>
            <w:r>
              <w:rPr>
                <w:rFonts w:ascii="Arial" w:cs="Arial" w:eastAsia="Arial" w:hAnsi="Arial"/>
                <w:sz w:val="18"/>
                <w:szCs w:val="18"/>
                <w:color w:val="0000FF"/>
                <w:w w:val="91"/>
              </w:rPr>
              <w:t>Mine Safety Disclosures</w:t>
            </w:r>
          </w:p>
        </w:tc>
        <w:tc>
          <w:tcPr>
            <w:tcW w:w="560" w:type="dxa"/>
            <w:vAlign w:val="bottom"/>
          </w:tcPr>
          <w:p>
            <w:pPr>
              <w:spacing w:after="0"/>
              <w:rPr>
                <w:sz w:val="18"/>
                <w:szCs w:val="18"/>
                <w:color w:val="auto"/>
              </w:rPr>
            </w:pPr>
          </w:p>
        </w:tc>
        <w:tc>
          <w:tcPr>
            <w:tcW w:w="6700" w:type="dxa"/>
            <w:vAlign w:val="bottom"/>
            <w:gridSpan w:val="14"/>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Arial" w:cs="Arial" w:eastAsia="Arial" w:hAnsi="Arial"/>
                <w:sz w:val="18"/>
                <w:szCs w:val="18"/>
                <w:color w:val="0000FF"/>
                <w:w w:val="89"/>
              </w:rPr>
              <w:t>66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80" w:type="dxa"/>
            <w:vAlign w:val="bottom"/>
            <w:gridSpan w:val="5"/>
          </w:tcPr>
          <w:p>
            <w:pPr>
              <w:spacing w:after="0"/>
              <w:rPr>
                <w:sz w:val="20"/>
                <w:szCs w:val="20"/>
                <w:color w:val="auto"/>
              </w:rPr>
            </w:pPr>
            <w:r>
              <w:rPr>
                <w:rFonts w:ascii="Arial" w:cs="Arial" w:eastAsia="Arial" w:hAnsi="Arial"/>
                <w:sz w:val="18"/>
                <w:szCs w:val="18"/>
                <w:color w:val="0000FF"/>
              </w:rPr>
              <w:t>Other Information</w:t>
            </w:r>
          </w:p>
        </w:tc>
        <w:tc>
          <w:tcPr>
            <w:tcW w:w="7260" w:type="dxa"/>
            <w:vAlign w:val="bottom"/>
            <w:gridSpan w:val="15"/>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Arial" w:cs="Arial" w:eastAsia="Arial" w:hAnsi="Arial"/>
                <w:sz w:val="18"/>
                <w:szCs w:val="18"/>
                <w:color w:val="0000FF"/>
                <w:w w:val="89"/>
              </w:rPr>
              <w:t>66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720" w:type="dxa"/>
            <w:vAlign w:val="bottom"/>
            <w:gridSpan w:val="16"/>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7720" w:type="dxa"/>
            <w:vAlign w:val="bottom"/>
            <w:gridSpan w:val="16"/>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Arial" w:cs="Arial" w:eastAsia="Arial" w:hAnsi="Arial"/>
                <w:sz w:val="18"/>
                <w:szCs w:val="18"/>
                <w:color w:val="0000FF"/>
                <w:w w:val="89"/>
              </w:rPr>
              <w:t>67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Arial" w:cs="Arial" w:eastAsia="Arial" w:hAnsi="Arial"/>
                <w:sz w:val="18"/>
                <w:szCs w:val="18"/>
                <w:color w:val="0000FF"/>
                <w:w w:val="89"/>
              </w:rPr>
              <w:t>68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480" w:type="dxa"/>
            <w:vAlign w:val="bottom"/>
            <w:gridSpan w:val="16"/>
          </w:tcPr>
          <w:p>
            <w:pPr>
              <w:ind w:left="4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“projects,” “plans,” “targets,” and variations of such words and similar expressions are intended to identify forward-looking statements. Forward-looking statements in this Quarterly Report may include, for example, statements about:</w:t>
      </w:r>
    </w:p>
    <w:p>
      <w:pPr>
        <w:spacing w:after="0" w:line="197"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including our ability to scale new neighbor growth, our ability to grow engagement by our existing neighbor base and our ability to increase monetization of our platform;</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and monetization efforts;</w:t>
      </w:r>
    </w:p>
    <w:p>
      <w:pPr>
        <w:spacing w:after="0" w:line="25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political, economic, and macroeconomic climate, whether in the advertising industry in general, or among specific types of advertisers or within particular geographies, including but not limited to the impacts related to recent turmoil in the global banking system, labor shortages, supply chain disruptions, a potential recession, a potential temporary federal government shutdown, inflation, and rising interest rates;</w:t>
      </w:r>
    </w:p>
    <w:p>
      <w:pPr>
        <w:spacing w:after="0" w:line="19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expand our business operations abroad by opening new and expanding within existing neighborhoods outside of the United States;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invest in, and the ultimate success of, technologies aimed at enhancing our business solutions and delivering additional value to our platform;</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effectively;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sources of capital to finance operations and growth;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strategic relationships with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on the New York Stock Exchange;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 both within and outside of the United States;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and complexities with compliance related to such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develop and maintain effective internal controls;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as a result of interruptions, delays, or failures resulting from earthquakes, fires, floods, adverse weather conditions, other natural disasters, power loss, terrorism, pandemics, geopolitical conflict (including the war in Ukraine and the Israel-Hamas war), other physical security threats, cyber-attacks, or other catastrophic events;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in Part II, Item 1A, “Risk Factors” in this Quarterly Report.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20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used in this Quarterly Report, the terms “Nextdoor,” “we,” “us,” “Registrant,”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spacing w:after="0" w:line="116" w:lineRule="exact"/>
        <w:rPr>
          <w:sz w:val="20"/>
          <w:szCs w:val="20"/>
          <w:color w:val="auto"/>
        </w:rPr>
      </w:pPr>
    </w:p>
    <w:p>
      <w:pPr>
        <w:ind w:left="660" w:hanging="328"/>
        <w:spacing w:after="0" w:line="324"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51"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global economic and financial conditions could harm our business and financial condition.</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highly competitive. Competition presents an ongoing threat to the success of our business.</w:t>
      </w:r>
    </w:p>
    <w:p>
      <w:pPr>
        <w:spacing w:after="0" w:line="238" w:lineRule="exact"/>
        <w:rPr>
          <w:rFonts w:ascii="Arial" w:cs="Arial" w:eastAsia="Arial" w:hAnsi="Arial"/>
          <w:sz w:val="18"/>
          <w:szCs w:val="18"/>
          <w:color w:val="auto"/>
        </w:rPr>
      </w:pPr>
    </w:p>
    <w:p>
      <w:pPr>
        <w:jc w:val="both"/>
        <w:ind w:left="660" w:right="20" w:hanging="328"/>
        <w:spacing w:after="0"/>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scale our business effectively, our business, operating results, and financial condition would be adversely affected.</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need additional capital in the future, it may not be available on favorable terms, if at all.</w:t>
      </w:r>
    </w:p>
    <w:p>
      <w:pPr>
        <w:spacing w:after="0" w:line="238"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208"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dependent on third-party software and service providers, including the Google Ad Manager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99" w:lineRule="exact"/>
        <w:rPr>
          <w:rFonts w:ascii="Arial" w:cs="Arial" w:eastAsia="Arial" w:hAnsi="Arial"/>
          <w:sz w:val="17"/>
          <w:szCs w:val="17"/>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20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Technologies have been developed that can block the display of advertisements on the Nextdoor platform, which could adversely impact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market opportunities and key metric estimates could prove to be inaccurate, and any real or perceived inaccuracies may harm our reputation and negatively affect our business.</w:t>
      </w:r>
    </w:p>
    <w:p>
      <w:pPr>
        <w:spacing w:after="0" w:line="197"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have greater than anticipated tax liabilities, which could harm our business, revenue and financial results.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liable as a result of content or information that is published or made available on our platform.</w:t>
      </w:r>
    </w:p>
    <w:p>
      <w:pPr>
        <w:spacing w:after="0" w:line="238"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subject to complex and evolving U.S. and foreign laws, regulations, and industry standards, many of which are subject to change and uncertain interpretations, which uncertainty could harm our business, operating results, and financial conditions.</w:t>
      </w:r>
    </w:p>
    <w:p>
      <w:pPr>
        <w:spacing w:after="0" w:line="160" w:lineRule="exact"/>
        <w:rPr>
          <w:rFonts w:ascii="Arial" w:cs="Arial" w:eastAsia="Arial" w:hAnsi="Arial"/>
          <w:sz w:val="17"/>
          <w:szCs w:val="17"/>
          <w:color w:val="auto"/>
        </w:rPr>
      </w:pPr>
    </w:p>
    <w:p>
      <w:pPr>
        <w:ind w:left="660" w:right="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be involved in legal disputes that are expensive and time consuming, and, if resolved adversely, could harm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effective systems of internal controls and disclosure controls could have a material adverse effect on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brands and other intangible assets may be diminished, and our business, operating results, and financial condition may be adversely affected.</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parties may claim that our platform infringes their intellectual property rights and this may create liability for us or otherwise adversely affect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“open source” software could subject us to possible litigation or could prevent us from offering products that include open source software or require us to obtain licenses on unfavorable terms.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license technology from third parties, and our inability to maintain those licenses could harm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Class A common stock has been and may continue to be volatile.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may adversely affect the trading market for our Class A common stock.</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intend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6"/>
                <w:szCs w:val="16"/>
                <w:color w:val="auto"/>
              </w:rPr>
            </w:pPr>
          </w:p>
        </w:tc>
        <w:tc>
          <w:tcPr>
            <w:tcW w:w="1500" w:type="dxa"/>
            <w:vAlign w:val="bottom"/>
          </w:tcPr>
          <w:p>
            <w:pPr>
              <w:jc w:val="right"/>
              <w:ind w:right="151"/>
              <w:spacing w:after="0"/>
              <w:rPr>
                <w:sz w:val="20"/>
                <w:szCs w:val="20"/>
                <w:color w:val="auto"/>
              </w:rPr>
            </w:pPr>
            <w:r>
              <w:rPr>
                <w:rFonts w:ascii="Arial" w:cs="Arial" w:eastAsia="Arial" w:hAnsi="Arial"/>
                <w:sz w:val="14"/>
                <w:szCs w:val="14"/>
                <w:b w:val="1"/>
                <w:bCs w:val="1"/>
                <w:color w:val="auto"/>
                <w:w w:val="95"/>
              </w:rPr>
              <w:t>As of December 31,</w:t>
            </w:r>
          </w:p>
        </w:tc>
      </w:tr>
      <w:tr>
        <w:trPr>
          <w:trHeight w:val="26"/>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55,236</w:t>
            </w:r>
          </w:p>
        </w:tc>
      </w:tr>
      <w:tr>
        <w:trPr>
          <w:trHeight w:val="229"/>
        </w:trPr>
        <w:tc>
          <w:tcPr>
            <w:tcW w:w="778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491,283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528,067</w:t>
            </w:r>
          </w:p>
        </w:tc>
      </w:tr>
      <w:tr>
        <w:trPr>
          <w:trHeight w:val="176"/>
        </w:trPr>
        <w:tc>
          <w:tcPr>
            <w:tcW w:w="77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Accounts receivable, net of allowance of $441 and $422 as of September 30, 2023 and December 31,</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2022, respectively</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29,770</w:t>
            </w:r>
          </w:p>
        </w:tc>
      </w:tr>
      <w:tr>
        <w:trPr>
          <w:trHeight w:val="229"/>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12,185</w:t>
            </w: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625,258</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Restricted cash, non-current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52,555</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699,562</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7,766</w:t>
            </w:r>
          </w:p>
        </w:tc>
      </w:tr>
      <w:tr>
        <w:trPr>
          <w:trHeight w:val="229"/>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22,362</w:t>
            </w: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34,641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34,663</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r>
      <w:tr>
        <w:trPr>
          <w:trHeight w:val="230"/>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 non-current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88,494</w:t>
            </w: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75"/>
        </w:trPr>
        <w:tc>
          <w:tcPr>
            <w:tcW w:w="7780" w:type="dxa"/>
            <w:vAlign w:val="bottom"/>
          </w:tcPr>
          <w:p>
            <w:pPr>
              <w:ind w:left="240"/>
              <w:spacing w:after="0" w:line="176" w:lineRule="exact"/>
              <w:rPr>
                <w:sz w:val="20"/>
                <w:szCs w:val="20"/>
                <w:color w:val="auto"/>
              </w:rPr>
            </w:pPr>
            <w:r>
              <w:rPr>
                <w:rFonts w:ascii="Arial" w:cs="Arial" w:eastAsia="Arial" w:hAnsi="Arial"/>
                <w:sz w:val="18"/>
                <w:szCs w:val="18"/>
                <w:color w:val="auto"/>
                <w:w w:val="92"/>
              </w:rPr>
              <w:t>Class A common stock, $0.0001 par value; 2,500,000 shares authorized, 180,104 and 153,693 shares</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43"/>
        </w:trPr>
        <w:tc>
          <w:tcPr>
            <w:tcW w:w="7780" w:type="dxa"/>
            <w:vAlign w:val="bottom"/>
          </w:tcPr>
          <w:p>
            <w:pPr>
              <w:ind w:left="400"/>
              <w:spacing w:after="0"/>
              <w:rPr>
                <w:sz w:val="20"/>
                <w:szCs w:val="20"/>
                <w:color w:val="auto"/>
              </w:rPr>
            </w:pPr>
            <w:r>
              <w:rPr>
                <w:rFonts w:ascii="Arial" w:cs="Arial" w:eastAsia="Arial" w:hAnsi="Arial"/>
                <w:sz w:val="18"/>
                <w:szCs w:val="18"/>
                <w:color w:val="auto"/>
              </w:rPr>
              <w:t>issued and outstanding as of September 30, 2023 and December 31, 2022, respectively</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75"/>
        </w:trPr>
        <w:tc>
          <w:tcPr>
            <w:tcW w:w="77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Class B common stock, $0.0001 par value; 500,000 shares authorized, 203,417 and 218,029 shares</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and outstanding as of September 30, 2023 and December 31, 2022, respectively</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1,300,845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1,231,482</w:t>
            </w: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30"/>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(618,255)</w:t>
            </w:r>
          </w:p>
        </w:tc>
      </w:tr>
      <w:tr>
        <w:trPr>
          <w:trHeight w:val="223"/>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611,068</w:t>
            </w:r>
          </w:p>
        </w:tc>
      </w:tr>
      <w:tr>
        <w:trPr>
          <w:trHeight w:val="223"/>
        </w:trPr>
        <w:tc>
          <w:tcPr>
            <w:tcW w:w="778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699,562</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159,495</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29,124</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39,649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109,748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95,057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92,688</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50,499</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287,382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267,368</w:t>
            </w:r>
          </w:p>
        </w:tc>
        <w:tc>
          <w:tcPr>
            <w:tcW w:w="0" w:type="dxa"/>
            <w:vAlign w:val="bottom"/>
          </w:tcPr>
          <w:p>
            <w:pPr>
              <w:spacing w:after="0"/>
              <w:rPr>
                <w:sz w:val="1"/>
                <w:szCs w:val="1"/>
                <w:color w:val="auto"/>
              </w:rPr>
            </w:pPr>
          </w:p>
        </w:tc>
      </w:tr>
      <w:tr>
        <w:trPr>
          <w:trHeight w:val="223"/>
        </w:trPr>
        <w:tc>
          <w:tcPr>
            <w:tcW w:w="5540" w:type="dxa"/>
            <w:vAlign w:val="bottom"/>
          </w:tcPr>
          <w:p>
            <w:pPr>
              <w:ind w:left="44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(124,630)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(107,873)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(104,128)</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(107,235)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Net loss per share attributable to Class A and Class B common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0"/>
                <w:szCs w:val="10"/>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1"/>
        </w:trPr>
        <w:tc>
          <w:tcPr>
            <w:tcW w:w="554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2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shares used in computing net loss per share attributable to</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381,482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377,756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376,832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381,571</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and Class B common stockholders, basic and diluted</w:t>
            </w: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(104,508)</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29"/>
        </w:trPr>
        <w:tc>
          <w:tcPr>
            <w:tcW w:w="5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0"/>
              </w:rPr>
              <w:t>Change in unrealized loss on available-for-sale marketable securities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r>
      <w:tr>
        <w:trPr>
          <w:trHeight w:val="223"/>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r>
      <w:tr>
        <w:trPr>
          <w:trHeight w:val="223"/>
        </w:trPr>
        <w:tc>
          <w:tcPr>
            <w:tcW w:w="5240" w:type="dxa"/>
            <w:vAlign w:val="bottom"/>
          </w:tcPr>
          <w:p>
            <w:pPr>
              <w:ind w:left="46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(107,251)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(107,882)</w:t>
            </w: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gridSpan w:val="8"/>
          </w:tcPr>
          <w:p>
            <w:pPr>
              <w:spacing w:after="0"/>
              <w:rPr>
                <w:sz w:val="20"/>
                <w:szCs w:val="20"/>
                <w:color w:val="auto"/>
              </w:rPr>
            </w:pPr>
            <w:r>
              <w:rPr>
                <w:rFonts w:ascii="Arial" w:cs="Arial" w:eastAsia="Arial" w:hAnsi="Arial"/>
                <w:sz w:val="14"/>
                <w:szCs w:val="14"/>
                <w:b w:val="1"/>
                <w:bCs w:val="1"/>
                <w:color w:val="auto"/>
              </w:rPr>
              <w:t>Three Months Ended September 30, 2023</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Class A Common Stock</w:t>
            </w:r>
          </w:p>
        </w:tc>
        <w:tc>
          <w:tcPr>
            <w:tcW w:w="1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Class B Common Stock</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vMerge w:val="restart"/>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9"/>
                <w:szCs w:val="9"/>
                <w:color w:val="auto"/>
              </w:rPr>
            </w:pPr>
          </w:p>
        </w:tc>
        <w:tc>
          <w:tcPr>
            <w:tcW w:w="1240" w:type="dxa"/>
            <w:vAlign w:val="bottom"/>
            <w:gridSpan w:val="2"/>
            <w:vMerge w:val="restart"/>
          </w:tcPr>
          <w:p>
            <w:pPr>
              <w:ind w:left="20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Stockholders’Equity</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Balances as of June 30, 2023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$1,272,676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(687,374)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Arial" w:cs="Arial" w:eastAsia="Arial" w:hAnsi="Arial"/>
                <w:sz w:val="16"/>
                <w:szCs w:val="16"/>
                <w:color w:val="auto"/>
              </w:rPr>
              <w:t>Release of restricted stock units</w:t>
            </w:r>
          </w:p>
        </w:tc>
        <w:tc>
          <w:tcPr>
            <w:tcW w:w="760" w:type="dxa"/>
            <w:vAlign w:val="bottom"/>
          </w:tcPr>
          <w:p>
            <w:pPr>
              <w:jc w:val="right"/>
              <w:spacing w:after="0"/>
              <w:rPr>
                <w:sz w:val="20"/>
                <w:szCs w:val="20"/>
                <w:color w:val="auto"/>
              </w:rPr>
            </w:pPr>
            <w:r>
              <w:rPr>
                <w:rFonts w:ascii="Arial" w:cs="Arial" w:eastAsia="Arial" w:hAnsi="Arial"/>
                <w:sz w:val="16"/>
                <w:szCs w:val="16"/>
                <w:color w:val="auto"/>
              </w:rPr>
              <w:t>3,704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32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Tax withholdings on release of restricted</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 units</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3220" w:type="dxa"/>
            <w:vAlign w:val="bottom"/>
          </w:tcPr>
          <w:p>
            <w:pPr>
              <w:ind w:left="220"/>
              <w:spacing w:after="0" w:line="166" w:lineRule="exact"/>
              <w:rPr>
                <w:sz w:val="20"/>
                <w:szCs w:val="20"/>
                <w:color w:val="auto"/>
              </w:rPr>
            </w:pPr>
            <w:r>
              <w:rPr>
                <w:rFonts w:ascii="Arial" w:cs="Arial" w:eastAsia="Arial" w:hAnsi="Arial"/>
                <w:sz w:val="16"/>
                <w:szCs w:val="16"/>
                <w:color w:val="auto"/>
                <w:w w:val="93"/>
              </w:rPr>
              <w:t>Conversion from Class B to Class A common</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7,277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(7,277)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220" w:type="dxa"/>
            <w:vAlign w:val="bottom"/>
          </w:tcPr>
          <w:p>
            <w:pPr>
              <w:ind w:left="380"/>
              <w:spacing w:after="0"/>
              <w:rPr>
                <w:sz w:val="20"/>
                <w:szCs w:val="20"/>
                <w:color w:val="auto"/>
              </w:rPr>
            </w:pPr>
            <w:r>
              <w:rPr>
                <w:rFonts w:ascii="Arial" w:cs="Arial" w:eastAsia="Arial" w:hAnsi="Arial"/>
                <w:sz w:val="16"/>
                <w:szCs w:val="16"/>
                <w:color w:val="auto"/>
              </w:rPr>
              <w:t>stock</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32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5"/>
              </w:rPr>
              <w:t>Issuance of common stock upon exercise of</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 options</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3220" w:type="dxa"/>
            <w:vAlign w:val="bottom"/>
          </w:tcPr>
          <w:p>
            <w:pPr>
              <w:ind w:left="220"/>
              <w:spacing w:after="0" w:line="166" w:lineRule="exact"/>
              <w:rPr>
                <w:sz w:val="20"/>
                <w:szCs w:val="20"/>
                <w:color w:val="auto"/>
              </w:rPr>
            </w:pPr>
            <w:r>
              <w:rPr>
                <w:rFonts w:ascii="Arial" w:cs="Arial" w:eastAsia="Arial" w:hAnsi="Arial"/>
                <w:sz w:val="16"/>
                <w:szCs w:val="16"/>
                <w:color w:val="auto"/>
                <w:w w:val="96"/>
              </w:rPr>
              <w:t>Issuance of common stock under employee</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940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940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220" w:type="dxa"/>
            <w:vAlign w:val="bottom"/>
          </w:tcPr>
          <w:p>
            <w:pPr>
              <w:ind w:left="380"/>
              <w:spacing w:after="0"/>
              <w:rPr>
                <w:sz w:val="20"/>
                <w:szCs w:val="20"/>
                <w:color w:val="auto"/>
              </w:rPr>
            </w:pPr>
            <w:r>
              <w:rPr>
                <w:rFonts w:ascii="Arial" w:cs="Arial" w:eastAsia="Arial" w:hAnsi="Arial"/>
                <w:sz w:val="16"/>
                <w:szCs w:val="16"/>
                <w:color w:val="auto"/>
              </w:rPr>
              <w:t>stock purchase plan</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of early exercised stock options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23,343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(38,116)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40" w:type="dxa"/>
            <w:vAlign w:val="bottom"/>
          </w:tcPr>
          <w:p>
            <w:pPr>
              <w:spacing w:after="0"/>
              <w:rPr>
                <w:sz w:val="20"/>
                <w:szCs w:val="20"/>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as of September 30, 2023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180,104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203,417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1,300,845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(725,490)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573,181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8"/>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Class A Common Stock</w:t>
            </w:r>
          </w:p>
        </w:tc>
        <w:tc>
          <w:tcPr>
            <w:tcW w:w="1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Class B Common Stock</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vMerge w:val="restart"/>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9"/>
                <w:szCs w:val="9"/>
                <w:color w:val="auto"/>
              </w:rPr>
            </w:pPr>
          </w:p>
        </w:tc>
        <w:tc>
          <w:tcPr>
            <w:tcW w:w="1240" w:type="dxa"/>
            <w:vAlign w:val="bottom"/>
            <w:gridSpan w:val="2"/>
            <w:vMerge w:val="restart"/>
          </w:tcPr>
          <w:p>
            <w:pPr>
              <w:ind w:left="20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Stockholders’Equity</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Balances as of June 30, 2022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$1,255,034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(550,130)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701,458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3220" w:type="dxa"/>
            <w:vAlign w:val="bottom"/>
          </w:tcPr>
          <w:p>
            <w:pPr>
              <w:ind w:left="220"/>
              <w:spacing w:after="0"/>
              <w:rPr>
                <w:sz w:val="20"/>
                <w:szCs w:val="20"/>
                <w:color w:val="auto"/>
              </w:rPr>
            </w:pPr>
            <w:r>
              <w:rPr>
                <w:rFonts w:ascii="Arial" w:cs="Arial" w:eastAsia="Arial" w:hAnsi="Arial"/>
                <w:sz w:val="16"/>
                <w:szCs w:val="16"/>
                <w:color w:val="auto"/>
              </w:rPr>
              <w:t>Release of restricted stock units</w:t>
            </w:r>
          </w:p>
        </w:tc>
        <w:tc>
          <w:tcPr>
            <w:tcW w:w="760" w:type="dxa"/>
            <w:vAlign w:val="bottom"/>
          </w:tcPr>
          <w:p>
            <w:pPr>
              <w:jc w:val="right"/>
              <w:spacing w:after="0"/>
              <w:rPr>
                <w:sz w:val="20"/>
                <w:szCs w:val="20"/>
                <w:color w:val="auto"/>
              </w:rPr>
            </w:pPr>
            <w:r>
              <w:rPr>
                <w:rFonts w:ascii="Arial" w:cs="Arial" w:eastAsia="Arial" w:hAnsi="Arial"/>
                <w:sz w:val="16"/>
                <w:szCs w:val="16"/>
                <w:color w:val="auto"/>
              </w:rPr>
              <w:t>1,555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common stock</w:t>
            </w:r>
          </w:p>
        </w:tc>
        <w:tc>
          <w:tcPr>
            <w:tcW w:w="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(20,191)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(66,737)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3220" w:type="dxa"/>
            <w:vAlign w:val="bottom"/>
          </w:tcPr>
          <w:p>
            <w:pPr>
              <w:ind w:left="220"/>
              <w:spacing w:after="0" w:line="166" w:lineRule="exact"/>
              <w:rPr>
                <w:sz w:val="20"/>
                <w:szCs w:val="20"/>
                <w:color w:val="auto"/>
              </w:rPr>
            </w:pPr>
            <w:r>
              <w:rPr>
                <w:rFonts w:ascii="Arial" w:cs="Arial" w:eastAsia="Arial" w:hAnsi="Arial"/>
                <w:sz w:val="16"/>
                <w:szCs w:val="16"/>
                <w:color w:val="auto"/>
                <w:w w:val="93"/>
              </w:rPr>
              <w:t>Conversion from Class B to Class A common</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11,343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(11,343)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220" w:type="dxa"/>
            <w:vAlign w:val="bottom"/>
          </w:tcPr>
          <w:p>
            <w:pPr>
              <w:ind w:left="380"/>
              <w:spacing w:after="0"/>
              <w:rPr>
                <w:sz w:val="20"/>
                <w:szCs w:val="20"/>
                <w:color w:val="auto"/>
              </w:rPr>
            </w:pPr>
            <w:r>
              <w:rPr>
                <w:rFonts w:ascii="Arial" w:cs="Arial" w:eastAsia="Arial" w:hAnsi="Arial"/>
                <w:sz w:val="16"/>
                <w:szCs w:val="16"/>
                <w:color w:val="auto"/>
              </w:rPr>
              <w:t>stock</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32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5"/>
              </w:rPr>
              <w:t>Issuance of common stock upon exercise of</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 options</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3220" w:type="dxa"/>
            <w:vAlign w:val="bottom"/>
          </w:tcPr>
          <w:p>
            <w:pPr>
              <w:ind w:left="220"/>
              <w:spacing w:after="0" w:line="166" w:lineRule="exact"/>
              <w:rPr>
                <w:sz w:val="20"/>
                <w:szCs w:val="20"/>
                <w:color w:val="auto"/>
              </w:rPr>
            </w:pPr>
            <w:r>
              <w:rPr>
                <w:rFonts w:ascii="Arial" w:cs="Arial" w:eastAsia="Arial" w:hAnsi="Arial"/>
                <w:sz w:val="16"/>
                <w:szCs w:val="16"/>
                <w:color w:val="auto"/>
                <w:w w:val="96"/>
              </w:rPr>
              <w:t>Issuance of common stock under employee</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1,430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1,430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220" w:type="dxa"/>
            <w:vAlign w:val="bottom"/>
          </w:tcPr>
          <w:p>
            <w:pPr>
              <w:ind w:left="380"/>
              <w:spacing w:after="0"/>
              <w:rPr>
                <w:sz w:val="20"/>
                <w:szCs w:val="20"/>
                <w:color w:val="auto"/>
              </w:rPr>
            </w:pPr>
            <w:r>
              <w:rPr>
                <w:rFonts w:ascii="Arial" w:cs="Arial" w:eastAsia="Arial" w:hAnsi="Arial"/>
                <w:sz w:val="16"/>
                <w:szCs w:val="16"/>
                <w:color w:val="auto"/>
              </w:rPr>
              <w:t>stock purchase plan</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of early exercised stock options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Arial" w:cs="Arial" w:eastAsia="Arial" w:hAnsi="Arial"/>
                <w:sz w:val="16"/>
                <w:szCs w:val="16"/>
                <w:color w:val="auto"/>
              </w:rPr>
              <w:t>Vesting of restricted stock</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(34,717)</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Balances as of September 30, 2022</w:t>
            </w:r>
          </w:p>
        </w:tc>
        <w:tc>
          <w:tcPr>
            <w:tcW w:w="760" w:type="dxa"/>
            <w:vAlign w:val="bottom"/>
          </w:tcPr>
          <w:p>
            <w:pPr>
              <w:jc w:val="right"/>
              <w:spacing w:after="0"/>
              <w:rPr>
                <w:sz w:val="20"/>
                <w:szCs w:val="20"/>
                <w:color w:val="auto"/>
              </w:rPr>
            </w:pPr>
            <w:r>
              <w:rPr>
                <w:rFonts w:ascii="Arial" w:cs="Arial" w:eastAsia="Arial" w:hAnsi="Arial"/>
                <w:sz w:val="16"/>
                <w:szCs w:val="16"/>
                <w:color w:val="auto"/>
              </w:rPr>
              <w:t>149,825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219,356</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$1,212,167</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(3,903)</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6"/>
              </w:rPr>
              <w:t>(584,847)</w:t>
            </w:r>
          </w:p>
        </w:tc>
        <w:tc>
          <w:tcPr>
            <w:tcW w:w="8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623,454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1"/>
        </w:trPr>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254635</wp:posOffset>
            </wp:positionV>
            <wp:extent cx="45859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356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60" w:type="dxa"/>
            <w:vAlign w:val="bottom"/>
            <w:tcBorders>
              <w:top w:val="single" w:sz="8" w:color="auto"/>
              <w:bottom w:val="single" w:sz="8" w:color="auto"/>
            </w:tcBorders>
            <w:gridSpan w:val="10"/>
          </w:tcPr>
          <w:p>
            <w:pPr>
              <w:ind w:left="660"/>
              <w:spacing w:after="0"/>
              <w:rPr>
                <w:sz w:val="20"/>
                <w:szCs w:val="20"/>
                <w:color w:val="auto"/>
              </w:rPr>
            </w:pPr>
            <w:r>
              <w:rPr>
                <w:rFonts w:ascii="Arial" w:cs="Arial" w:eastAsia="Arial" w:hAnsi="Arial"/>
                <w:sz w:val="14"/>
                <w:szCs w:val="14"/>
                <w:b w:val="1"/>
                <w:bCs w:val="1"/>
                <w:color w:val="auto"/>
              </w:rPr>
              <w:t>Nine Months Ended September 30, 2023</w:t>
            </w: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Class A Common Stock</w:t>
            </w:r>
          </w:p>
        </w:tc>
        <w:tc>
          <w:tcPr>
            <w:tcW w:w="16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1720" w:type="dxa"/>
            <w:vAlign w:val="bottom"/>
            <w:gridSpan w:val="5"/>
            <w:vMerge w:val="continue"/>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900" w:type="dxa"/>
            <w:vAlign w:val="bottom"/>
            <w:gridSpan w:val="2"/>
            <w:vMerge w:val="restart"/>
          </w:tcPr>
          <w:p>
            <w:pPr>
              <w:jc w:val="center"/>
              <w:ind w:right="80"/>
              <w:spacing w:after="0" w:line="122"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vMerge w:val="restart"/>
          </w:tcPr>
          <w:p>
            <w:pPr>
              <w:jc w:val="center"/>
              <w:ind w:right="8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vMerge w:val="restart"/>
          </w:tcPr>
          <w:p>
            <w:pPr>
              <w:ind w:left="20"/>
              <w:spacing w:after="0" w:line="122" w:lineRule="exact"/>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7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as of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153,693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218,029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$1,231,482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6"/>
              </w:rPr>
              <w:t>(618,255)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611,068</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Arial" w:cs="Arial" w:eastAsia="Arial" w:hAnsi="Arial"/>
                <w:sz w:val="16"/>
                <w:szCs w:val="16"/>
                <w:color w:val="auto"/>
              </w:rPr>
              <w:t>Release of restricted stock units</w:t>
            </w:r>
          </w:p>
        </w:tc>
        <w:tc>
          <w:tcPr>
            <w:tcW w:w="780" w:type="dxa"/>
            <w:vAlign w:val="bottom"/>
          </w:tcPr>
          <w:p>
            <w:pPr>
              <w:jc w:val="right"/>
              <w:spacing w:after="0"/>
              <w:rPr>
                <w:sz w:val="20"/>
                <w:szCs w:val="20"/>
                <w:color w:val="auto"/>
              </w:rPr>
            </w:pPr>
            <w:r>
              <w:rPr>
                <w:rFonts w:ascii="Arial" w:cs="Arial" w:eastAsia="Arial" w:hAnsi="Arial"/>
                <w:sz w:val="16"/>
                <w:szCs w:val="16"/>
                <w:color w:val="auto"/>
              </w:rPr>
              <w:t>7,757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Tax withholdings on release of restricted stock</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220"/>
              <w:spacing w:after="0" w:line="166" w:lineRule="exact"/>
              <w:rPr>
                <w:sz w:val="20"/>
                <w:szCs w:val="20"/>
                <w:color w:val="auto"/>
              </w:rPr>
            </w:pPr>
            <w:r>
              <w:rPr>
                <w:rFonts w:ascii="Arial" w:cs="Arial" w:eastAsia="Arial" w:hAnsi="Arial"/>
                <w:sz w:val="16"/>
                <w:szCs w:val="16"/>
                <w:color w:val="auto"/>
              </w:rPr>
              <w:t>Conversion from Class B to Class A common</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16,112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w w:val="93"/>
              </w:rPr>
              <w:t>(16,112)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60" w:type="dxa"/>
            <w:vAlign w:val="bottom"/>
          </w:tcPr>
          <w:p>
            <w:pPr>
              <w:ind w:left="380"/>
              <w:spacing w:after="0"/>
              <w:rPr>
                <w:sz w:val="20"/>
                <w:szCs w:val="20"/>
                <w:color w:val="auto"/>
              </w:rPr>
            </w:pPr>
            <w:r>
              <w:rPr>
                <w:rFonts w:ascii="Arial" w:cs="Arial" w:eastAsia="Arial" w:hAnsi="Arial"/>
                <w:sz w:val="16"/>
                <w:szCs w:val="16"/>
                <w:color w:val="auto"/>
              </w:rPr>
              <w:t>stock</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4"/>
              </w:rPr>
              <w:t>Issuance of common stock upon exercise of stock</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6,676</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options</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220"/>
              <w:spacing w:after="0" w:line="166" w:lineRule="exact"/>
              <w:rPr>
                <w:sz w:val="20"/>
                <w:szCs w:val="20"/>
                <w:color w:val="auto"/>
              </w:rPr>
            </w:pPr>
            <w:r>
              <w:rPr>
                <w:rFonts w:ascii="Arial" w:cs="Arial" w:eastAsia="Arial" w:hAnsi="Arial"/>
                <w:sz w:val="16"/>
                <w:szCs w:val="16"/>
                <w:color w:val="auto"/>
                <w:w w:val="94"/>
              </w:rPr>
              <w:t>Issuance of common stock under employee stock</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09"/>
        </w:trPr>
        <w:tc>
          <w:tcPr>
            <w:tcW w:w="3560" w:type="dxa"/>
            <w:vAlign w:val="bottom"/>
          </w:tcPr>
          <w:p>
            <w:pPr>
              <w:ind w:left="380"/>
              <w:spacing w:after="0"/>
              <w:rPr>
                <w:sz w:val="20"/>
                <w:szCs w:val="20"/>
                <w:color w:val="auto"/>
              </w:rPr>
            </w:pPr>
            <w:r>
              <w:rPr>
                <w:rFonts w:ascii="Arial" w:cs="Arial" w:eastAsia="Arial" w:hAnsi="Arial"/>
                <w:sz w:val="16"/>
                <w:szCs w:val="16"/>
                <w:color w:val="auto"/>
              </w:rPr>
              <w:t>purchase plan</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of early exercised stock options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60,735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60,735</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Arial" w:cs="Arial" w:eastAsia="Arial" w:hAnsi="Arial"/>
                <w:sz w:val="16"/>
                <w:szCs w:val="16"/>
                <w:color w:val="auto"/>
              </w:rPr>
              <w:t>Net loss</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6"/>
                <w:szCs w:val="16"/>
                <w:color w:val="auto"/>
                <w:w w:val="96"/>
              </w:rPr>
              <w:t>(107,235)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(107,235)</w:t>
            </w:r>
          </w:p>
        </w:tc>
        <w:tc>
          <w:tcPr>
            <w:tcW w:w="0" w:type="dxa"/>
            <w:vAlign w:val="bottom"/>
          </w:tcPr>
          <w:p>
            <w:pPr>
              <w:spacing w:after="0"/>
              <w:rPr>
                <w:sz w:val="1"/>
                <w:szCs w:val="1"/>
                <w:color w:val="auto"/>
              </w:rPr>
            </w:pPr>
          </w:p>
        </w:tc>
      </w:tr>
      <w:tr>
        <w:trPr>
          <w:trHeight w:val="238"/>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as of September 30,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203,417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1,300,845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6"/>
              </w:rPr>
              <w:t>(725,490)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573,181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gridSpan w:val="10"/>
          </w:tcPr>
          <w:p>
            <w:pPr>
              <w:ind w:left="660"/>
              <w:spacing w:after="0"/>
              <w:rPr>
                <w:sz w:val="20"/>
                <w:szCs w:val="20"/>
                <w:color w:val="auto"/>
              </w:rPr>
            </w:pPr>
            <w:r>
              <w:rPr>
                <w:rFonts w:ascii="Arial" w:cs="Arial" w:eastAsia="Arial" w:hAnsi="Arial"/>
                <w:sz w:val="14"/>
                <w:szCs w:val="14"/>
                <w:b w:val="1"/>
                <w:bCs w:val="1"/>
                <w:color w:val="auto"/>
              </w:rPr>
              <w:t>Nine Months Ended September 30, 2022</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Class A Common Stock</w:t>
            </w:r>
          </w:p>
        </w:tc>
        <w:tc>
          <w:tcPr>
            <w:tcW w:w="16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56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vMerge w:val="restart"/>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spacing w:after="0" w:line="12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7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as of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78,954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304,701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$1,225,815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6"/>
              </w:rPr>
              <w:t>(480,339)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744,985</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Arial" w:cs="Arial" w:eastAsia="Arial" w:hAnsi="Arial"/>
                <w:sz w:val="16"/>
                <w:szCs w:val="16"/>
                <w:color w:val="auto"/>
              </w:rPr>
              <w:t>Release of restricted stock units</w:t>
            </w:r>
          </w:p>
        </w:tc>
        <w:tc>
          <w:tcPr>
            <w:tcW w:w="780" w:type="dxa"/>
            <w:vAlign w:val="bottom"/>
          </w:tcPr>
          <w:p>
            <w:pPr>
              <w:jc w:val="right"/>
              <w:spacing w:after="0"/>
              <w:rPr>
                <w:sz w:val="20"/>
                <w:szCs w:val="20"/>
                <w:color w:val="auto"/>
              </w:rPr>
            </w:pPr>
            <w:r>
              <w:rPr>
                <w:rFonts w:ascii="Arial" w:cs="Arial" w:eastAsia="Arial" w:hAnsi="Arial"/>
                <w:sz w:val="16"/>
                <w:szCs w:val="16"/>
                <w:color w:val="auto"/>
              </w:rPr>
              <w:t>2,476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Tax withholdings on release of restricted stock</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Arial" w:cs="Arial" w:eastAsia="Arial" w:hAnsi="Arial"/>
                <w:sz w:val="16"/>
                <w:szCs w:val="16"/>
                <w:color w:val="auto"/>
              </w:rPr>
              <w:t>Repurchase of common stock</w:t>
            </w:r>
          </w:p>
        </w:tc>
        <w:tc>
          <w:tcPr>
            <w:tcW w:w="780" w:type="dxa"/>
            <w:vAlign w:val="bottom"/>
          </w:tcPr>
          <w:p>
            <w:pPr>
              <w:ind w:left="180"/>
              <w:spacing w:after="0"/>
              <w:rPr>
                <w:sz w:val="20"/>
                <w:szCs w:val="20"/>
                <w:color w:val="auto"/>
              </w:rPr>
            </w:pPr>
            <w:r>
              <w:rPr>
                <w:rFonts w:ascii="Arial" w:cs="Arial" w:eastAsia="Arial" w:hAnsi="Arial"/>
                <w:sz w:val="16"/>
                <w:szCs w:val="16"/>
                <w:color w:val="auto"/>
                <w:w w:val="97"/>
              </w:rPr>
              <w:t>(23,252)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(77,230)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(77,232)</w:t>
            </w: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Conversion from Class B to Class A common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88,049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w w:val="97"/>
              </w:rPr>
              <w:t>(88,049)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220"/>
              <w:spacing w:after="0" w:line="166" w:lineRule="exact"/>
              <w:rPr>
                <w:sz w:val="20"/>
                <w:szCs w:val="20"/>
                <w:color w:val="auto"/>
              </w:rPr>
            </w:pPr>
            <w:r>
              <w:rPr>
                <w:rFonts w:ascii="Arial" w:cs="Arial" w:eastAsia="Arial" w:hAnsi="Arial"/>
                <w:sz w:val="16"/>
                <w:szCs w:val="16"/>
                <w:color w:val="auto"/>
                <w:w w:val="94"/>
              </w:rPr>
              <w:t>Issuance of common stock upon exercise of stock</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3,046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2,434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11,218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11,219</w:t>
            </w:r>
          </w:p>
        </w:tc>
        <w:tc>
          <w:tcPr>
            <w:tcW w:w="0" w:type="dxa"/>
            <w:vAlign w:val="bottom"/>
          </w:tcPr>
          <w:p>
            <w:pPr>
              <w:spacing w:after="0"/>
              <w:rPr>
                <w:sz w:val="1"/>
                <w:szCs w:val="1"/>
                <w:color w:val="auto"/>
              </w:rPr>
            </w:pPr>
          </w:p>
        </w:tc>
      </w:tr>
      <w:tr>
        <w:trPr>
          <w:trHeight w:val="209"/>
        </w:trPr>
        <w:tc>
          <w:tcPr>
            <w:tcW w:w="3560" w:type="dxa"/>
            <w:vAlign w:val="bottom"/>
          </w:tcPr>
          <w:p>
            <w:pPr>
              <w:ind w:left="380"/>
              <w:spacing w:after="0"/>
              <w:rPr>
                <w:sz w:val="20"/>
                <w:szCs w:val="20"/>
                <w:color w:val="auto"/>
              </w:rPr>
            </w:pPr>
            <w:r>
              <w:rPr>
                <w:rFonts w:ascii="Arial" w:cs="Arial" w:eastAsia="Arial" w:hAnsi="Arial"/>
                <w:sz w:val="16"/>
                <w:szCs w:val="16"/>
                <w:color w:val="auto"/>
              </w:rPr>
              <w:t>options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Issuance of common stock in connection with</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acquisition</w:t>
            </w: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220"/>
              <w:spacing w:after="0" w:line="166" w:lineRule="exact"/>
              <w:rPr>
                <w:sz w:val="20"/>
                <w:szCs w:val="20"/>
                <w:color w:val="auto"/>
              </w:rPr>
            </w:pPr>
            <w:r>
              <w:rPr>
                <w:rFonts w:ascii="Arial" w:cs="Arial" w:eastAsia="Arial" w:hAnsi="Arial"/>
                <w:sz w:val="16"/>
                <w:szCs w:val="16"/>
                <w:color w:val="auto"/>
                <w:w w:val="94"/>
              </w:rPr>
              <w:t>Issuance of common stock under employee stock</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09"/>
        </w:trPr>
        <w:tc>
          <w:tcPr>
            <w:tcW w:w="3560" w:type="dxa"/>
            <w:vAlign w:val="bottom"/>
          </w:tcPr>
          <w:p>
            <w:pPr>
              <w:ind w:left="380"/>
              <w:spacing w:after="0"/>
              <w:rPr>
                <w:sz w:val="20"/>
                <w:szCs w:val="20"/>
                <w:color w:val="auto"/>
              </w:rPr>
            </w:pPr>
            <w:r>
              <w:rPr>
                <w:rFonts w:ascii="Arial" w:cs="Arial" w:eastAsia="Arial" w:hAnsi="Arial"/>
                <w:sz w:val="16"/>
                <w:szCs w:val="16"/>
                <w:color w:val="auto"/>
              </w:rPr>
              <w:t>purchase plan</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of early exercised stock options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Arial" w:cs="Arial" w:eastAsia="Arial" w:hAnsi="Arial"/>
                <w:sz w:val="16"/>
                <w:szCs w:val="16"/>
                <w:color w:val="auto"/>
              </w:rPr>
              <w:t>Vesting of restricted stock</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46,957</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(3,374)</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(104,508)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(104,508)</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6"/>
                <w:szCs w:val="16"/>
                <w:color w:val="auto"/>
              </w:rPr>
              <w:t>Balances as of September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149,825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219,356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1,212,167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96"/>
              </w:rPr>
              <w:t>(584,847)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623,454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(107,235)</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(104,508)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4,169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46,957</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Bad debt expense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Accretion of investments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5,120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(5,280)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5,351</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operating activities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(44,336)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(40,797)</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marketable securities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(555,052)</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Sales of marketable securities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81,266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7,822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Maturities of marketable securities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224,005</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Loan to Opportunity Finance Network</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40,188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(325,407)</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11,219</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 of transaction costs related to the Reverse Recapitalization</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Tax withholdings on release of restricted stock units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common stock</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Prepayment under share repurchase program</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8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(65,660)</w:t>
            </w:r>
          </w:p>
        </w:tc>
        <w:tc>
          <w:tcPr>
            <w:tcW w:w="0" w:type="dxa"/>
            <w:vAlign w:val="bottom"/>
          </w:tcPr>
          <w:p>
            <w:pPr>
              <w:spacing w:after="0"/>
              <w:rPr>
                <w:sz w:val="1"/>
                <w:szCs w:val="1"/>
                <w:color w:val="auto"/>
              </w:rPr>
            </w:pPr>
          </w:p>
        </w:tc>
      </w:tr>
      <w:tr>
        <w:trPr>
          <w:trHeight w:val="20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(431,081)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55,236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521,812</w:t>
            </w:r>
          </w:p>
        </w:tc>
        <w:tc>
          <w:tcPr>
            <w:tcW w:w="0" w:type="dxa"/>
            <w:vAlign w:val="bottom"/>
          </w:tcPr>
          <w:p>
            <w:pPr>
              <w:spacing w:after="0"/>
              <w:rPr>
                <w:sz w:val="1"/>
                <w:szCs w:val="1"/>
                <w:color w:val="auto"/>
              </w:rPr>
            </w:pPr>
          </w:p>
        </w:tc>
      </w:tr>
      <w:tr>
        <w:trPr>
          <w:trHeight w:val="23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59,615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90,731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90,731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non-current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59,615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90,731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investing and financing activities: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360"/>
              <w:spacing w:after="0"/>
              <w:rPr>
                <w:sz w:val="20"/>
                <w:szCs w:val="20"/>
                <w:color w:val="auto"/>
              </w:rPr>
            </w:pPr>
            <w:r>
              <w:rPr>
                <w:rFonts w:ascii="Arial" w:cs="Arial" w:eastAsia="Arial" w:hAnsi="Arial"/>
                <w:sz w:val="16"/>
                <w:szCs w:val="16"/>
                <w:color w:val="auto"/>
              </w:rPr>
              <w:t>Vesting of restricted stock and early exercised stock options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4,672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liabilities arising from obtaining right-of-use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440" w:type="dxa"/>
            <w:vAlign w:val="bottom"/>
          </w:tcPr>
          <w:p>
            <w:pPr>
              <w:ind w:left="360"/>
              <w:spacing w:after="0"/>
              <w:rPr>
                <w:sz w:val="20"/>
                <w:szCs w:val="20"/>
                <w:color w:val="auto"/>
              </w:rPr>
            </w:pPr>
            <w:r>
              <w:rPr>
                <w:rFonts w:ascii="Arial" w:cs="Arial" w:eastAsia="Arial" w:hAnsi="Arial"/>
                <w:sz w:val="16"/>
                <w:szCs w:val="16"/>
                <w:color w:val="auto"/>
              </w:rPr>
              <w:t>Purchases of property and equipment not yet settled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Nextdoor Holdings, Inc. (“Nextdoor” or the “Company”) is headquartered in San Francisco, California. Nextdoor’s purpose is to cultivate a kinder world where everyone has a neighborhood they can rely on. That purpose enables the Company’s mission to be the neighborhood hub for trusted connections and the exchange of helpful information, goods, and services.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condensed consolidated balance sheet as of December 31, 2022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2022.</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2023 or any other future interim or annual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unaudited condensed consolidated financial statements and accompanying notes. Estimates include, but are not limited to, valuation of financial instruments, valuation of common stock through the date of the Reverse Recapitalization,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to the Company’s significant accounting policies disclosed in Note 2 to the consolidated financial statements described in the Company’s Annual Report on Form 10-K as of and for the year ended December 31, 2022 that have had a material impact on the Company’s condensed consolidated financial statements and related notes, except as noted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restricted cash balance is primarily invested in a savings account and pledged as collateral for standby letters of credit as security deposits for the Company’s office leases.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and has since issued various amendments including ASU 2018-19, ASU 2019-04, and ASU 2019-05. The guidance and related amendments modify the accounting for credit losses for most financial assets and require the use of an expected loss model, replacing the currently used incurred loss method. Under this model, entities will be required to estimate the lifetime expected credit loss on such instruments and record an allowance to offset the amortized cost basis of the financial asset, resulting in a net presentation of the amount expected to be collected on the financial asset. The Company adopted this standard as of January 1, 2023, and the adoption did not have an impact on the Company’s unaudited condensed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Deferred Revenue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certain advertising arrangements the Company requires payment upfront from its customers. The Company records deferred revenue when it collects cash from customers in advance of revenue recognition. As of September 30, 2023 and December 31, 2022, deferred revenue was $8.3 million and $6.0 million, respectively, and included within accrued expenses and other current liabilities on the condensed consolidated balance sheets. For the three months ended September 30, 2023 and 2022, revenue recognized from deferred revenue at the beginning of each period was $2.8 million and $2.6 million, respectively. For the nine months ended September 30, 2023 and 2022, revenue recognized from deferred revenue at the beginning of each period was $2.9 million and $2.9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Equivalents and Marketable Securities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costs, unrealized gains and losses, and estimated fair values of the Company’s cash equivalents and marketable securities were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September 30, 2023</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3"/>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140" w:type="dxa"/>
            <w:vAlign w:val="bottom"/>
          </w:tcPr>
          <w:p>
            <w:pPr>
              <w:jc w:val="right"/>
              <w:ind w:right="293"/>
              <w:spacing w:after="0" w:line="13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28,609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28,609</w:t>
            </w: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29,087</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29,087</w:t>
            </w: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50,466</w:t>
            </w: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101,388</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159,929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159,221</w:t>
            </w: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69,661</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U.S. Agency bonds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76,343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76,075</w:t>
            </w: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34,472</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493,778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491,283</w:t>
            </w: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522,865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520,370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3"/>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140" w:type="dxa"/>
            <w:vAlign w:val="bottom"/>
          </w:tcPr>
          <w:p>
            <w:pPr>
              <w:jc w:val="right"/>
              <w:ind w:right="293"/>
              <w:spacing w:after="0" w:line="13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20,381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20,381</w:t>
            </w: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9,391</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35,796</w:t>
            </w:r>
          </w:p>
        </w:tc>
      </w:tr>
      <w:tr>
        <w:trPr>
          <w:trHeight w:val="210"/>
        </w:trPr>
        <w:tc>
          <w:tcPr>
            <w:tcW w:w="55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44,550</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100,909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100,844</w:t>
            </w: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278,054</w:t>
            </w: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41,526</w:t>
            </w: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Agency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46,410</w:t>
            </w: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16,683</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530,474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r>
      <w:tr>
        <w:trPr>
          <w:trHeight w:val="223"/>
        </w:trPr>
        <w:tc>
          <w:tcPr>
            <w:tcW w:w="554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566,270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563,863</w:t>
            </w:r>
          </w:p>
        </w:tc>
      </w:tr>
      <w:tr>
        <w:trPr>
          <w:trHeight w:val="21"/>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All marketable securities are designated as available-for-sale securities as of September 30, 2023 and December 31,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fair value and gross unrealized losses aggregated by category and the length of time that individual securities have been in a continuous unrealized loss position. No investments had been in a continuous unrealized loss position for greater than 12 months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As of September 30, 2023</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6"/>
                <w:szCs w:val="16"/>
                <w:color w:val="auto"/>
              </w:rPr>
            </w:pPr>
          </w:p>
        </w:tc>
        <w:tc>
          <w:tcPr>
            <w:tcW w:w="2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12 Months or Greater</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4"/>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4"/>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4"/>
              <w:spacing w:after="0" w:line="135" w:lineRule="exact"/>
              <w:rPr>
                <w:sz w:val="20"/>
                <w:szCs w:val="20"/>
                <w:color w:val="auto"/>
              </w:rPr>
            </w:pPr>
            <w:r>
              <w:rPr>
                <w:rFonts w:ascii="Arial" w:cs="Arial" w:eastAsia="Arial" w:hAnsi="Arial"/>
                <w:sz w:val="14"/>
                <w:szCs w:val="14"/>
                <w:b w:val="1"/>
                <w:bCs w:val="1"/>
                <w:color w:val="auto"/>
                <w:w w:val="90"/>
              </w:rPr>
              <w:t>Gross Unrealized</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3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96,403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96,403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Agency bonds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contractual maturities of the Company’s marketable securities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4"/>
          </w:tcPr>
          <w:p>
            <w:pPr>
              <w:jc w:val="right"/>
              <w:ind w:right="955"/>
              <w:spacing w:after="0"/>
              <w:rPr>
                <w:sz w:val="20"/>
                <w:szCs w:val="20"/>
                <w:color w:val="auto"/>
              </w:rPr>
            </w:pPr>
            <w:r>
              <w:rPr>
                <w:rFonts w:ascii="Arial" w:cs="Arial" w:eastAsia="Arial" w:hAnsi="Arial"/>
                <w:sz w:val="14"/>
                <w:szCs w:val="14"/>
                <w:b w:val="1"/>
                <w:bCs w:val="1"/>
                <w:color w:val="auto"/>
              </w:rPr>
              <w:t>As of September 30, 2023</w:t>
            </w:r>
          </w:p>
        </w:tc>
      </w:tr>
      <w:tr>
        <w:trPr>
          <w:trHeight w:val="25"/>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4"/>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Estimated Fair Value</w:t>
            </w:r>
          </w:p>
        </w:tc>
      </w:tr>
      <w:tr>
        <w:trPr>
          <w:trHeight w:val="25"/>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300,785</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to three years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192,255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190,498</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491,283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2"/>
        </w:trPr>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gridSpan w:val="4"/>
          </w:tcPr>
          <w:p>
            <w:pPr>
              <w:jc w:val="right"/>
              <w:ind w:right="975"/>
              <w:spacing w:after="0"/>
              <w:rPr>
                <w:sz w:val="20"/>
                <w:szCs w:val="20"/>
                <w:color w:val="auto"/>
              </w:rPr>
            </w:pPr>
            <w:r>
              <w:rPr>
                <w:rFonts w:ascii="Arial" w:cs="Arial" w:eastAsia="Arial" w:hAnsi="Arial"/>
                <w:sz w:val="14"/>
                <w:szCs w:val="14"/>
                <w:b w:val="1"/>
                <w:bCs w:val="1"/>
                <w:color w:val="auto"/>
              </w:rPr>
              <w:t>As of December 31, 2022</w:t>
            </w:r>
          </w:p>
        </w:tc>
      </w:tr>
      <w:tr>
        <w:trPr>
          <w:trHeight w:val="25"/>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5"/>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9"/>
                <w:szCs w:val="19"/>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Estimated Fair Value</w:t>
            </w:r>
          </w:p>
        </w:tc>
      </w:tr>
      <w:tr>
        <w:trPr>
          <w:trHeight w:val="25"/>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471,378</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to four years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56,689</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75"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The Company’s financial assets and liabilities measured at fair value on a recurring basis are classified by level within the fair value hierarchy. There were no financial assets or liabilities measured using Level 3 inputs as of September 30, 2023 and December 31, 2022. The following table presents information about the Company’s financial assets that are measured at fair value on a recurring basis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As of September 30, 2023</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11"/>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6"/>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28,609</w:t>
            </w:r>
          </w:p>
        </w:tc>
        <w:tc>
          <w:tcPr>
            <w:tcW w:w="4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28,609</w:t>
            </w: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29,087</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50,466</w:t>
            </w: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101,388</w:t>
            </w: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159,221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159,221</w:t>
            </w: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69,661</w:t>
            </w: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U.S. Agency bonds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76,075</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34,472</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491,283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491,283</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520,370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34"/>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As of December 31, 2022</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11"/>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3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20,381</w:t>
            </w:r>
          </w:p>
        </w:tc>
        <w:tc>
          <w:tcPr>
            <w:tcW w:w="4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20,381</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r>
      <w:tr>
        <w:trPr>
          <w:trHeight w:val="229"/>
        </w:trPr>
        <w:tc>
          <w:tcPr>
            <w:tcW w:w="6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35,796</w:t>
            </w: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44,550</w:t>
            </w: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100,844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100,844</w:t>
            </w: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278,054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278,054</w:t>
            </w: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41,526</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Agency bonds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46,410</w:t>
            </w:r>
          </w:p>
        </w:tc>
      </w:tr>
      <w:tr>
        <w:trPr>
          <w:trHeight w:val="230"/>
        </w:trPr>
        <w:tc>
          <w:tcPr>
            <w:tcW w:w="6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16,683</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20,381</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543,482</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563,863</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Assets, and Liabilities Not Recorded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assets not recorded at fair value (in thousands):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 September 30, 2023</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4"/>
                <w:szCs w:val="14"/>
                <w:b w:val="1"/>
                <w:bCs w:val="1"/>
                <w:color w:val="auto"/>
                <w:w w:val="97"/>
              </w:rPr>
              <w:t>Carrying Amount</w:t>
            </w:r>
          </w:p>
        </w:tc>
        <w:tc>
          <w:tcPr>
            <w:tcW w:w="380" w:type="dxa"/>
            <w:vAlign w:val="bottom"/>
          </w:tcPr>
          <w:p>
            <w:pPr>
              <w:spacing w:after="0"/>
              <w:rPr>
                <w:sz w:val="16"/>
                <w:szCs w:val="16"/>
                <w:color w:val="auto"/>
              </w:rPr>
            </w:pP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6"/>
                <w:szCs w:val="16"/>
                <w:color w:val="auto"/>
              </w:rPr>
            </w:pPr>
          </w:p>
        </w:tc>
        <w:tc>
          <w:tcPr>
            <w:tcW w:w="1220" w:type="dxa"/>
            <w:vAlign w:val="bottom"/>
          </w:tcPr>
          <w:p>
            <w:pPr>
              <w:jc w:val="center"/>
              <w:ind w:right="299"/>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6"/>
                <w:szCs w:val="16"/>
                <w:color w:val="auto"/>
              </w:rPr>
            </w:pPr>
          </w:p>
        </w:tc>
        <w:tc>
          <w:tcPr>
            <w:tcW w:w="1140" w:type="dxa"/>
            <w:vAlign w:val="bottom"/>
          </w:tcPr>
          <w:p>
            <w:pPr>
              <w:jc w:val="right"/>
              <w:ind w:right="419"/>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Arial" w:cs="Arial" w:eastAsia="Arial" w:hAnsi="Arial"/>
                <w:sz w:val="14"/>
                <w:szCs w:val="14"/>
                <w:b w:val="1"/>
                <w:bCs w:val="1"/>
                <w:color w:val="auto"/>
              </w:rPr>
              <w:t>Fair Value</w:t>
            </w:r>
          </w:p>
        </w:tc>
      </w:tr>
      <w:tr>
        <w:trPr>
          <w:trHeight w:val="238"/>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Note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7,500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6,998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6,998</w:t>
            </w:r>
          </w:p>
        </w:tc>
      </w:tr>
      <w:tr>
        <w:trPr>
          <w:trHeight w:val="460"/>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
        </w:trPr>
        <w:tc>
          <w:tcPr>
            <w:tcW w:w="3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4"/>
                <w:szCs w:val="14"/>
                <w:b w:val="1"/>
                <w:bCs w:val="1"/>
                <w:color w:val="auto"/>
                <w:w w:val="97"/>
              </w:rPr>
              <w:t>Carrying Amount</w:t>
            </w:r>
          </w:p>
        </w:tc>
        <w:tc>
          <w:tcPr>
            <w:tcW w:w="380" w:type="dxa"/>
            <w:vAlign w:val="bottom"/>
          </w:tcPr>
          <w:p>
            <w:pPr>
              <w:spacing w:after="0"/>
              <w:rPr>
                <w:sz w:val="16"/>
                <w:szCs w:val="16"/>
                <w:color w:val="auto"/>
              </w:rPr>
            </w:pP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6"/>
                <w:szCs w:val="16"/>
                <w:color w:val="auto"/>
              </w:rPr>
            </w:pPr>
          </w:p>
        </w:tc>
        <w:tc>
          <w:tcPr>
            <w:tcW w:w="1220" w:type="dxa"/>
            <w:vAlign w:val="bottom"/>
          </w:tcPr>
          <w:p>
            <w:pPr>
              <w:jc w:val="center"/>
              <w:ind w:right="299"/>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6"/>
                <w:szCs w:val="16"/>
                <w:color w:val="auto"/>
              </w:rPr>
            </w:pPr>
          </w:p>
        </w:tc>
        <w:tc>
          <w:tcPr>
            <w:tcW w:w="1140" w:type="dxa"/>
            <w:vAlign w:val="bottom"/>
          </w:tcPr>
          <w:p>
            <w:pPr>
              <w:jc w:val="right"/>
              <w:ind w:right="419"/>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Arial" w:cs="Arial" w:eastAsia="Arial" w:hAnsi="Arial"/>
                <w:sz w:val="14"/>
                <w:szCs w:val="14"/>
                <w:b w:val="1"/>
                <w:bCs w:val="1"/>
                <w:color w:val="auto"/>
              </w:rPr>
              <w:t>Fair Value</w:t>
            </w:r>
          </w:p>
        </w:tc>
      </w:tr>
      <w:tr>
        <w:trPr>
          <w:trHeight w:val="238"/>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Note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5,000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4,646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4,646</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December 31, 2022, there were no financial instruments or liabilities that were not recorded at fair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entered into various non-cancellable office facility leases in various locations with original lease periods expiring between 2020 and 2029, with its primary office location in San Francisco, California. The Company entered into a lease consisting of multiple floors for its San Francisco headquarters in 2019, with a lease term through 2029. On January 30, 2023, the Company entered into a lease amendment for its headquarters lease. The lease amendment extended the lease term through April 30, 2032, and resulted in an increase to right-of-use assets and operating lease liabilities. The Company's lease agreements generally do not contain any material residual value guarantees or material restrictive covenants. The components of lease costs were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6"/>
          </w:tcPr>
          <w:p>
            <w:pPr>
              <w:jc w:val="right"/>
              <w:ind w:right="255"/>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5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5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3,286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10,354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w:t>
            </w:r>
          </w:p>
        </w:tc>
      </w:tr>
      <w:tr>
        <w:trPr>
          <w:trHeight w:val="20"/>
        </w:trPr>
        <w:tc>
          <w:tcPr>
            <w:tcW w:w="55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66"/>
        </w:trPr>
        <w:tc>
          <w:tcPr>
            <w:tcW w:w="6980" w:type="dxa"/>
            <w:vAlign w:val="bottom"/>
            <w:gridSpan w:val="4"/>
          </w:tcPr>
          <w:p>
            <w:pPr>
              <w:spacing w:after="0"/>
              <w:rPr>
                <w:sz w:val="20"/>
                <w:szCs w:val="20"/>
                <w:color w:val="auto"/>
              </w:rPr>
            </w:pPr>
            <w:r>
              <w:rPr>
                <w:rFonts w:ascii="Arial" w:cs="Arial" w:eastAsia="Arial" w:hAnsi="Arial"/>
                <w:sz w:val="18"/>
                <w:szCs w:val="18"/>
                <w:color w:val="auto"/>
                <w:w w:val="95"/>
              </w:rPr>
              <w:t>Other information related to the Company’s operating leases was as follows (in thousands):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4"/>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right"/>
              <w:ind w:right="255"/>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5"/>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7,722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7,497</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73"/>
        </w:trPr>
        <w:tc>
          <w:tcPr>
            <w:tcW w:w="5540" w:type="dxa"/>
            <w:vAlign w:val="bottom"/>
          </w:tcPr>
          <w:p>
            <w:pPr>
              <w:spacing w:after="0"/>
              <w:rPr>
                <w:sz w:val="20"/>
                <w:szCs w:val="20"/>
                <w:color w:val="auto"/>
              </w:rPr>
            </w:pPr>
            <w:r>
              <w:rPr>
                <w:rFonts w:ascii="Arial" w:cs="Arial" w:eastAsia="Arial" w:hAnsi="Arial"/>
                <w:sz w:val="18"/>
                <w:szCs w:val="18"/>
                <w:color w:val="auto"/>
              </w:rPr>
              <w:t>Lease terms and discount rates for operating leases were as follows: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4"/>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5"/>
          </w:tcPr>
          <w:p>
            <w:pPr>
              <w:jc w:val="right"/>
              <w:spacing w:after="0"/>
              <w:rPr>
                <w:sz w:val="20"/>
                <w:szCs w:val="20"/>
                <w:color w:val="auto"/>
              </w:rPr>
            </w:pPr>
            <w:r>
              <w:rPr>
                <w:rFonts w:ascii="Arial" w:cs="Arial" w:eastAsia="Arial" w:hAnsi="Arial"/>
                <w:sz w:val="14"/>
                <w:szCs w:val="14"/>
                <w:b w:val="1"/>
                <w:bCs w:val="1"/>
                <w:color w:val="auto"/>
              </w:rPr>
              <w:t>As of September 30,</w:t>
            </w:r>
          </w:p>
        </w:tc>
        <w:tc>
          <w:tcPr>
            <w:tcW w:w="900" w:type="dxa"/>
            <w:vAlign w:val="bottom"/>
          </w:tcPr>
          <w:p>
            <w:pPr>
              <w:spacing w:after="0"/>
              <w:rPr>
                <w:sz w:val="17"/>
                <w:szCs w:val="17"/>
                <w:color w:val="auto"/>
              </w:rPr>
            </w:pPr>
          </w:p>
        </w:tc>
      </w:tr>
      <w:tr>
        <w:trPr>
          <w:trHeight w:val="25"/>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9"/>
              </w:rPr>
              <w:t>2022</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As of September 30, 2023, future minimum lease payments under operating leases were as follows (in thousands):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9"/>
        </w:trPr>
        <w:tc>
          <w:tcPr>
            <w:tcW w:w="9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10,657</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10,977</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10,777</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44,391</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90,013</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(21,981)</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68,032</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operating lease liabilities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62,011</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does not include lease payments that were not fixed at commencement or lease modification.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September 30, 2023 and December 31, 2022.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three and nine months ended September 30, 2023 and 2022, the Company did not incur material costs to defend lawsuits or settle claims related to these indemnifications. The Company believes the fair value of these liabilities is not material and accordingly has no liabilities recorded for these agreements as of September 30, 2023 and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Finance Network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June 29, 2022, the Company entered into a credit agreement with Opportunity Finance Network (“OFN”) to lend up to an aggregate of $15.0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unsecured, over the course of 24 months. OFN is a national network of community development financial institutions (“CDFIs”). OFN will use the loan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to make low-cost, fixed-rate loans to OFN-member CDFIs that on-lend those loan proceeds to fund affordable housing, community facilities,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small businesses, nonprofit organizations, consumer finance, and other eligible financing extended by such CDFIs. OFN may borrow in increments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 million or more and may not borrow more than $7.5 million within the first 12 months immediately following the closing date of June 29, 2022.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disbursement made by the Company will bear interest at a rate of 0.75% per annum and will be due quarterly from OFN. The outstanding principal,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accrued and unpaid interest, for each disbursement becomes due and payable 10 years following the disbursement date.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no disbursements were made related to this loan. During the nine months ended September 30, 2023, the Company made one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disbursement of $2.5 million. During the year ended December 31, 2022, the Company made one loan disbursement of $5.0 million.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 and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Repurchase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stock option grant agreements permit exercise prior to vesting. Upon termination of service of an employee, the Company has the right to repurchase any unvested, but issued, common stock at the original purchase price. The consideration received for an exercise of an option is accounted for as a deposit of the exercise price and is recorded as a liability. Upon vesting of the shares pursuant to the grant agreements, the shares and related liability are reclassified into stockholders’ equity. As of September 30, 2023, all shares of common stock subject to repurchase were fully vested with no balance remaining. As of December 31, 2022, the Company had $0.2 million recorded in accrued expenses and other current liabilities related to 101,593 unvested shares of common stock subject to repurchase.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restricted stock units (“RSUs”).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three and nine months ended September 30, 2023, 472,606 and 1,032,313 shares of Class A common stock were purchased under the 2021 ESPP,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Company currently anticipates that the Share Repurchase Program will extend through June 30, 2024, or such shorter period if $100.0 million in aggregate of shares of the Company’s Class A common stock have been repurchased. The Share Repurchase Program does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 obligate the Company to repurchase any dollar amount or number of shares, and the program may be extended, modified, suspended, or discontinued at any time.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and nine months ended September 30, 2023, the Company did not repurchase or retire any shares of its Class A common stock. During the three and nine months ended September 30, 2022, the Company repurchased and retired 20,190,611 and 23,251,703 shares of Class A common stock at an average purchase price of $3.31 and $3.32 per share for an aggregate repurchase price of $66.7 million and $77.2 million, respectively. As of September 30, 2023, the Company had $22.8 million available for future share repurchases under the Share Repurchase Program.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four years. RSUs granted for Class A common stock generally vest on a quarterly basis over two to four years.</w:t>
      </w:r>
    </w:p>
    <w:p>
      <w:pPr>
        <w:spacing w:after="0" w:line="134"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A summary of the Company’s stock option activity for the nine months ended September 30, 2023 and related information is as follows (in thousands, except per share data):</w:t>
      </w:r>
    </w:p>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 Options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5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 Price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10,552</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2,936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forfeited or 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Exercisable at September 30, 2023</w:t>
            </w:r>
          </w:p>
        </w:tc>
        <w:tc>
          <w:tcPr>
            <w:tcW w:w="1360" w:type="dxa"/>
            <w:vAlign w:val="bottom"/>
          </w:tcPr>
          <w:p>
            <w:pPr>
              <w:jc w:val="right"/>
              <w:spacing w:after="0"/>
              <w:rPr>
                <w:sz w:val="20"/>
                <w:szCs w:val="20"/>
                <w:color w:val="auto"/>
              </w:rPr>
            </w:pPr>
            <w:r>
              <w:rPr>
                <w:rFonts w:ascii="Arial" w:cs="Arial" w:eastAsia="Arial" w:hAnsi="Arial"/>
                <w:sz w:val="18"/>
                <w:szCs w:val="18"/>
                <w:color w:val="auto"/>
              </w:rPr>
              <w:t>33,236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or expected to vest at September 30, 2023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$1.45 per share and $3.13 per share during the nine months ended September 30, 2023 and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intrinsic value of the options exercised was $1.8 million and $13.4 million for the nine months ended September 30, 2023 and 2022, respectively.</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summary of the Company’s RSU activity for the nine months ended September 30, 2023 and related information is as follows (in thousands, except per share data):</w:t>
      </w:r>
    </w:p>
    <w:tbl>
      <w:tblPr>
        <w:tblLayout w:type="fixed"/>
        <w:tblInd w:w="0" w:type="dxa"/>
        <w:tblCellMar>
          <w:top w:w="0" w:type="dxa"/>
          <w:left w:w="0" w:type="dxa"/>
          <w:bottom w:w="0" w:type="dxa"/>
          <w:right w:w="0" w:type="dxa"/>
        </w:tblCellMar>
      </w:tblPr>
      <w:tr>
        <w:trPr>
          <w:trHeight w:val="144"/>
        </w:trPr>
        <w:tc>
          <w:tcPr>
            <w:tcW w:w="39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jc w:val="right"/>
              <w:ind w:right="95"/>
              <w:spacing w:after="0" w:line="145" w:lineRule="exact"/>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spacing w:after="0"/>
              <w:rPr>
                <w:sz w:val="17"/>
                <w:szCs w:val="17"/>
                <w:color w:val="auto"/>
              </w:rPr>
            </w:pPr>
          </w:p>
        </w:tc>
        <w:tc>
          <w:tcPr>
            <w:tcW w:w="344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3440" w:type="dxa"/>
            <w:vAlign w:val="bottom"/>
            <w:shd w:val="clear" w:color="auto" w:fill="CCEEFF"/>
          </w:tcPr>
          <w:p>
            <w:pPr>
              <w:spacing w:after="0"/>
              <w:rPr>
                <w:sz w:val="19"/>
                <w:szCs w:val="19"/>
                <w:color w:val="auto"/>
              </w:rPr>
            </w:pPr>
          </w:p>
        </w:tc>
        <w:tc>
          <w:tcPr>
            <w:tcW w:w="188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8"/>
              </w:rPr>
              <w:t>21,986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5320" w:type="dxa"/>
            <w:vAlign w:val="bottom"/>
            <w:gridSpan w:val="2"/>
          </w:tcPr>
          <w:p>
            <w:pPr>
              <w:ind w:left="4760"/>
              <w:spacing w:after="0"/>
              <w:rPr>
                <w:sz w:val="20"/>
                <w:szCs w:val="20"/>
                <w:color w:val="auto"/>
              </w:rPr>
            </w:pPr>
            <w:r>
              <w:rPr>
                <w:rFonts w:ascii="Arial" w:cs="Arial" w:eastAsia="Arial" w:hAnsi="Arial"/>
                <w:sz w:val="18"/>
                <w:szCs w:val="18"/>
                <w:color w:val="auto"/>
                <w:w w:val="98"/>
              </w:rPr>
              <w:t>21,204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5320" w:type="dxa"/>
            <w:vAlign w:val="bottom"/>
            <w:gridSpan w:val="2"/>
            <w:shd w:val="clear" w:color="auto" w:fill="CCEEFF"/>
          </w:tcPr>
          <w:p>
            <w:pPr>
              <w:ind w:left="4780"/>
              <w:spacing w:after="0"/>
              <w:rPr>
                <w:sz w:val="20"/>
                <w:szCs w:val="20"/>
                <w:color w:val="auto"/>
              </w:rPr>
            </w:pPr>
            <w:r>
              <w:rPr>
                <w:rFonts w:ascii="Arial" w:cs="Arial" w:eastAsia="Arial" w:hAnsi="Arial"/>
                <w:sz w:val="18"/>
                <w:szCs w:val="18"/>
                <w:color w:val="auto"/>
                <w:w w:val="91"/>
              </w:rPr>
              <w:t>(7,863)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rPr>
                <w:sz w:val="20"/>
                <w:szCs w:val="20"/>
                <w:color w:val="auto"/>
              </w:rPr>
            </w:pPr>
            <w:r>
              <w:rPr>
                <w:rFonts w:ascii="Arial" w:cs="Arial" w:eastAsia="Arial" w:hAnsi="Arial"/>
                <w:sz w:val="18"/>
                <w:szCs w:val="18"/>
                <w:color w:val="auto"/>
              </w:rPr>
              <w:t>RSUs forfeited</w:t>
            </w:r>
          </w:p>
        </w:tc>
        <w:tc>
          <w:tcPr>
            <w:tcW w:w="5320" w:type="dxa"/>
            <w:vAlign w:val="bottom"/>
            <w:gridSpan w:val="2"/>
          </w:tcPr>
          <w:p>
            <w:pPr>
              <w:ind w:left="4780"/>
              <w:spacing w:after="0"/>
              <w:rPr>
                <w:sz w:val="20"/>
                <w:szCs w:val="20"/>
                <w:color w:val="auto"/>
              </w:rPr>
            </w:pPr>
            <w:r>
              <w:rPr>
                <w:rFonts w:ascii="Arial" w:cs="Arial" w:eastAsia="Arial" w:hAnsi="Arial"/>
                <w:sz w:val="18"/>
                <w:szCs w:val="18"/>
                <w:color w:val="auto"/>
                <w:w w:val="91"/>
              </w:rPr>
              <w:t>(3,787)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2023</w:t>
            </w:r>
          </w:p>
        </w:tc>
        <w:tc>
          <w:tcPr>
            <w:tcW w:w="344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w w:val="98"/>
              </w:rPr>
              <w:t>31,540</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Arial" w:cs="Arial" w:eastAsia="Arial" w:hAnsi="Arial"/>
                <w:sz w:val="18"/>
                <w:szCs w:val="18"/>
                <w:color w:val="auto"/>
              </w:rPr>
              <w:t>19</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9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9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to calculate the fair value of employee and non-employee stock option grants made during the following periods: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220" w:type="dxa"/>
            <w:vAlign w:val="bottom"/>
            <w:gridSpan w:val="4"/>
          </w:tcPr>
          <w:p>
            <w:pPr>
              <w:ind w:left="54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80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80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- 72.7%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53.9% -73.9%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tcPr>
          <w:p>
            <w:pPr>
              <w:ind w:left="20"/>
              <w:spacing w:after="0"/>
              <w:rPr>
                <w:sz w:val="20"/>
                <w:szCs w:val="20"/>
                <w:color w:val="auto"/>
              </w:rPr>
            </w:pPr>
            <w:r>
              <w:rPr>
                <w:rFonts w:ascii="Arial" w:cs="Arial" w:eastAsia="Arial" w:hAnsi="Arial"/>
                <w:sz w:val="18"/>
                <w:szCs w:val="18"/>
                <w:color w:val="auto"/>
              </w:rPr>
              <w:t>- 6.2</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6.0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$3.31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$3.34 - $6.06</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stock-based compensation expense in the condensed consolidated statements of operations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340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98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r>
      <w:tr>
        <w:trPr>
          <w:trHeight w:val="26"/>
        </w:trPr>
        <w:tc>
          <w:tcPr>
            <w:tcW w:w="4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12,107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31,804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25,914</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r>
      <w:tr>
        <w:trPr>
          <w:trHeight w:val="22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11,520</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23,343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60,735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46,957</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there was $137.9 million of unrecognized stock-based compensation expense, which is expected to be recognized over a weighted average period of 1.8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Loss Per Share Attributable to Common Stockholders</w:t>
      </w:r>
    </w:p>
    <w:p>
      <w:pPr>
        <w:spacing w:after="0" w:line="175"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per share data):</w:t>
      </w: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40" w:type="dxa"/>
            <w:vAlign w:val="bottom"/>
            <w:gridSpan w:val="8"/>
          </w:tcPr>
          <w:p>
            <w:pPr>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40" w:type="dxa"/>
            <w:vAlign w:val="bottom"/>
            <w:gridSpan w:val="7"/>
          </w:tcPr>
          <w:p>
            <w:pPr>
              <w:ind w:left="40"/>
              <w:spacing w:after="0"/>
              <w:rPr>
                <w:sz w:val="20"/>
                <w:szCs w:val="20"/>
                <w:color w:val="auto"/>
              </w:rPr>
            </w:pPr>
            <w:r>
              <w:rPr>
                <w:rFonts w:ascii="Arial" w:cs="Arial" w:eastAsia="Arial" w:hAnsi="Arial"/>
                <w:sz w:val="14"/>
                <w:szCs w:val="14"/>
                <w:b w:val="1"/>
                <w:bCs w:val="1"/>
                <w:color w:val="auto"/>
                <w:w w:val="94"/>
              </w:rPr>
              <w:t>Nine Months Ended September 30,</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color w:val="auto"/>
              </w:rPr>
              <w:t>Class A</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color w:val="auto"/>
              </w:rPr>
              <w:t>Class B</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Class A</w:t>
            </w:r>
          </w:p>
        </w:tc>
        <w:tc>
          <w:tcPr>
            <w:tcW w:w="180" w:type="dxa"/>
            <w:vAlign w:val="bottom"/>
          </w:tcPr>
          <w:p>
            <w:pPr>
              <w:spacing w:after="0"/>
              <w:rPr>
                <w:sz w:val="15"/>
                <w:szCs w:val="15"/>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color w:val="auto"/>
              </w:rPr>
              <w:t>Class B</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97"/>
              <w:spacing w:after="0"/>
              <w:rPr>
                <w:sz w:val="20"/>
                <w:szCs w:val="20"/>
                <w:color w:val="auto"/>
              </w:rPr>
            </w:pPr>
            <w:r>
              <w:rPr>
                <w:rFonts w:ascii="Arial" w:cs="Arial" w:eastAsia="Arial" w:hAnsi="Arial"/>
                <w:sz w:val="14"/>
                <w:szCs w:val="14"/>
                <w:color w:val="auto"/>
              </w:rPr>
              <w:t>Class A</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color w:val="auto"/>
              </w:rPr>
              <w:t>Class B</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Class A</w:t>
            </w:r>
          </w:p>
        </w:tc>
        <w:tc>
          <w:tcPr>
            <w:tcW w:w="200" w:type="dxa"/>
            <w:vAlign w:val="bottom"/>
          </w:tcPr>
          <w:p>
            <w:pPr>
              <w:spacing w:after="0"/>
              <w:rPr>
                <w:sz w:val="15"/>
                <w:szCs w:val="15"/>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color w:val="auto"/>
              </w:rPr>
              <w:t>Class B</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7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loss attributable to common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w:t>
            </w:r>
          </w:p>
        </w:tc>
        <w:tc>
          <w:tcPr>
            <w:tcW w:w="0" w:type="dxa"/>
            <w:vAlign w:val="bottom"/>
          </w:tcPr>
          <w:p>
            <w:pPr>
              <w:spacing w:after="0"/>
              <w:rPr>
                <w:sz w:val="1"/>
                <w:szCs w:val="1"/>
                <w:color w:val="auto"/>
              </w:rPr>
            </w:pPr>
          </w:p>
        </w:tc>
      </w:tr>
      <w:tr>
        <w:trPr>
          <w:trHeight w:val="188"/>
        </w:trPr>
        <w:tc>
          <w:tcPr>
            <w:tcW w:w="2720" w:type="dxa"/>
            <w:vAlign w:val="bottom"/>
          </w:tcPr>
          <w:p>
            <w:pPr>
              <w:ind w:left="20"/>
              <w:spacing w:after="0" w:line="189" w:lineRule="exact"/>
              <w:rPr>
                <w:sz w:val="20"/>
                <w:szCs w:val="20"/>
                <w:color w:val="auto"/>
              </w:rPr>
            </w:pPr>
            <w:r>
              <w:rPr>
                <w:rFonts w:ascii="Arial" w:cs="Arial" w:eastAsia="Arial" w:hAnsi="Arial"/>
                <w:sz w:val="18"/>
                <w:szCs w:val="18"/>
                <w:color w:val="auto"/>
                <w:w w:val="99"/>
              </w:rPr>
              <w:t>Weighted average shares used in</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20" w:type="dxa"/>
            <w:vAlign w:val="bottom"/>
          </w:tcPr>
          <w:p>
            <w:pPr>
              <w:ind w:left="180"/>
              <w:spacing w:after="0" w:line="176" w:lineRule="exact"/>
              <w:rPr>
                <w:sz w:val="20"/>
                <w:szCs w:val="20"/>
                <w:color w:val="auto"/>
              </w:rPr>
            </w:pPr>
            <w:r>
              <w:rPr>
                <w:rFonts w:ascii="Arial" w:cs="Arial" w:eastAsia="Arial" w:hAnsi="Arial"/>
                <w:sz w:val="18"/>
                <w:szCs w:val="18"/>
                <w:color w:val="auto"/>
              </w:rPr>
              <w:t>computing net loss per share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line="176" w:lineRule="exact"/>
              <w:rPr>
                <w:sz w:val="20"/>
                <w:szCs w:val="20"/>
                <w:color w:val="auto"/>
              </w:rPr>
            </w:pPr>
            <w:r>
              <w:rPr>
                <w:rFonts w:ascii="Arial" w:cs="Arial" w:eastAsia="Arial" w:hAnsi="Arial"/>
                <w:sz w:val="18"/>
                <w:szCs w:val="18"/>
                <w:color w:val="auto"/>
                <w:w w:val="96"/>
              </w:rPr>
              <w:t>attributable to Class A and Class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20" w:type="dxa"/>
            <w:vAlign w:val="bottom"/>
          </w:tcPr>
          <w:p>
            <w:pPr>
              <w:ind w:left="180"/>
              <w:spacing w:after="0" w:line="189" w:lineRule="exact"/>
              <w:rPr>
                <w:sz w:val="20"/>
                <w:szCs w:val="20"/>
                <w:color w:val="auto"/>
              </w:rPr>
            </w:pPr>
            <w:r>
              <w:rPr>
                <w:rFonts w:ascii="Arial" w:cs="Arial" w:eastAsia="Arial" w:hAnsi="Arial"/>
                <w:sz w:val="18"/>
                <w:szCs w:val="18"/>
                <w:color w:val="auto"/>
                <w:w w:val="90"/>
              </w:rPr>
              <w:t>B common stockholders, basic and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176,780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204,702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153,877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223,879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164,527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212,305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118,984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262,587</w:t>
            </w:r>
          </w:p>
        </w:tc>
        <w:tc>
          <w:tcPr>
            <w:tcW w:w="0" w:type="dxa"/>
            <w:vAlign w:val="bottom"/>
          </w:tcPr>
          <w:p>
            <w:pPr>
              <w:spacing w:after="0"/>
              <w:rPr>
                <w:sz w:val="1"/>
                <w:szCs w:val="1"/>
                <w:color w:val="auto"/>
              </w:rPr>
            </w:pPr>
          </w:p>
        </w:tc>
      </w:tr>
      <w:tr>
        <w:trPr>
          <w:trHeight w:val="188"/>
        </w:trPr>
        <w:tc>
          <w:tcPr>
            <w:tcW w:w="2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loss per share attributable to</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Class A and Class B common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w:t>
            </w: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net loss per share because such securities have an anti-dilutive impact due to losses reported (in thousands):</w:t>
      </w: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800" w:type="dxa"/>
            <w:vAlign w:val="bottom"/>
            <w:gridSpan w:val="3"/>
          </w:tcPr>
          <w:p>
            <w:pPr>
              <w:jc w:val="right"/>
              <w:ind w:right="692"/>
              <w:spacing w:after="0"/>
              <w:rPr>
                <w:sz w:val="20"/>
                <w:szCs w:val="20"/>
                <w:color w:val="auto"/>
              </w:rPr>
            </w:pPr>
            <w:r>
              <w:rPr>
                <w:rFonts w:ascii="Arial" w:cs="Arial" w:eastAsia="Arial" w:hAnsi="Arial"/>
                <w:sz w:val="14"/>
                <w:szCs w:val="14"/>
                <w:b w:val="1"/>
                <w:bCs w:val="1"/>
                <w:color w:val="auto"/>
              </w:rPr>
              <w:t>As of September 30,</w:t>
            </w:r>
          </w:p>
        </w:tc>
      </w:tr>
      <w:tr>
        <w:trPr>
          <w:trHeight w:val="26"/>
        </w:trPr>
        <w:tc>
          <w:tcPr>
            <w:tcW w:w="8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52,426</w:t>
            </w:r>
          </w:p>
        </w:tc>
      </w:tr>
      <w:tr>
        <w:trPr>
          <w:trHeight w:val="270"/>
        </w:trPr>
        <w:tc>
          <w:tcPr>
            <w:tcW w:w="8440" w:type="dxa"/>
            <w:vAlign w:val="bottom"/>
          </w:tcPr>
          <w:p>
            <w:pPr>
              <w:ind w:left="20"/>
              <w:spacing w:after="0"/>
              <w:rPr>
                <w:sz w:val="20"/>
                <w:szCs w:val="20"/>
                <w:color w:val="auto"/>
              </w:rPr>
            </w:pPr>
            <w:r>
              <w:rPr>
                <w:rFonts w:ascii="Arial" w:cs="Arial" w:eastAsia="Arial" w:hAnsi="Arial"/>
                <w:sz w:val="18"/>
                <w:szCs w:val="18"/>
                <w:color w:val="auto"/>
              </w:rPr>
              <w:t>Unvested RSUs</w:t>
            </w:r>
          </w:p>
        </w:tc>
        <w:tc>
          <w:tcPr>
            <w:tcW w:w="1360" w:type="dxa"/>
            <w:vAlign w:val="bottom"/>
          </w:tcPr>
          <w:p>
            <w:pPr>
              <w:jc w:val="right"/>
              <w:spacing w:after="0"/>
              <w:rPr>
                <w:sz w:val="20"/>
                <w:szCs w:val="20"/>
                <w:color w:val="auto"/>
              </w:rPr>
            </w:pPr>
            <w:r>
              <w:rPr>
                <w:rFonts w:ascii="Arial" w:cs="Arial" w:eastAsia="Arial" w:hAnsi="Arial"/>
                <w:sz w:val="18"/>
                <w:szCs w:val="18"/>
                <w:color w:val="auto"/>
              </w:rPr>
              <w:t>31,540</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20,921</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early exercised stock options subject to repurchase</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Unvested restricted stock</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pursuant to the ESPP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Contingently issuable shares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85,738</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an income tax expense for the three months ended September 30, 2023 and 2022 of $0.3 million and $0.3 million, respectively, both of which were primarily related to foreign taxes. The Company recorded an income tax expense for the nine months ended September 30, 2023 and 2022 of $0.7 million and $0.4 million, respectively, both of which were primarily related to foreign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Geographical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geography based on the customers’ location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4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8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4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52,964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153,715</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56,092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162,752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159,495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long-lived assets are located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7, 2023, the Company announced a cost reduction plan (the “Cost Reduction Plan”) intended to right size the business and align the workforce and other expenses with Nextdoor’s near term revenue expectations and long term business priorities. The Cost Reduction Plan will impact approximately 25% of the Company’s full-time employees.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estimates that it will incur one-time charges of approximately $12 million in connection with the Cost Reduction Plan, consisting primarily of cash expenditures for notice period and severance payments, employee benefits, and related costs. In addition, the Company expects to incur approximately $0.5 million in stock-based compensation expense relating to the acceleration of the vesting of equity awards in connection with the Cost Reduction Plan.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that the majority of the charges will be incurred in the fourth quarter of 2023 and that the execution of the Cost Reduction Plan will be substantially complete by the end of the fourth quarter of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Nextdoor, our purpose is to cultivate a kinder world where everyone has a neighborhood they can rely on. Neighbors around the world turn to Nextdoor to receive trusted information, give and get help, get things done, and build real world connections with those nearby — neighbors, businesses, and public services. By fostering these connections, both online and in the real world, Nextdoor builds stronger, more vibrant, and more resilient neighborhoods. As of September 30, 2023, Nextdoor was in more than 315,000 neighborhoods around the world and in 1 in 3 households in the United States.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business metrics for the three months ended September 30, 2023 are as follows: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Weekly Active Users (“WAUs”) were 40.4 million, an increase of 6% compared to the three months ended September 30, 2022.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Average revenue per weekly active user (“ARPU”) was $1.39, a decrease of 2% compared to the three months ended September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as of and for the three and nine months ended September 30, 2023 are as follows: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for the three months ended September 30, 2023 was $56.1 million, an increase of 4% compared to the three months ended September 30, 2022. Revenue for the nine months ended September 30, 2023 was $162.8 million, an increase of 2% compared to the nine months ended September 30, 2022.</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costs and expenses for the three months ended September 30, 2023 were $100.5 million, an increase of 11% compared to the three months ended September 30, 2022. Total costs and expenses for the nine months ended September 30, 2023 were $287.4 million, an increase of 7% compared to the nine months ended September 30, 2022.</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for the three months ended September 30, 2023 increased 10% to $38.1 million, compared to $34.7 million for the three months ended September 30, 2022. Net loss for the nine months ended September 30, 2023 increased 3% to $107.2 million, compared to $104.5 million for the nine months ended September 30, 2022.</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loss for the three months ended September 30, 2023 increased 8% to $19.8 million, compared to $18.4 million for the three months ended September 30, 2022. Adjusted EBITDA loss for the nine months ended September 30, 2023 increased 3% to $60.1 million, compared to $58.3 million for the nine months ended September 30, 2022.</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cash equivalents, and marketable securities were $539.7 million as of September 30, 2023.</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Non-GAAP Financial Measure</w:t>
      </w:r>
      <w:r>
        <w:rPr>
          <w:rFonts w:ascii="Arial" w:cs="Arial" w:eastAsia="Arial" w:hAnsi="Arial"/>
          <w:sz w:val="18"/>
          <w:szCs w:val="18"/>
          <w:color w:val="auto"/>
        </w:rPr>
        <w:t>” below for more information and for a reconciliation of net loss, the most directly comparable financial measure calculated and presented in accordance with U.S. generally accepted accounting principles (“GAAP”), to Adjusted EBITDA.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to the measures presented in our unaudited condensed consolidated financial statements, we use the following key business metrics to evaluate our business, measure our performance, develop financial forecasts,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Weekly Active Users (WAU)</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define a WAU as a Nextdoor user who opens our application, logs on to our website, or engages with an email with monetizable content at least once during a defined 7-day period.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neighborhood. We also present WAUs by geography because we are more advanced in engagement and monetization in the United States than internationally.</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September 2021, Apple released changes to the Apple email client available on its operating systems, including iOS 15 and iPadOS 15,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WAU for the three months ended September 30, 2023 and 2022 were 40.4 million and 38.3 million, respectively, which represents 6% growth period over period.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Average Weekly Active Users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37555" cy="3017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755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8"/>
        <w:spacing w:after="0" w:line="227" w:lineRule="auto"/>
        <w:tabs>
          <w:tab w:leader="none" w:pos="103"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(“CPM”) basis, a cost per click (“CPC”) basis or on a fixed-fee basis. While we have the ability to serve ads in all emails with monetizable content, we currently only do so on a portion of the total.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597535</wp:posOffset>
            </wp:positionV>
            <wp:extent cx="5314950" cy="2743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495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Weekly Active User (ARPU)</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activities occur. Our ARPU for the three months ended September 30, 2023 and 2022 was $1.39 and $1.41, respectively, with the decrease due to stronger WAU growth relative to revenue growth.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ARPU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120015</wp:posOffset>
            </wp:positionV>
            <wp:extent cx="5314950" cy="5735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4950" cy="573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60"/>
        <w:spacing w:after="0" w:line="430" w:lineRule="auto"/>
        <w:rPr>
          <w:sz w:val="20"/>
          <w:szCs w:val="20"/>
          <w:color w:val="auto"/>
        </w:rPr>
      </w:pPr>
      <w:r>
        <w:rPr>
          <w:rFonts w:ascii="Arial" w:cs="Arial" w:eastAsia="Arial" w:hAnsi="Arial"/>
          <w:sz w:val="18"/>
          <w:szCs w:val="18"/>
          <w:color w:val="auto"/>
        </w:rPr>
        <w:t xml:space="preserve">costs associated with delivering and supporting our advertising products and credit card transaction fees related to processing customer transactions. </w:t>
      </w:r>
      <w:r>
        <w:rPr>
          <w:rFonts w:ascii="Arial" w:cs="Arial" w:eastAsia="Arial" w:hAnsi="Arial"/>
          <w:sz w:val="18"/>
          <w:szCs w:val="18"/>
          <w:b w:val="1"/>
          <w:bCs w:val="1"/>
          <w:i w:val="1"/>
          <w:iCs w:val="1"/>
          <w:color w:val="auto"/>
        </w:rPr>
        <w:t>Research and Development</w:t>
      </w:r>
    </w:p>
    <w:p>
      <w:pPr>
        <w:spacing w:after="0" w:line="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Research and development expenses consist primarily of personnel-related costs, including salaries, benefits,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Sales and marketing expenses consist of personnel-related and other costs which include salaries, commissions, benefits,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small and mid-sized customer acquisition, and neighbor services, which includes personnel-related costs for our neighbor support team, our outsourced neighbor support function, and verification costs.</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Performance marketing costs related to user acquisition largely consist of the distribution of mailed invitations and, to a lesser extent, digital advertising. Performance marketing costs related to small and mid-sized customer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benefits,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cash equivalents, and marketable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consists primarily of unrealized gains and losses from the re-measurement of monetary assets and liabilities denominated in non-functional currencies, and foreign currency transaction gains and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6"/>
          </w:tcPr>
          <w:p>
            <w:pPr>
              <w:jc w:val="right"/>
              <w:ind w:right="31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5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159,495</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Costs and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29,124</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39,649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109,748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95,057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92,688</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19,532</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55,401</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50,499</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287,382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267,368</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(44,376)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(124,630)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(107,873)</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(104,128)</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(38,116)</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(107,235)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3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5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8"/>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jc w:val="right"/>
              <w:ind w:right="29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12,107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31,804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25,914</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6,819</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17,480</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23,343</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60,735</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following table sets forth the components of our unaudited condensed consolidated statements of operations as a percentage of revenue for each of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10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3"/>
          </w:tcPr>
          <w:p>
            <w:pPr>
              <w:jc w:val="right"/>
              <w:ind w:right="3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480" w:type="dxa"/>
            <w:vAlign w:val="bottom"/>
          </w:tcPr>
          <w:p>
            <w:pPr>
              <w:ind w:left="100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14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(65)</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5"/>
              </w:rPr>
              <w:t>(68)%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5"/>
              </w:rPr>
              <w:t>(66)%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177" w:lineRule="exact"/>
        <w:rPr>
          <w:sz w:val="20"/>
          <w:szCs w:val="20"/>
          <w:color w:val="auto"/>
        </w:rPr>
      </w:pPr>
    </w:p>
    <w:p>
      <w:pPr>
        <w:ind w:right="5100"/>
        <w:spacing w:after="0" w:line="459" w:lineRule="auto"/>
        <w:rPr>
          <w:sz w:val="20"/>
          <w:szCs w:val="20"/>
          <w:color w:val="auto"/>
        </w:rPr>
      </w:pPr>
      <w:r>
        <w:rPr>
          <w:rFonts w:ascii="Arial" w:cs="Arial" w:eastAsia="Arial" w:hAnsi="Arial"/>
          <w:sz w:val="18"/>
          <w:szCs w:val="18"/>
          <w:b w:val="1"/>
          <w:bCs w:val="1"/>
          <w:color w:val="auto"/>
        </w:rPr>
        <w:t xml:space="preserve">Comparison of the Three and Nine Months Ended September 30, 2023 and 2022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145"/>
        </w:trPr>
        <w:tc>
          <w:tcPr>
            <w:tcW w:w="1940" w:type="dxa"/>
            <w:vAlign w:val="bottom"/>
          </w:tcPr>
          <w:p>
            <w:pPr>
              <w:spacing w:after="0"/>
              <w:rPr>
                <w:sz w:val="12"/>
                <w:szCs w:val="12"/>
                <w:color w:val="auto"/>
              </w:rPr>
            </w:pPr>
          </w:p>
        </w:tc>
        <w:tc>
          <w:tcPr>
            <w:tcW w:w="2200" w:type="dxa"/>
            <w:vAlign w:val="bottom"/>
            <w:gridSpan w:val="6"/>
          </w:tcPr>
          <w:p>
            <w:pPr>
              <w:jc w:val="center"/>
              <w:spacing w:after="0" w:line="145" w:lineRule="exact"/>
              <w:rPr>
                <w:sz w:val="20"/>
                <w:szCs w:val="20"/>
                <w:color w:val="auto"/>
              </w:rPr>
            </w:pPr>
            <w:r>
              <w:rPr>
                <w:rFonts w:ascii="Arial" w:cs="Arial" w:eastAsia="Arial" w:hAnsi="Arial"/>
                <w:sz w:val="14"/>
                <w:szCs w:val="14"/>
                <w:b w:val="1"/>
                <w:bCs w:val="1"/>
                <w:color w:val="auto"/>
                <w:w w:val="93"/>
              </w:rPr>
              <w:t>Three Months Ended September</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7"/>
              </w:rPr>
              <w:t>Nine Months Ended September 30,</w:t>
            </w:r>
          </w:p>
        </w:tc>
        <w:tc>
          <w:tcPr>
            <w:tcW w:w="560" w:type="dxa"/>
            <w:vAlign w:val="bottom"/>
          </w:tcPr>
          <w:p>
            <w:pPr>
              <w:spacing w:after="0"/>
              <w:rPr>
                <w:sz w:val="12"/>
                <w:szCs w:val="12"/>
                <w:color w:val="auto"/>
              </w:rPr>
            </w:pPr>
          </w:p>
        </w:tc>
        <w:tc>
          <w:tcPr>
            <w:tcW w:w="9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81"/>
              </w:rPr>
              <w:t>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vMerge w:val="continue"/>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20"/>
              <w:spacing w:after="0" w:line="122" w:lineRule="exact"/>
              <w:rPr>
                <w:sz w:val="20"/>
                <w:szCs w:val="20"/>
                <w:color w:val="auto"/>
              </w:rPr>
            </w:pPr>
            <w:r>
              <w:rPr>
                <w:rFonts w:ascii="Arial" w:cs="Arial" w:eastAsia="Arial" w:hAnsi="Arial"/>
                <w:sz w:val="14"/>
                <w:szCs w:val="14"/>
                <w:i w:val="1"/>
                <w:iCs w:val="1"/>
                <w:color w:val="auto"/>
              </w:rPr>
              <w:t>(in thousands, except</w:t>
            </w: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882"/>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194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2,138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162,752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Revenue increased by $2.1 million, or 4%, for the three months ended September 30, 2023 compared to the three months ended September 30, 2022. The increase was primarily due to improvements in advertiser demand for our product offerings, which we believe was driven by increased marketer spending as a result of a stabilizing macroeconomic environment, as well as increased user engagement as measured by a 6% increase in Q3 WAUs. ARPU decreased 2% in the three months ended September 30, 2023 compared to the three months ended September 30, 2022, reflecting stronger year-over-year WAU growth relative to revenue growth.</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Revenue increased by $3.3 million, or 2%, for the nine months ended September 30, 2023 compared to the nine months ended September 30, 2022. The increase was primarily due to improvements in advertiser demand for our product offerings, which we believe was driven by increased marketer spending as a result of a stabilizing macroeconomic environment, as well as increased user engagement as measured by a 6% increase in Q3 WAUs. Year-to-date ARPU decreased 8% in the nine months ended September 30, 2023 compared to the nine months ended September 30, 2022, reflecting stronger year-over-year WAU growth relative to revenue growth.</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2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w:t>
            </w:r>
          </w:p>
        </w:tc>
        <w:tc>
          <w:tcPr>
            <w:tcW w:w="280" w:type="dxa"/>
            <w:vAlign w:val="bottom"/>
          </w:tcPr>
          <w:p>
            <w:pPr>
              <w:spacing w:after="0"/>
              <w:rPr>
                <w:sz w:val="14"/>
                <w:szCs w:val="14"/>
                <w:color w:val="auto"/>
              </w:rPr>
            </w:pPr>
          </w:p>
        </w:tc>
        <w:tc>
          <w:tcPr>
            <w:tcW w:w="12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7"/>
              </w:rPr>
              <w:t>Nine Months Ended September 30,</w:t>
            </w:r>
          </w:p>
        </w:tc>
        <w:tc>
          <w:tcPr>
            <w:tcW w:w="560" w:type="dxa"/>
            <w:vAlign w:val="bottom"/>
          </w:tcPr>
          <w:p>
            <w:pPr>
              <w:spacing w:after="0"/>
              <w:rPr>
                <w:sz w:val="14"/>
                <w:szCs w:val="14"/>
                <w:color w:val="auto"/>
              </w:rPr>
            </w:pPr>
          </w:p>
        </w:tc>
        <w:tc>
          <w:tcPr>
            <w:tcW w:w="9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81"/>
              </w:rPr>
              <w:t>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6"/>
            <w:vMerge w:val="continue"/>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00" w:type="dxa"/>
            <w:vAlign w:val="bottom"/>
          </w:tcPr>
          <w:p>
            <w:pPr>
              <w:ind w:left="20"/>
              <w:spacing w:after="0" w:line="122"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Cost of revenue increased by $0.8 million, or 9%, for the three months ended September 30, 2023 compared to the three months ended September 30, 2022. The increase was primarily due to $0.4 million in third-party hosting costs due to increased user growth and engagement and a $0.2 million increase in third-party costs associated with delivering and supporting our advertising products.</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Cost of revenue increased by $2.0 million, or 7%, for the nine months ended September 30, 2023 compared to the nine months ended September 30, 2022. The increase was primarily due to $1.0 million in third-party hosting costs due to increased user growth and engagement, a $0.8 million increase in allocated personnel-related costs, a $0.4 million increase in third-party costs associated with delivering and supporting our advertising products, partially offset by a $0.3 million decrease in merchant processing fees.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3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Three Months Ended September</w:t>
            </w:r>
          </w:p>
        </w:tc>
        <w:tc>
          <w:tcPr>
            <w:tcW w:w="300" w:type="dxa"/>
            <w:vAlign w:val="bottom"/>
          </w:tcPr>
          <w:p>
            <w:pPr>
              <w:spacing w:after="0"/>
              <w:rPr>
                <w:sz w:val="14"/>
                <w:szCs w:val="14"/>
                <w:color w:val="auto"/>
              </w:rPr>
            </w:pPr>
          </w:p>
        </w:tc>
        <w:tc>
          <w:tcPr>
            <w:tcW w:w="12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300" w:type="dxa"/>
            <w:vAlign w:val="bottom"/>
          </w:tcPr>
          <w:p>
            <w:pPr>
              <w:spacing w:after="0"/>
              <w:rPr>
                <w:sz w:val="14"/>
                <w:szCs w:val="14"/>
                <w:color w:val="auto"/>
              </w:rPr>
            </w:pPr>
          </w:p>
        </w:tc>
        <w:tc>
          <w:tcPr>
            <w:tcW w:w="124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i w:val="1"/>
                <w:iCs w:val="1"/>
                <w:color w:val="auto"/>
              </w:rPr>
              <w:t>(in thousands, except</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8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Research and</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6,251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14,691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56" w:lineRule="auto"/>
        <w:rPr>
          <w:sz w:val="20"/>
          <w:szCs w:val="20"/>
          <w:color w:val="auto"/>
        </w:rPr>
      </w:pPr>
      <w:r>
        <w:rPr>
          <w:rFonts w:ascii="Arial" w:cs="Arial" w:eastAsia="Arial" w:hAnsi="Arial"/>
          <w:sz w:val="16"/>
          <w:szCs w:val="16"/>
          <w:color w:val="auto"/>
        </w:rPr>
        <w:t>Research and development expenses increased by $6.3 million, or 19%, for the three months ended September 30, 2023 compared to the three months ended September 30, 2022. The increase was primarily due to a $5.1 million increase in personnel-related costs primarily driven by an increase in headcount, a $0.5 million increase in third-party software costs, and a $0.5 million increase in allocated overhead costs reflecting an increase in headcount.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Research and development expenses increased by $14.7 million, or 15%, for the nine months ended September 30, 2023 compared to the nine months ended September 30, 2022. The increase was primarily due to a $13.2 million increase in personnel-related costs primarily driven by an increase in headcount, a $1.2 million increase in third-party software costs, and a $0.4 million increase in allocated overhead costs reflecting an increase in headcount, partially offset by a $0.4 million decrease in professional service fees.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30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September</w:t>
            </w:r>
          </w:p>
        </w:tc>
        <w:tc>
          <w:tcPr>
            <w:tcW w:w="300" w:type="dxa"/>
            <w:vAlign w:val="bottom"/>
          </w:tcPr>
          <w:p>
            <w:pPr>
              <w:spacing w:after="0"/>
              <w:rPr>
                <w:sz w:val="14"/>
                <w:szCs w:val="14"/>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260" w:type="dxa"/>
            <w:vAlign w:val="bottom"/>
          </w:tcPr>
          <w:p>
            <w:pPr>
              <w:spacing w:after="0"/>
              <w:rPr>
                <w:sz w:val="14"/>
                <w:szCs w:val="14"/>
                <w:color w:val="auto"/>
              </w:rPr>
            </w:pPr>
          </w:p>
        </w:tc>
        <w:tc>
          <w:tcPr>
            <w:tcW w:w="128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840" w:type="dxa"/>
            <w:vAlign w:val="bottom"/>
          </w:tcPr>
          <w:p>
            <w:pPr>
              <w:ind w:left="20"/>
              <w:spacing w:after="0" w:line="130"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Personnel-related and</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23,594</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5"/>
              </w:rPr>
              <w:t>Brand and performance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Arial" w:cs="Arial" w:eastAsia="Arial" w:hAnsi="Arial"/>
                <w:sz w:val="18"/>
                <w:szCs w:val="18"/>
                <w:color w:val="auto"/>
              </w:rPr>
              <w:t>marketing</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6,584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14,961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(11,089)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Neighbor services</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1840" w:type="dxa"/>
            <w:vAlign w:val="bottom"/>
          </w:tcPr>
          <w:p>
            <w:pPr>
              <w:ind w:left="20"/>
              <w:spacing w:after="0" w:line="156" w:lineRule="exact"/>
              <w:rPr>
                <w:sz w:val="20"/>
                <w:szCs w:val="20"/>
                <w:color w:val="auto"/>
              </w:rPr>
            </w:pPr>
            <w:r>
              <w:rPr>
                <w:rFonts w:ascii="Arial" w:cs="Arial" w:eastAsia="Arial" w:hAnsi="Arial"/>
                <w:sz w:val="18"/>
                <w:szCs w:val="18"/>
                <w:color w:val="auto"/>
              </w:rPr>
              <w:t>Total sales and</w:t>
            </w:r>
          </w:p>
        </w:tc>
        <w:tc>
          <w:tcPr>
            <w:tcW w:w="260" w:type="dxa"/>
            <w:vAlign w:val="bottom"/>
            <w:vMerge w:val="restart"/>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30,564</w:t>
            </w:r>
          </w:p>
        </w:tc>
        <w:tc>
          <w:tcPr>
            <w:tcW w:w="4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29,000</w:t>
            </w:r>
          </w:p>
        </w:tc>
        <w:tc>
          <w:tcPr>
            <w:tcW w:w="8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1,564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restart"/>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91,159</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92,688</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(1,529)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20"/>
              <w:spacing w:after="0"/>
              <w:rPr>
                <w:sz w:val="20"/>
                <w:szCs w:val="20"/>
                <w:color w:val="auto"/>
              </w:rPr>
            </w:pPr>
            <w:r>
              <w:rPr>
                <w:rFonts w:ascii="Arial" w:cs="Arial" w:eastAsia="Arial" w:hAnsi="Arial"/>
                <w:sz w:val="18"/>
                <w:szCs w:val="18"/>
                <w:color w:val="auto"/>
              </w:rPr>
              <w:t>marketing</w:t>
            </w: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and marketing expenses increased by $1.6 million, or 5%, for the three months ended September 30, 2023 compared to the three months ended September 30, 2022. The increase was primarily due to a $4.1 million increase in personnel-related and other costs, which was driven by an increase in headcount, partially offset by a $1.9 million decrease in performance marketing costs for user acquisition as focus shifted to organic user acquisition channels and a $0.7 million decrease in performance marketing costs to attract small and mid-sized customers.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and marketing expenses decreased by $1.5 million, or 2%, for the nine months ended September 30, 2023 compared to the nine months ended September 30, 2022. The decrease was primarily due to a $9.8 million decrease in performance marketing costs for user acquisition as focus shifted to organic user acquisition channels and a $1.3 million decrease in performance marketing costs to attract small and mid-sized customers, partially offset by a $10.0 million increase in personnel-related and other costs, which was driven by an increase in headcount.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2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w:t>
            </w:r>
          </w:p>
        </w:tc>
        <w:tc>
          <w:tcPr>
            <w:tcW w:w="300" w:type="dxa"/>
            <w:vAlign w:val="bottom"/>
          </w:tcPr>
          <w:p>
            <w:pPr>
              <w:spacing w:after="0"/>
              <w:rPr>
                <w:sz w:val="14"/>
                <w:szCs w:val="14"/>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7"/>
              </w:rPr>
              <w:t>Nine Months Ended September 30,</w:t>
            </w:r>
          </w:p>
        </w:tc>
        <w:tc>
          <w:tcPr>
            <w:tcW w:w="580" w:type="dxa"/>
            <w:vAlign w:val="bottom"/>
          </w:tcPr>
          <w:p>
            <w:pPr>
              <w:spacing w:after="0"/>
              <w:rPr>
                <w:sz w:val="14"/>
                <w:szCs w:val="14"/>
                <w:color w:val="auto"/>
              </w:rPr>
            </w:pPr>
          </w:p>
        </w:tc>
        <w:tc>
          <w:tcPr>
            <w:tcW w:w="9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vMerge w:val="continue"/>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Arial" w:cs="Arial" w:eastAsia="Arial" w:hAnsi="Arial"/>
                <w:sz w:val="14"/>
                <w:szCs w:val="14"/>
                <w:i w:val="1"/>
                <w:iCs w:val="1"/>
                <w:color w:val="auto"/>
              </w:rPr>
              <w:t>(in thousands, except</w:t>
            </w: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188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General and</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19,532</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1,466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4,902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General and administrative expenses increased by $1.5 million, or 8%, for the three months ended September 30, 2023 compared to the three months ended September 30, 2022. The increase was primarily due to a $2.5 million increase in personnel-related costs which was driven by an increase in headcount, partially offset by a $0.7 million decrease in insurance expenses.</w:t>
      </w:r>
    </w:p>
    <w:p>
      <w:pPr>
        <w:spacing w:after="0" w:line="11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General and administrative expenses increased by $4.9 million, or 10%, for the nine months ended September 30, 2023 compared to the nine months ended September 30, 2022. The increase was primarily due to a $7.5 million increase in personnel-related costs which was driven by an increase in headcount, partially offset by a $2.2 million decrease in insurance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3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4"/>
              </w:rPr>
              <w:t>Three Months Ended September</w:t>
            </w:r>
          </w:p>
        </w:tc>
        <w:tc>
          <w:tcPr>
            <w:tcW w:w="300" w:type="dxa"/>
            <w:vAlign w:val="bottom"/>
          </w:tcPr>
          <w:p>
            <w:pPr>
              <w:spacing w:after="0"/>
              <w:rPr>
                <w:sz w:val="14"/>
                <w:szCs w:val="14"/>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c>
          <w:tcPr>
            <w:tcW w:w="300" w:type="dxa"/>
            <w:vAlign w:val="bottom"/>
          </w:tcPr>
          <w:p>
            <w:pPr>
              <w:spacing w:after="0"/>
              <w:rPr>
                <w:sz w:val="14"/>
                <w:szCs w:val="14"/>
                <w:color w:val="auto"/>
              </w:rPr>
            </w:pPr>
          </w:p>
        </w:tc>
        <w:tc>
          <w:tcPr>
            <w:tcW w:w="12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vMerge w:val="continue"/>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840" w:type="dxa"/>
            <w:vAlign w:val="bottom"/>
          </w:tcPr>
          <w:p>
            <w:pPr>
              <w:ind w:left="20"/>
              <w:spacing w:after="0" w:line="157"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1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13,288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Interest income increased by $4.1 million, or 150%, for the three months ended September 30, 2023 compared to the three months ended September 30, 2022. The increase was primarily driven by higher interest rates.</w:t>
      </w:r>
    </w:p>
    <w:p>
      <w:pPr>
        <w:spacing w:after="0" w:line="10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Interest income increased by $13.3 million, or 249%, for the nine months ended September 30, 2023 compared to the nine months ended September 30, 2022. The increase was primarily driven by higher interest rates.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2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w:t>
            </w:r>
          </w:p>
        </w:tc>
        <w:tc>
          <w:tcPr>
            <w:tcW w:w="300" w:type="dxa"/>
            <w:vAlign w:val="bottom"/>
          </w:tcPr>
          <w:p>
            <w:pPr>
              <w:spacing w:after="0"/>
              <w:rPr>
                <w:sz w:val="14"/>
                <w:szCs w:val="14"/>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c>
          <w:tcPr>
            <w:tcW w:w="580" w:type="dxa"/>
            <w:vAlign w:val="bottom"/>
          </w:tcPr>
          <w:p>
            <w:pPr>
              <w:spacing w:after="0"/>
              <w:rPr>
                <w:sz w:val="14"/>
                <w:szCs w:val="14"/>
                <w:color w:val="auto"/>
              </w:rPr>
            </w:pPr>
          </w:p>
        </w:tc>
        <w:tc>
          <w:tcPr>
            <w:tcW w:w="9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8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Pr>
          <w:p>
            <w:pPr>
              <w:spacing w:after="0"/>
              <w:rPr>
                <w:sz w:val="17"/>
                <w:szCs w:val="17"/>
                <w:color w:val="auto"/>
              </w:rPr>
            </w:pPr>
          </w:p>
        </w:tc>
        <w:tc>
          <w:tcPr>
            <w:tcW w:w="820" w:type="dxa"/>
            <w:vAlign w:val="bottom"/>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Other income (expense),</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(217)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0"/>
        <w:spacing w:after="0" w:line="377" w:lineRule="auto"/>
        <w:rPr>
          <w:sz w:val="20"/>
          <w:szCs w:val="20"/>
          <w:color w:val="auto"/>
        </w:rPr>
      </w:pPr>
      <w:r>
        <w:rPr>
          <w:rFonts w:ascii="Arial" w:cs="Arial" w:eastAsia="Arial" w:hAnsi="Arial"/>
          <w:sz w:val="16"/>
          <w:szCs w:val="16"/>
          <w:color w:val="auto"/>
        </w:rPr>
        <w:t>Other expense decreased by $0.5 million, or 69%, for the three months ended September 30, 2023 compared to the three months ended September 30, 2022. The decrease was primarily due to the periodic re-measurement of monetary assets and liabilities denominated in non-functional currencies.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Other expense decreased by $1.1 million, or 67%, for the nine months ended September 30, 2023 compared to the nine months ended September 30, 2022.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the periodic re-measurement of monetary assets and liabilities denominated in non-functional currencies.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3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Three Months Ended September</w:t>
            </w:r>
          </w:p>
        </w:tc>
        <w:tc>
          <w:tcPr>
            <w:tcW w:w="300" w:type="dxa"/>
            <w:vAlign w:val="bottom"/>
          </w:tcPr>
          <w:p>
            <w:pPr>
              <w:spacing w:after="0"/>
              <w:rPr>
                <w:sz w:val="14"/>
                <w:szCs w:val="14"/>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7"/>
              </w:rPr>
              <w:t>Nine Months Ended September 30,</w:t>
            </w:r>
          </w:p>
        </w:tc>
        <w:tc>
          <w:tcPr>
            <w:tcW w:w="640" w:type="dxa"/>
            <w:vAlign w:val="bottom"/>
          </w:tcPr>
          <w:p>
            <w:pPr>
              <w:spacing w:after="0"/>
              <w:rPr>
                <w:sz w:val="14"/>
                <w:szCs w:val="14"/>
                <w:color w:val="auto"/>
              </w:rPr>
            </w:pPr>
          </w:p>
        </w:tc>
        <w:tc>
          <w:tcPr>
            <w:tcW w:w="9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6"/>
            <w:vMerge w:val="continue"/>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8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45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Provision for income</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Provision for income taxes decreased by less than $0.1 million, or 9%, for the three months ended September 30, 2023 compared to the three months ended September 30, 2022.</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Provision for income taxes increased by $0.3 million, or 88%, for the nine months ended September 30, 2023 compared to the nine months ended September 30, 2022. The increase was primarily due to an increase in foreign income tax expenses.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generated losses from our operations, as reflected in our accumulated deficit of $725.5 million as of September 30, 2023.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strategic expansion of our business.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September 30, 2023, we had $539.7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(the “Share Repurchase Program”), and our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ability to obtain equity or debt financing. Moreover, any instability in the U.S. or international banking systems may impact liquidity both in the short term and long term.</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We currently anticipate that the Share Repurchase Program will extend through June 30, 2024, or such shorter period if $100.0 million in aggregate of shares of our Class A common stock have been repurchased. The Share Repurchase Program does not obligate us to repurchase any dollar amount or number of shares, and the program may be extended, modified, suspended, or discontinued at any time. During the three and nine months ended September 30, 2023, we did not repurchase or retire any shares of Class A common stock. As of September 30, 2023, we had $22.8 million available for future share repurchases under the Share Repurchase Program.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8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(40,797)</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40,188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(325,407)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used in operating activities during the nine months ended September 30, 2023 was $44.3 million which resulted from a net loss of $107.2 million, adjusted for non-cash charges of $58.9 million and net cash inflows of $4.0 million from changes in operating assets and liabilities. Non-cash charges primarily consisted of $60.7 million of stock-based compensation expense and $4.4 million of depreciation and amortization expense, partially offset by $6.5 million of accretion on investments. The net cash inflows from changes in operating assets and liabilities were primarily due to a $3.5 million decrease in operating lease right-of-use assets due to normal amortization, a $3.4 million increase in accrued expenses and other liabilities, and a $2.8 million decrease in prepaid expenses and other assets. These amounts were partially offset by a $4.2 million decrease in operating lease liabilities due to lease payments, a $1.2 million decrease in accounts payable, and a $0.3 million increase in accounts receivable.</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used in operating activities during the nine months ended September 30, 2022 was $40.8 million which resulted from a net loss of $104.5 million, adjusted for non-cash charges of $50.4 million and net cash inflows of $13.3 million from changes in operating assets and liabilities. Non-cash charges primarily consisted of $47.0 million of stock-based compensation expense and $4.2 million of depreciation and amortization expense. The net cash inflows from changes in operating assets and liabilities were primarily due to a $5.8 million decrease in prepaid expenses and other assets, a $5.4 million increase in accrued expenses and other current liabilities, a $5.1 million decrease in operating lease right-of-use assets due to normal amortization, and a $2.8 million decrease in accounts receivable. These amounts were partially offset by a $5.3 million decrease in operating lease liabilities due to lease payments, and a $0.4 million decrease in accounts payable.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provided by investing activities for the nine months ended September 30, 2023 was $40.2 million, which consisted of proceeds from maturities of marketable securities of $416.6 million and proceeds from sales of marketable securities of $81.3 million. This was partially offset by purchases of marketable securities of $454.9 million, a loan to Opportunity Finance Network of $2.5 million, and purchases of property and equipment of 0.3 million.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for the nine months ended September 30, 2022 was $325.4 million, which consisted of purchases of marketable securities of $555.1 million and purchases of property and equipment of $2.2 million. This was partially offset by proceeds from maturities of marketable securities of $224.0 million and proceeds from sales of marketable securities of $7.8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for the nine months ended September 30, 2023 was $8.5 million, which consisted of $6.7 million of proceeds from the exercise of stock options and $2.0 million of proceeds from the issuance of common stock under the employee stock purchase plan. This was partially offset by tax withholdings on release of restricted stock units of $0.2 million.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for the nine months ended September 30, 2022 was $65.7 million, which consisted of repurchases of common stock of $77.2 million, tax withholdings on release of restricted stock units of $0.7 million, and payment of deferred transaction costs of $0.3 million. This was partially offset by $11.2 million of proceeds from the exercise of stock options and $1.4 million of proceeds from the issuance of common stock under the employee stock purchase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EBITDA is a non-GAAP financial measure that represents our net loss adjusted for depreciation and amortization, stock-based compensation, net interest income, provision for income taxes, and any acquisition-related costs.</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loss, the most comparable GAAP measure, to Adjusted EBITDA:</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5"/>
        </w:trPr>
        <w:tc>
          <w:tcPr>
            <w:tcW w:w="5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(104,508)</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46,957</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requiring estimates, assumptions, and judgments as compared to the critical accounting policies and estimates as described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2 to our unaudited condensed consolidated financial statements included elsewhere in this Quarterly Report for more information regarding recently issued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2023, we had cash and cash equivalents of $48.4 million and marketable securities of $491.3 million. Our cash and cash equivalents consist of cash in bank accounts, demand deposits, money market funds, corporate bonds, and commercial paper.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Quarterly Report, and have concluded that, based on such evaluation, our disclosure controls and procedures were effective as of September 30, 2023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Disclosure Controls and Procedures</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or financial results.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commenced operating the Nextdoor platform in 2011 and began supporting the platform with advertising in 2016.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global economic and financial conditions could harm our business and financial condition.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Adverse global economic and financial events and the effects thereof, such as the persisting impacts of the COVID-19 pandemic, the war in Ukraine and the Israel-Hamas war, inflation, rising interest rates, potential recessions, a potential temporary federal government shutdown, fluctuations in foreign exchange rates, recent turmoil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spacing w:after="0" w:line="1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neighbor or advertiser engagement on the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slower than anticipated growth in, or lack of growth or decreases in, the number of neighbors on the platform;</w:t>
      </w:r>
    </w:p>
    <w:p>
      <w:pPr>
        <w:spacing w:after="0" w:line="171"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macroeconomic conditions, whether in the advertising industry in general, among specific types of advertisers or within particular geographies, including but not limited to the recent turmoil in the global banking system, labor shortages, supply chain disruptions, a potential recession, a potential temporary federal government shutdown, inflation and rising interest rates;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competitors offering more attractive pricing for advertisements that we are unable or unwilling to match;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quantity or quality of advertisements shown to neighbors;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demographics of our neighbors that make us less attractive to advertisers;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neighbors who exercise opt-out rights under privacy laws to restrict the advertisements they receive;</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neighbors that upload content or take other actions that are deemed to be hostile, inappropriate, illicit, objectionable, illegal, or otherwise not consistent with the brand of our advertisers;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government actions or legislative, regulatory, or other legal developments;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neighbor behavior or changes to the platform that may affect, among other things, the safety and security of other neighbors or the cultivation of a positive and inclusive online community;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media reports or other negative publicity involving us;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or enforcing policies, such as advertising policies, community guidelines, and other terms or service that are perceived negatively by advertisers;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improve our products for advertisers;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in, or reductions to, the availability, accuracy, utility, and security of analytics and measurement solutions offered by us or third parties that are intended to demonstrate the value of our advertisements to advertisers; and</w:t>
      </w:r>
    </w:p>
    <w:p>
      <w:pPr>
        <w:spacing w:after="0" w:line="116" w:lineRule="exact"/>
        <w:rPr>
          <w:rFonts w:ascii="Arial" w:cs="Arial" w:eastAsia="Arial" w:hAnsi="Arial"/>
          <w:sz w:val="18"/>
          <w:szCs w:val="18"/>
          <w:color w:val="auto"/>
        </w:rPr>
      </w:pPr>
    </w:p>
    <w:p>
      <w:pPr>
        <w:ind w:left="660" w:right="22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data privacy practices that affect the type or manner of advertising that we are able to provide, including as a result of changes to laws, regulations or regulatory actions, such as the GDPR, European Directive 2002/58/EC (the “ePrivacy Directive”), UK General Data Protection Regulation (“UK GDPR”), UK Data Protection Act 2018, the CCPA, Nevada’s Online Privacy Law, the CDPA, the VCPDA, the CPRA, and other U.S. state privacy laws, or changes to third-party policies.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launched its Intelligent Tracking Prevention (“ITP”) feature in its Safari browser. ITP blocks some or all third-party cookies by default on mobile and desktop and ITP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introduced an App Tracking Transparency framework that limits the ability of mobile applications to request an iOS device’s advertising identifier and may also affect our ability to track neighbors’ actions off our platform and connect their interactions with on-platform advertising. Similarly, Google has announced that it plans to start phasing out third-party cookies in its Google Chrome browser, beginning in the second half of 2024, and, more recently, that it intends to limit access by mobile applications to advertising identifiers on Android devices. These web and mobile browser developers have also implemented and may continue to implement changes and restrictions in browser or device functionality that limit our ability to communicate with or understand the identity of our neighbors.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the current growth rate, if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neighbor base slows or reverses, we may be required to incur significantly higher marketing expenses than we currently anticipate in order to acquire new neighbors or retain current neighbors.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There are many factors that could negatively impact our ability to grow, retain and engage current and prospective neighbors, including but not limited to:</w:t>
      </w:r>
    </w:p>
    <w:p>
      <w:pPr>
        <w:spacing w:after="0" w:line="19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neighbors increasing their engagement with competitors’ platforms, products or services instead of, or more frequently than, our platform;</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amount of time neighbors spend across all applications and platforms, including our platform;</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failing to introduce platform enhancements that neighbors find engaging or if we introduce new features, terms, policies or procedures, or make changes to our platform, that are not favorably received by current or prospective neighbors;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technical or other problems frustrating the neighbor experience, such as problems that prevent us from delivering our service in a fast and reliable manner;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neighbors having difficulty installing, updating or otherwise accessing the Nextdoor platform on mobile devices through the app or web browsers;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neighbor behavior on the Nextdoor platform changing, including a decrease in the quality and frequency of content shares on the platform;</w:t>
      </w:r>
    </w:p>
    <w:p>
      <w:pPr>
        <w:spacing w:after="0" w:line="182"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mandated by legislation, government and regulatory authorities, or litigation that adversely impact our platform or neighbors;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 parties preventing their content from being displayed on the Nextdoor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we may make to how we promote different features on our platform;</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initiatives designed to attract and retain neighbors and engagement are unsuccessful or discontinued, whether as a result of actions by us, third parties, or otherwise;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other partners and companies in the industry are the subject of adverse media reports or other negative publicity;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unable to combat spam, harassment, cyberbullying or other hostile, inappropriate, abusive or offensive content or usage on our platform; or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cannot preserve and enhance our brand and reputation as a trusted neighborhood networking community.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competitive. Competition presents an ongoing threat to the success of our business.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compete with companies that provide a variety of internet products, services, content, and online advertising. In addition, aspects of our platform compete with other products and services, including home services, classifieds, real estate,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real estate,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services or evolve their platforms, we may fail to engage or retain neighbors or attract new neighbors, which could harm our business, operating results, and financial condition.</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Moreover, Google recently announced that it intends to limit access by mobile applications to advertising identifiers on Android devices, likely by the end of 2024.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popularity, usefulness, ease of use, performance, and reliability of our platform compared to our competitors’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and composition of our neighbor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engagement of neighbors with our platform and competing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and third-party data available to us relative to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advertisers who use our free or paid advertisements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market acceptance of developments and enhancements to our platform or our competitors’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safety and security efforts and our ability to protect neighbor data and to provide neighbors with control over their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distribute our platform to new and existing neighbors;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monetize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successful implementation of platform changes, such as the migration to our proprietary ad server;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frequency, size, format, quality, and relative prominence of the advertisements displayed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and selling efforts, including our ability to measure the effectiveness of our advertisements and to provide advertisers with a compelling return on their investments;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publisher interest in integrating their content with our platform;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mandated by legislation, regulatory authorities, or litigation, some of which may have a disproportionate effect on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 particularly software engineers, designers, and managers;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cost-effectively manage and grow our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and brand strength relative to those of our competitors.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 in Ukraine and the Israel-Hamas war),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majority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A substantial portion of our network infrastructure is provided by third parties, including AWS. We also rely on third parties for other technology related services, including certain artificial intelligence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scale our business effectively, our business, operating results, and financial condition would be adversely affected.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experienced a period of significant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plan to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as we have grown, our business has become increasingly complex and requires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recent turmoil in the global banking system, labor shortages, supply chain disruptions, a potential recession, a potential temporary federal government shutdown, rising interest rates and inflation, the war in Ukraine and the Israel-Hamas war and the persisting impacts of the COVID-19 pandemic.</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11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Additionally, from time to time, we realign our resources and talent to implement stage-appropriate business strategies, which could include furloughs, layoffs and reductions in force. For example, in November 2023, in response to changing economic conditions and in an effort to support our growth, scale and profitability objectives, reduce our operational costs and improve our organizational efficiency, we authorized a restructuring plan, which included a restructuring and reduction of the current workforce by approximately 25%. We expect that the execution of this restructuring plan will be substantially completed by the end of the fourth quarter of 2023.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our artificial intelligence initiatives, which could adversely affect our business, reputation, or financial results.</w:t>
      </w:r>
    </w:p>
    <w:p>
      <w:pPr>
        <w:spacing w:after="0" w:line="181"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We are continuing to make investments in artificial intelligence (“AI”) initiatives, including to recommend relevant unconnected content across our products, enhance our advertising tools, and develop new product features using generative AI. Our AI initiatives may require increased investment in infrastructure and headcount.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For example, the use of datasets to develop AI models, the content generated by AI systems, or the application of AI systems may be found to be insufficient, offensive, biased, or harmful, or violate current or future laws and regulations. Moreover, AI may give rise to litigation risk, including potential intellectual property or privacy liability. In addition, market acceptance of AI technologies is uncertain, and we may be unsuccessful in our product development efforts. Any of these factors could adversely affect our business, operating results, and financial condition.</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negatively affects our business from time to time.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expanding our business operations abroad by opening new and expanding within existing neighborhoods outside of the United States. As of September 30, 2023, the Nextdoor platform was accessible in 11 countries (including the United States) and had over 315,000 neighborhoods. We plan to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spacing w:after="0" w:line="1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political, social and economic instability, including as a result of acts of war or terrorism, including the war in Ukraine and the Israel-Hamas war;</w:t>
      </w:r>
    </w:p>
    <w:p>
      <w:pPr>
        <w:spacing w:after="0" w:line="194"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damage to our brand and reputation due to compliance with local laws, including potential censorship and requirements to provide neighbor information to local authorities;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enhanced difficulty in reviewing content on the Nextdoor platform and enforcing community standards across different languages and countries;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right="34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multiple U.S. and international tax jurisdictions and management of tax impact of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higher levels of credit risk and payment fraud;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integrating any foreign acquisitions;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burdens of complying with a variety of foreign laws, including laws related to taxation, content removal, data localization, data transfer, consents, payments, and regulatory oversight;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71"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legal compliance costs associated with multiple international locations.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need additional capital in the future, it may not be available on favorable terms, if at all.</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plan to continue to make acquisitions, which could harm our financial condition or operating results and may adversely affect the price of our Class A common stock.</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our business strategy, we have made, and intend to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116"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the persisting impacts of the COVID-19 pandemic, and workforce participation rates. Further, in November 2023, in response to changing economic conditions and in an effort to reduce our operational costs and improve our organizational efficiency, we authorized a restructuring plan, which included a restructuring and reduction of the current workforce by approximately 25%. We expect that the execution of this restructuring plan will be substantially complete by the end of the fourth quarter of 2023. This restructuring plan could negatively impact our ability to attract, integrate,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future success also depends in large part on the continued services of senior management and other key personnel. In particular, we are dependent on the services of Sarah Friar, our Chief Executive Officer and President, who is critical to the future vision and strategic direction of our business. We rely on our leadership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core values may conflict with the short-term interests of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Security and Technology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dependent on third-party software and service providers, including the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we rely on third-party technology providers in our business, we rely on the cybersecurity practices and policies adopted by these third parties. Our ability to monitor our third-party technology providers’ cybersecurity practices is limited.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not able to access our platform or encounter difficulties in doing so, we may lose neighbors or advertisers, which could harm our reputation, business,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rely on third parties, including email providers, mobile data networks, and geolocation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on third parties to verify our neighbors’ accounts through several methods, including but not limited to email, SMS text message, phone calls, geolocation and mailed invitations. For example, we utilize email providers, mobile data networks, and geolocation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trend towards working from home and using private residential networks to access the Internet, which has arisen in response to the persisting impacts of the COVID-19 pandemic and other global economic and labor market conditions, may further exacerbate risks associated with cyberattacks and data security breaches, because we cannot guarantee these private work environments and electronic connections to our work environment have the same robust security measures deployed in our physical offices.</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take a variety of technical and organizational security measures and other measures to protect our data. Although we have implemented systems and processes that are designed to protect our data and our neighbors’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Security breaches may cause interruptions to our platform, degrade the neighbor experience, cause neighbors or advertisers to lose confidence and trust in our platform, impair our internal systems, or result in financial harm to our company.</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security breach of our system could trigger a breach of our agreements with partners that we rely on to deliver our services and expose us to significant loss.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the release of iOS 14.5 brought with it a number of new changes, including the need for neighbors using the app to opt in before their identifier for advertisers (“IDFA”) can be accessed by an app (which came into effect in April 2021). Apple’s IDFA is a string of numbers and letters assigned to Apple devices which advertisers use to identify app users to deliver personalized and targeted advertising. As a consequence, the ability of advertisers to accurately target and measure their advertising campaigns at the neighbor level will depend on the opt-in rate to grant IDFA access and if the opt-in rate is low, advertisers’ ability to target and measure advertising campaigns on the Nextdoor platform may become significantly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limited. We did not observe any directly attributable negative impact on our business, operating results or financial condition, including our revenue, revenue growth rates, and operating income (loss), related to the introduction of IDFA during the nine months ended September 30, 2023, though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 Further, in May 2022, Apple introduced changes for the Apple mail client available on its operating systems, including iOS 15, iPadOS 15, and macOS 12, which have impacted, and are expected to continue to impact our ability to track individual users and devices, and measure the effectiveness of our advertisements. Moreover, Google recently announced that it intends to limit access by mobile applications to advertising identifiers on Android devices, likely by the end of 2024. As a result, advertisers may find our products less appealing and may seek alternative platforms on which to run their advertising campaigns.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and ethical issues may result in reputational harm and liability.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disclosures on environmental, social, and governance (“ESG”) matters, and any standards we may set for ourselves or a failure to meet these standards, may influence our reputation and the value of our brand. For example, we have elected to share publicly certain information about our ESG initiatives and information, and our commitment to the recruitment, engagement and retention of a diverse board and workforce. In addition, the SEC has also proposed additional disclosure requirements regarding, among other ESG topics, the impact our business has on the environment.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To the extent the SEC proposals become effective for our company, we will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results difficult to predict.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revenues from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acquire, retain, and grow our neighbors and neighbor engagement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attract and retain advertisers;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recognize revenue or collect payments from advertisers in a particular period;</w:t>
      </w:r>
    </w:p>
    <w:p>
      <w:pPr>
        <w:spacing w:after="0" w:line="171"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spending by our advertisers due to macroeconomic conditions, seasonality, episodic regional or global events, including the persisting impacts of the COVID-19 pandemic, or other factors;</w:t>
      </w:r>
    </w:p>
    <w:p>
      <w:pPr>
        <w:spacing w:after="0" w:line="197"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domestic and global business and macroeconomic conditions, including the recent turmoil in the global banking system, potential recession, a potential temporary federal government shutdown, the continued rise of inflation and interest rates, persisting impacts of the COVID-19 pandemic, and the war in Ukraine and the Israel-Hamas war;</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internet usage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prominence, size, format, quality and relevancy of advertisements shown to neighbors;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technologies designed to block the display of advertisements;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pricing of our advertisements;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cost of and mix of new and existing sales and marketing and promotional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our platform and app on mobile devices and other third-party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our platform or the development and introduction of new products or services by our competitors;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neighbor behavior or platform changes that may reduce traffic to features of the platform that we monetize;</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system failures, disruptions, breaches of security or privacy, whether on our platform or on those of third parties, and the costs associated with any such breaches and remediation;</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or viruses;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incurring additional expenses, such as increases in sales and marketing or research and development, including as a result of the persisting impacts of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cybersecurity, or actions by governments or regulators, including fines, orders, or consent decrees;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market opportunities and key metric estimates could prove to be inaccurate, and any real or perceived inaccuracies may harm our reputation and negatively affect our business.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section, which could cause actual results to differ materially from our estimates. Unfavorable changes in any of these or other assumptions, most</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regularly review key business and other metrics, including WAUs, Verified Neighbors and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For example, in 2021, Apple introduced changes for the Apple mail client available on its operating systems, including iOS 15, iPadOS 15, and macOS 12, which have limited, and are expected to continue to limit, our ability to track individual users and devices, and measure user engagement with our emails containing monetizable content for users that use the Apple email client. These changes have affected our ability to calculate WAUs, a key business metric. Because of the introduction of these changes, we are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5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experienced significant net losses each year since we began operations in 2007, including net losses of $107.2 million and $104.5 million for the nine months ended September 30, 2023 and 2022, respectively. We have an accumulated deficit of $725.5 million as of September 30, 2023.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 in November 2023, we cannot guarantee that these efforts will be successful or that we will not re-accelerate operating expenditures in the future in order to capitalize on growth opportunities.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2022, we had gross U.S. federal net operating loss (“NOL”) carryforwards of approximately $382.1 million and gross state NOL carryforwards of approximately $234.8 million, which if not utilized, will begin to expire for federal and state income tax purposes beginning in 2028. To the extent that we continue to generate taxable losses, unused losses will carry forward to offset future taxable income, if any. Under the 2017 Tax Cuts and Jobs Act,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currency exchange rates fluctuate substantially in the future, our operating results, which are reported in U.S. dollars, could be adversely affected.</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 continue to expand our international operations, we will become more exposed to the effects of fluctuations in currency exchange rates. A substantial majority of our revenues to date have been denominated in U.S. dollars and, therefore, we have not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greater than anticipated tax liabilities, which could harm our business, revenue and financial results.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a number of tax jurisdictions globally, including in the United States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 In August 2022, President Biden signed into law the Inflation Reduction Act of 2022 (“IRA”). The IRA includes a 15% corporate alternative minimum tax for companies with modified GAAP net income in excess of $1 billion, a 1% excise tax on certain stock repurchases, and numerous environmental and green energy tax credits. Currently, we are not subject to the corporate alternative minimum tax and we do not expect the new law to have a material impact on our results of operations.</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103"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As of September 30, 2023, we had $22.8 million available for future share repurchases under the Share Repurchase Program.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as a result of content or information that is published or made available on our platform.</w:t>
      </w:r>
    </w:p>
    <w:p>
      <w:pPr>
        <w:spacing w:after="0" w:line="15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Additionally, some controversial content may not be banned on the Nextdoor platform and, even if it is not featured in advertisements to neighbors, it may still appear in the newsfeed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business is subject to complex and evolving U.S. and foreign laws, regulations, and industry standards, many of which are subject to change and uncertain interpretations, which uncertainty could harm our business, operating results, and financial condition.</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many U.S. federal and state and foreign laws, regulations and industry standards that involve matters central to our business, including laws and regulations that involve data privacy, data security, intellectual property (including copyright and patent laws), content, rights of publicity, advertising, marketing, competition, protection of minors, age verification, consumer protection, taxation, and telecommunications.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Although the U.S. Supreme Court declined to narrow the scope of Section 230 in its Gonzalez v. Google decision, there are still legislative efforts to amend the CDA, which if successful could expose us to additional lawsuits and potential judgments that could seriously harm our business. We could incur significant costs investigating and defending such claims and, if we are found liable, significant damages.</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Digital Services Act (the “DSA”), signed into law in the European Union on October 19, 2022, is a package of legislation intended to update the liability and safety rules for digital platforms, products, and services. The DSA could negatively impact the scope of the limited immunity provided by the E-Commerce Directive, limit targeted advertising, and require us to expend resources to try to comply with the new regulations or incur liability. Nextdoor must comply with the DSA by February 2024 and could face significant penalties for non-compliance. On October 26, 2023, similarly, the United Kingdom’s Online Safety Act became law. The Act creates requirements around monitoring and handling harmful content and will require us to expend resources to try to comply with the new regulations or incur liability. Additionally, Australia’s Online Safety Act 2021, which went into effect in January 2022, and its accompanying Social Media Services Code, which goes into effect in December 2023, may impose new obligations and liabilities on platforms with respect to certain types of harmful content. These new and proposed laws, together with any changes to the existing laws and regulations within the jurisdictions in which we operate could require us to expend additional resources to maintain compliance with any new or evolving regulations. As a result, we may incur additional liability, and our business, operating results, and financial condition could be harmed.</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and security and the processing of personal information and other data from neighbors, employees or business partners. The regulatory framework for privacy, information security, data protection and processing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and security can subject us to potential actions if they are found to be deceptive, unfair, or otherwise misrepresent our actual practices, which could materially and adversely affect our business, operating results, and financial condition.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United States, we are subject to numerous federal, state and local data privacy and security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Additionally, California voters approved a new privacy law, the CPRA, which became effective January 1, 2023 (with a look back to January 1, 2022). The CPRA significantly modifies the CCPA, including by expanding consumers’ rights and establishing a new state agency that is vested with authority to implement and enforce the CPRA. Other states have also passed comparable legislation, with unique compliance requirements relevant to our business. For example, Virginia, Colorado, Connecticut, and Utah have all passed data privacy laws that have gone or will go into effect at various times in 2023,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Compliance with these laws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Outside the United States, we are subject to an increasing number of laws, regulations and industry standards that apply to data privacy and security. In Canada, we are subject to the Personal Information Protection and Electronic Documents Act, which governs the collection, use and disclosure of Canadian residents’ personal information in the course of commercial activities. In Australia, we are also subject to, among other laws, Australia’s “Privacy Act 1988” and Australian Privacy Principles (“APPs”), which require us to, among other things: (a) establish a governance framework for managing privacy and data protection; (b) give individuals the option of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In the EEA, we are subject to the GDPR and in the United Kingdom, we are subject to the United Kingdom data protection regime consisting primarily of the UK GDPR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imposes a strict data protection compliance regime, grants new rights for data subjects in regard to their personal data (including the right to be “forgotten” and the right to data portability) and enhances current rights (e.g., data subject access requests).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European Union rules with respect to cross-border transfers of personal data out of the EEA and the United Kingdom. After years of uncertainty following the July 16, 2020 decision of the Court of Justice of the European Union (the “CJEU”) invalidating the EU-U.S. Privacy Shield Framework (the “Privacy Shield”), on July 10, 2023 the European Commission adopted its adequacy decision for the new EU-U.S. Data Privacy Framework (“DPF”). The DPF creates a path forward for personal data to be transferred from the EU to United States for U.S. entities that have self-certified with the U.S. Department of Commerce.</w:t>
      </w:r>
    </w:p>
    <w:p>
      <w:pPr>
        <w:spacing w:after="0" w:line="120"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We are also subject to evolving EU and U.K. privacy laws on cookies and e-marketing. In the EU and the U.K., regulators are increasingly focusing on compliance with current national laws that implement the ePrivacy Directive. The ePrivacy Directive may be replaced by an EU regulation known as the ePrivacy Regulation that will significantly increase fines for non-compliance. In the EU and the U.K., informed consent is required for the placement of certain cookies or similar technologies on a user’s device and for direct electronic marketing and (under the UK GDPR and the GDPR) valid consent is tightly defined, including, a prohibition on pre-checked consents and, in the context of cookies, a requirement to obtain separate consents for each type of cookie or similar technology. While the text of the ePrivacy Regulation is still under development, a December 2021 European court decision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 Furthermore, the EU Artificial Intelligence Act, which was proposed on April 21, 2021 by the European Commission and aims to introduce a common regulatory and legal framework for artificial intelligence, is expected to pass in the coming months. The EU Artificial Intelligence Act would regulate AI providers and entities making use of AI tools in a professional capacity, and may require the implementation of additional quality assurance controls and measures to be reviewed and approved by regulatory submissions of our products.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other jurisdictions that could impose new obligations or limitations in areas affecting our business.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that have greater resources. Even though we communicate with lawmakers and regulators in countries and regions in which we conduct business, and despite having a dedicated policy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involved in legal disputes that are expensive and time consuming, and, if resolved adversely, could harm our business, operating results, and financial condition.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of business, may require us to change our business practices or platform, require significant amount of management’s time, may harm our reputation or otherwise harm our business, operating results, and financial condition.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Exposure to United Kingdom political developments, including the effect of its withdrawal from the European Union, could be costly and difficult to comply with and could adversely impact our business,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2016, a referendum was passed in the United Kingdom to leave the European Union, commonly referred to as “Brexit.” This decision created an uncertain political and economic environment in the United Kingdom and other European Union countries, and the formal process for leaving the European Union has taken years to complete. Although the United Kingdom and the European Union have a trade and cooperation agreement, the long-term nature of the United Kingdom’s relationship with the European Union remains unclear and there is considerable uncertainty as to their future political and economic relations. The political and economic instability created by Brexit has caused and may continue to cause significant volatility in global financial markets and uncertainty regarding the regulation of cybersecurity in the United Kingdom. In addition, Brexit could lead to legal uncertainty and potentially divergent national laws and regulations as the United Kingdom determines which European Union laws to replace or replicate. For example, as discussed above, although the European Commission has adopted an adequacy decision in favor of the United Kingdom, enabling data transfers from EU member states to the United Kingdom without additional safeguards, uncertainty remains regarding how data transfers to and from the United Kingdom will be regulated in the long term. Brexit could also have the effect of disrupting the free movement of goods, services, capital, and people between the United Kingdom, the European Union, and elsewhere. The full effect of Brexit is uncertain and depends on any current and future agreements the United Kingdom makes with the European Union and others. Consequently, no assurance can be given about the impact of these developments, and our operational, tax, and other policies may require reassessment and our business, operating results, and financial condition may be seriously harmed.</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Operating as a public company has and is expected to continue to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spacing w:after="0" w:line="111" w:lineRule="exact"/>
        <w:rPr>
          <w:sz w:val="20"/>
          <w:szCs w:val="20"/>
          <w:color w:val="auto"/>
        </w:rPr>
      </w:pPr>
    </w:p>
    <w:p>
      <w:pPr>
        <w:ind w:left="660" w:right="7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with our obligations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and committees of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new and enhance existing internal policies, including those relating to disclosure controls and procedures.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systems of internal controls and disclosure controls could have a material adverse effect on our business, operating results, and financial condition.</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the value of our brands and other intangible assets may be diminished, and our business, operating results, and financial condition may be adversely affected.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Furthermore, many of our current and potential competitors have the ability to dedicate substantially greater resources to enforce their intellectual property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proprietary information.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 for us. We expect the number of such claims to increase as the functionality of our platform overlaps with that of other products and services, and as the volume of issued software patents and patent applications continues to increase.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also face exposure to third-party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A common stock has been and may continue to be volatile.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spacing w:after="0" w:line="13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user growth, retention, engagement, revenue, or other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involving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variations between our actual operating results and the expectations of securities analysts, investors, and the financial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our competitors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shares of our Class A common stock being sold into the market by us or our existing stockholders, or the anticipation of such sales, or if existing stockholders subject to a lock-up sell shares into the market when applicable “lock-up” periods end;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by us or estimates by third parties of actual or anticipated changes in the size of our user base or the level of user engagement;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technology companies in our industry, including our partners and competitors;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interest rate increases on the overall stock market and the market for technology company stocks;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94" w:lineRule="exact"/>
        <w:rPr>
          <w:rFonts w:ascii="Arial" w:cs="Arial" w:eastAsia="Arial" w:hAnsi="Arial"/>
          <w:sz w:val="16"/>
          <w:szCs w:val="16"/>
          <w:color w:val="auto"/>
        </w:rPr>
      </w:pPr>
    </w:p>
    <w:p>
      <w:pPr>
        <w:ind w:left="660" w:right="32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effects of the persisting impacts of the COVID-19 pandemic, the war in Ukraine and the Israel-Hamas war, recessions, rising inflation, interest rates, local and national elections, the recent turmoil in the global banking system, international currency fluctuations, corruption, political instability and acts of war or terrorism.</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S&amp;P Dow Jones and FTSE Russell limit their eligibility criteria for inclusion of shares of public companies on certain indices, including the S&amp;P 500, namely, to exclude companies with multiple classes of shares of common stock from being added to such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12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September 30, 2023.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resales of our Class A common stock may cause the market price of our securities to drop significantly, even if our business is doing well.</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the holders of a large number of our Class A common stock intend to sell shares, could reduce the market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price of our Class A common stock. As of September 30, 2023, we had 180,104,022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spacing w:after="0" w:line="1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spacing w:after="0" w:line="13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71" w:lineRule="exact"/>
        <w:rPr>
          <w:rFonts w:ascii="Arial" w:cs="Arial" w:eastAsia="Arial" w:hAnsi="Arial"/>
          <w:sz w:val="18"/>
          <w:szCs w:val="18"/>
          <w:color w:val="auto"/>
        </w:rPr>
      </w:pPr>
    </w:p>
    <w:p>
      <w:pPr>
        <w:ind w:left="660" w:right="340" w:hanging="328"/>
        <w:spacing w:after="0" w:line="31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Bylaws; and</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Our stockholders will not be deemed to have waived our compliance with the federal securities laws and the regulations promulgated thereunder.</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March 26, 2021, Khosla Ventures Acquisition Co. II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Simultaneously with the consummation of the initial public offering, KVSB consummated a private placement of 1,100,000 private placement shares, at a price of $10.00 per share, to Khosla Ventures SPAC Sponsor II LLC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31, 2022, our Board of Directors authorized and approved the Share Repurchase Program to repurchase up to $100.0 million in aggregate of our Class A common stock, with the authorization to expire on June 30, 2024. We did not repurchase or retire any shares of Class A common stock during the three and nine months ended September 30, 2023. As of September 30, 2023, we had $22.8 million available for future share repurchases under the Share Repurchase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Incorporated by Reference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20" w:type="dxa"/>
            <w:vAlign w:val="bottom"/>
            <w:gridSpan w:val="9"/>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gridSpan w:val="9"/>
            <w:vMerge w:val="continue"/>
          </w:tcPr>
          <w:p>
            <w:pPr>
              <w:spacing w:after="0"/>
              <w:rPr>
                <w:sz w:val="16"/>
                <w:szCs w:val="16"/>
                <w:color w:val="auto"/>
              </w:rPr>
            </w:pP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Form</w:t>
            </w:r>
          </w:p>
        </w:tc>
        <w:tc>
          <w:tcPr>
            <w:tcW w:w="1740" w:type="dxa"/>
            <w:vAlign w:val="bottom"/>
            <w:gridSpan w:val="3"/>
          </w:tcPr>
          <w:p>
            <w:pPr>
              <w:ind w:left="340"/>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ind w:left="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gridSpan w:val="9"/>
          </w:tcPr>
          <w:p>
            <w:pPr>
              <w:spacing w:after="0" w:line="189" w:lineRule="exact"/>
              <w:rPr>
                <w:sz w:val="20"/>
                <w:szCs w:val="20"/>
                <w:color w:val="auto"/>
              </w:rPr>
            </w:pPr>
            <w:r>
              <w:rPr>
                <w:rFonts w:ascii="Arial" w:cs="Arial" w:eastAsia="Arial" w:hAnsi="Arial"/>
                <w:sz w:val="18"/>
                <w:szCs w:val="18"/>
                <w:color w:val="0000FF"/>
                <w:w w:val="95"/>
              </w:rPr>
              <w:t>Certification of Principal Executive Officer pursuant to</w:t>
            </w: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89"/>
              </w:rPr>
              <w:t>Rule 13a-14(a) and 15d-14(a) under the Exchange Act,</w:t>
            </w:r>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3"/>
              </w:rPr>
              <w:t>as adopted pursuant to Section 302 of the Sarbanes-</w:t>
            </w: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Oxley Act of 2002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0000FF"/>
                <w:w w:val="98"/>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8"/>
              </w:rPr>
              <w:t>Rule 13a-14(a) and 15d-14(a) under the Exchange Act,</w:t>
            </w: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3"/>
              </w:rPr>
              <w:t>as adopted pursuant to Section 302 of the Sarbanes-</w:t>
            </w: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3"/>
                <w:szCs w:val="23"/>
                <w:color w:val="auto"/>
                <w:vertAlign w:val="superscript"/>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Oxley Act of 2002</w:t>
            </w:r>
          </w:p>
        </w:tc>
        <w:tc>
          <w:tcPr>
            <w:tcW w:w="22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0000FF"/>
                <w:w w:val="97"/>
              </w:rPr>
              <w:t>Certification of Principal Executive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89"/>
              </w:rPr>
              <w:t>18 U.S.C. Section 1350 as adopted pursuant to Section</w:t>
            </w:r>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3"/>
                <w:szCs w:val="23"/>
                <w:color w:val="auto"/>
                <w:vertAlign w:val="superscript"/>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0"/>
              </w:rPr>
              <w:t>906 of the Sarbanes-Oxley Act of 2002</w:t>
            </w:r>
          </w:p>
        </w:tc>
        <w:tc>
          <w:tcPr>
            <w:tcW w:w="1100" w:type="dxa"/>
            <w:vAlign w:val="bottom"/>
            <w:tcBorders>
              <w:top w:val="single" w:sz="8" w:color="0000FF"/>
            </w:tcBorders>
            <w:gridSpan w:val="3"/>
          </w:tcPr>
          <w:p>
            <w:pPr>
              <w:spacing w:after="0"/>
              <w:rPr>
                <w:sz w:val="14"/>
                <w:szCs w:val="14"/>
                <w:color w:val="auto"/>
              </w:rPr>
            </w:pPr>
          </w:p>
        </w:tc>
        <w:tc>
          <w:tcPr>
            <w:tcW w:w="22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0000FF"/>
                <w:w w:val="98"/>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8"/>
              </w:rPr>
              <w:t>18 U.S.C. Section 1350 as adopted pursuant to Section</w:t>
            </w:r>
          </w:p>
        </w:tc>
        <w:tc>
          <w:tcPr>
            <w:tcW w:w="24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906 of the Sarbanes-Oxley Act of 2002</w:t>
            </w:r>
          </w:p>
        </w:tc>
        <w:tc>
          <w:tcPr>
            <w:tcW w:w="22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28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1340" w:type="dxa"/>
            <w:vAlign w:val="bottom"/>
            <w:gridSpan w:val="8"/>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w w:val="96"/>
              </w:rPr>
              <w:t>Inline XBRL Taxonomy Extension Schema 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101.CAL*</w:t>
            </w:r>
          </w:p>
        </w:tc>
        <w:tc>
          <w:tcPr>
            <w:tcW w:w="20" w:type="dxa"/>
            <w:vAlign w:val="bottom"/>
          </w:tcPr>
          <w:p>
            <w:pPr>
              <w:spacing w:after="0"/>
              <w:rPr>
                <w:sz w:val="15"/>
                <w:szCs w:val="15"/>
                <w:color w:val="auto"/>
              </w:rPr>
            </w:pPr>
          </w:p>
        </w:tc>
        <w:tc>
          <w:tcPr>
            <w:tcW w:w="416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101.DEF*</w:t>
            </w:r>
          </w:p>
        </w:tc>
        <w:tc>
          <w:tcPr>
            <w:tcW w:w="20" w:type="dxa"/>
            <w:vAlign w:val="bottom"/>
          </w:tcPr>
          <w:p>
            <w:pPr>
              <w:spacing w:after="0"/>
              <w:rPr>
                <w:sz w:val="16"/>
                <w:szCs w:val="16"/>
                <w:color w:val="auto"/>
              </w:rPr>
            </w:pPr>
          </w:p>
        </w:tc>
        <w:tc>
          <w:tcPr>
            <w:tcW w:w="4160" w:type="dxa"/>
            <w:vAlign w:val="bottom"/>
            <w:gridSpan w:val="10"/>
          </w:tcPr>
          <w:p>
            <w:pPr>
              <w:spacing w:after="0" w:line="189" w:lineRule="exact"/>
              <w:rPr>
                <w:sz w:val="20"/>
                <w:szCs w:val="20"/>
                <w:color w:val="auto"/>
              </w:rPr>
            </w:pPr>
            <w:r>
              <w:rPr>
                <w:rFonts w:ascii="Arial" w:cs="Arial" w:eastAsia="Arial" w:hAnsi="Arial"/>
                <w:sz w:val="18"/>
                <w:szCs w:val="18"/>
                <w:color w:val="auto"/>
                <w:w w:val="97"/>
              </w:rPr>
              <w:t>Inline XBRL Taxonomy Extension Definition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101.LAB*</w:t>
            </w:r>
          </w:p>
        </w:tc>
        <w:tc>
          <w:tcPr>
            <w:tcW w:w="20" w:type="dxa"/>
            <w:vAlign w:val="bottom"/>
          </w:tcPr>
          <w:p>
            <w:pPr>
              <w:spacing w:after="0"/>
              <w:rPr>
                <w:sz w:val="16"/>
                <w:szCs w:val="16"/>
                <w:color w:val="auto"/>
              </w:rPr>
            </w:pPr>
          </w:p>
        </w:tc>
        <w:tc>
          <w:tcPr>
            <w:tcW w:w="4160" w:type="dxa"/>
            <w:vAlign w:val="bottom"/>
            <w:gridSpan w:val="10"/>
          </w:tcPr>
          <w:p>
            <w:pPr>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101.PRE*</w:t>
            </w:r>
          </w:p>
        </w:tc>
        <w:tc>
          <w:tcPr>
            <w:tcW w:w="20" w:type="dxa"/>
            <w:vAlign w:val="bottom"/>
          </w:tcPr>
          <w:p>
            <w:pPr>
              <w:spacing w:after="0"/>
              <w:rPr>
                <w:sz w:val="16"/>
                <w:szCs w:val="16"/>
                <w:color w:val="auto"/>
              </w:rPr>
            </w:pPr>
          </w:p>
        </w:tc>
        <w:tc>
          <w:tcPr>
            <w:tcW w:w="4160" w:type="dxa"/>
            <w:vAlign w:val="bottom"/>
            <w:gridSpan w:val="10"/>
          </w:tcPr>
          <w:p>
            <w:pPr>
              <w:spacing w:after="0" w:line="189" w:lineRule="exact"/>
              <w:rPr>
                <w:sz w:val="20"/>
                <w:szCs w:val="20"/>
                <w:color w:val="auto"/>
              </w:rPr>
            </w:pPr>
            <w:r>
              <w:rPr>
                <w:rFonts w:ascii="Arial" w:cs="Arial" w:eastAsia="Arial" w:hAnsi="Arial"/>
                <w:sz w:val="18"/>
                <w:szCs w:val="18"/>
                <w:color w:val="auto"/>
              </w:rPr>
              <w:t>Inline XBRL Taxonomy Extension Presentation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10"/>
          </w:tcPr>
          <w:p>
            <w:pPr>
              <w:spacing w:after="0" w:line="189" w:lineRule="exact"/>
              <w:rPr>
                <w:sz w:val="20"/>
                <w:szCs w:val="20"/>
                <w:color w:val="auto"/>
              </w:rPr>
            </w:pPr>
            <w:r>
              <w:rPr>
                <w:rFonts w:ascii="Arial" w:cs="Arial" w:eastAsia="Arial" w:hAnsi="Arial"/>
                <w:sz w:val="18"/>
                <w:szCs w:val="18"/>
                <w:color w:val="auto"/>
                <w:w w:val="98"/>
              </w:rPr>
              <w:t>Cover Page Interactive Date File (formatted in iXBRL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and contained in Exhibit 101)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4"/>
                <w:szCs w:val="14"/>
                <w:color w:val="auto"/>
              </w:rPr>
              <w:t>_____________</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6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83" w:lineRule="auto"/>
        <w:tabs>
          <w:tab w:leader="none" w:pos="2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NEXTDOOR HOLDINGS, INC.</w:t>
      </w:r>
    </w:p>
    <w:p>
      <w:pPr>
        <w:spacing w:after="0" w:line="256"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Friar</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Sarah Friar</w:t>
            </w:r>
          </w:p>
        </w:tc>
        <w:tc>
          <w:tcPr>
            <w:tcW w:w="0" w:type="dxa"/>
            <w:vAlign w:val="bottom"/>
          </w:tcPr>
          <w:p>
            <w:pPr>
              <w:spacing w:after="0"/>
              <w:rPr>
                <w:sz w:val="1"/>
                <w:szCs w:val="1"/>
                <w:color w:val="auto"/>
              </w:rPr>
            </w:pPr>
          </w:p>
        </w:tc>
      </w:tr>
      <w:tr>
        <w:trPr>
          <w:trHeight w:val="176"/>
        </w:trPr>
        <w:tc>
          <w:tcPr>
            <w:tcW w:w="64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line="176" w:lineRule="exact"/>
              <w:rPr>
                <w:sz w:val="20"/>
                <w:szCs w:val="20"/>
                <w:color w:val="auto"/>
              </w:rPr>
            </w:pPr>
            <w:r>
              <w:rPr>
                <w:rFonts w:ascii="Arial" w:cs="Arial" w:eastAsia="Arial" w:hAnsi="Arial"/>
                <w:sz w:val="18"/>
                <w:szCs w:val="18"/>
                <w:color w:val="auto"/>
                <w:w w:val="97"/>
              </w:rPr>
              <w:t>Chief Executive Officer, President and Chairperson of the</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4520" w:type="dxa"/>
            <w:vAlign w:val="bottom"/>
          </w:tcPr>
          <w:p>
            <w:pPr>
              <w:ind w:left="20"/>
              <w:spacing w:after="0" w:line="189" w:lineRule="exact"/>
              <w:rPr>
                <w:sz w:val="20"/>
                <w:szCs w:val="20"/>
                <w:color w:val="auto"/>
              </w:rPr>
            </w:pPr>
            <w:r>
              <w:rPr>
                <w:rFonts w:ascii="Arial" w:cs="Arial" w:eastAsia="Arial" w:hAnsi="Arial"/>
                <w:sz w:val="18"/>
                <w:szCs w:val="18"/>
                <w:color w:val="auto"/>
              </w:rPr>
              <w:t>Board of Directors</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3"/>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ind w:left="20"/>
              <w:spacing w:after="0"/>
              <w:rPr>
                <w:sz w:val="20"/>
                <w:szCs w:val="20"/>
                <w:color w:val="auto"/>
              </w:rPr>
            </w:pPr>
            <w:r>
              <w:rPr>
                <w:rFonts w:ascii="Arial" w:cs="Arial" w:eastAsia="Arial" w:hAnsi="Arial"/>
                <w:sz w:val="18"/>
                <w:szCs w:val="18"/>
                <w:color w:val="auto"/>
              </w:rPr>
              <w:t>/s/ Michael Doyle</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40" w:type="dxa"/>
            <w:vAlign w:val="bottom"/>
            <w:vMerge w:val="continue"/>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Michael Doyle</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AND 15D-14(A) UNDER THE EXCHANGE ACT,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Sarah Friar, certify that:</w:t>
      </w:r>
    </w:p>
    <w:p>
      <w:pPr>
        <w:spacing w:after="0" w:line="25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Nextdoor Holdings, Inc. (the “registrant”);</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2023</w:t>
      </w:r>
    </w:p>
    <w:p>
      <w:pPr>
        <w:spacing w:after="0" w:line="77" w:lineRule="exact"/>
        <w:rPr>
          <w:sz w:val="20"/>
          <w:szCs w:val="20"/>
          <w:color w:val="auto"/>
        </w:rPr>
      </w:pPr>
    </w:p>
    <w:p>
      <w:pPr>
        <w:ind w:left="7440"/>
        <w:spacing w:after="0"/>
        <w:tabs>
          <w:tab w:leader="none" w:pos="790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31750</wp:posOffset>
            </wp:positionV>
            <wp:extent cx="21170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Sarah Friar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Chief Executive Officer, President and Chairperson</w:t>
      </w:r>
    </w:p>
    <w:p>
      <w:pPr>
        <w:spacing w:after="0" w:line="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of the Board of Directors</w:t>
      </w:r>
    </w:p>
    <w:p>
      <w:pPr>
        <w:sectPr>
          <w:pgSz w:w="11900" w:h="16838" w:orient="portrait"/>
          <w:cols w:equalWidth="0" w:num="1">
            <w:col w:w="11240"/>
          </w:cols>
          <w:pgMar w:left="320" w:top="37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color w:val="201F1E"/>
        </w:rPr>
        <w:t>Michael Doyle</w:t>
      </w:r>
      <w:r>
        <w:rPr>
          <w:rFonts w:ascii="Arial" w:cs="Arial" w:eastAsia="Arial" w:hAnsi="Arial"/>
          <w:sz w:val="18"/>
          <w:szCs w:val="18"/>
          <w:color w:val="auto"/>
        </w:rPr>
        <w:t>, certify that:</w:t>
      </w:r>
    </w:p>
    <w:p>
      <w:pPr>
        <w:spacing w:after="0" w:line="25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Nextdoor Holdings, Inc. (the “registrant”);</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5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2023</w:t>
      </w:r>
    </w:p>
    <w:p>
      <w:pPr>
        <w:ind w:left="7200"/>
        <w:spacing w:after="0" w:line="189" w:lineRule="auto"/>
        <w:tabs>
          <w:tab w:leader="none" w:pos="7640" w:val="left"/>
        </w:tabs>
        <w:rPr>
          <w:sz w:val="20"/>
          <w:szCs w:val="20"/>
          <w:color w:val="auto"/>
        </w:rPr>
      </w:pPr>
      <w:r>
        <w:rPr>
          <w:rFonts w:ascii="Arial" w:cs="Arial" w:eastAsia="Arial" w:hAnsi="Arial"/>
          <w:sz w:val="28"/>
          <w:szCs w:val="28"/>
          <w:color w:val="auto"/>
          <w:vertAlign w:val="subscript"/>
        </w:rPr>
        <w:t>By:</w:t>
      </w:r>
      <w:r>
        <w:rPr>
          <w:sz w:val="20"/>
          <w:szCs w:val="20"/>
          <w:color w:val="auto"/>
        </w:rPr>
        <w:tab/>
      </w:r>
      <w:r>
        <w:rPr>
          <w:rFonts w:ascii="Arial" w:cs="Arial" w:eastAsia="Arial" w:hAnsi="Arial"/>
          <w:sz w:val="15"/>
          <w:szCs w:val="15"/>
          <w:i w:val="1"/>
          <w:iCs w:val="1"/>
          <w:color w:val="auto"/>
        </w:rPr>
        <w:t xml:space="preserve">/s/ </w:t>
      </w:r>
      <w:r>
        <w:rPr>
          <w:rFonts w:ascii="Arial" w:cs="Arial" w:eastAsia="Arial" w:hAnsi="Arial"/>
          <w:sz w:val="15"/>
          <w:szCs w:val="15"/>
          <w:i w:val="1"/>
          <w:iCs w:val="1"/>
          <w:color w:val="201F1E"/>
        </w:rPr>
        <w:t>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93980</wp:posOffset>
            </wp:positionV>
            <wp:extent cx="22117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28" w:lineRule="exact"/>
        <w:rPr>
          <w:sz w:val="20"/>
          <w:szCs w:val="20"/>
          <w:color w:val="auto"/>
        </w:rPr>
      </w:pPr>
    </w:p>
    <w:p>
      <w:pPr>
        <w:ind w:left="7200"/>
        <w:spacing w:after="0"/>
        <w:rPr>
          <w:sz w:val="20"/>
          <w:szCs w:val="20"/>
          <w:color w:val="auto"/>
        </w:rPr>
      </w:pPr>
      <w:r>
        <w:rPr>
          <w:rFonts w:ascii="Arial" w:cs="Arial" w:eastAsia="Arial" w:hAnsi="Arial"/>
          <w:sz w:val="18"/>
          <w:szCs w:val="18"/>
          <w:color w:val="201F1E"/>
        </w:rPr>
        <w:t>Michael Doyle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40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right="40"/>
        <w:spacing w:after="0" w:line="313"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20"/>
        <w:spacing w:after="0" w:line="296" w:lineRule="auto"/>
        <w:rPr>
          <w:sz w:val="20"/>
          <w:szCs w:val="20"/>
          <w:color w:val="auto"/>
        </w:rPr>
      </w:pPr>
      <w:r>
        <w:rPr>
          <w:rFonts w:ascii="Arial" w:cs="Arial" w:eastAsia="Arial" w:hAnsi="Arial"/>
          <w:sz w:val="18"/>
          <w:szCs w:val="18"/>
          <w:color w:val="auto"/>
        </w:rPr>
        <w:t>In connection with the Quarterly Report of Nextdoor Holdings, Inc. (the “Company”) on Form 10-Q for the quarter ended September 30, 2023,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4"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2023</w:t>
      </w:r>
    </w:p>
    <w:p>
      <w:pPr>
        <w:spacing w:after="0" w:line="115" w:lineRule="exact"/>
        <w:rPr>
          <w:sz w:val="20"/>
          <w:szCs w:val="20"/>
          <w:color w:val="auto"/>
        </w:rPr>
      </w:pPr>
    </w:p>
    <w:p>
      <w:pPr>
        <w:ind w:left="7200"/>
        <w:spacing w:after="0"/>
        <w:tabs>
          <w:tab w:leader="none" w:pos="7640" w:val="left"/>
        </w:tabs>
        <w:rPr>
          <w:sz w:val="20"/>
          <w:szCs w:val="20"/>
          <w:color w:val="auto"/>
        </w:rPr>
      </w:pPr>
      <w:r>
        <w:rPr>
          <w:rFonts w:ascii="Arial" w:cs="Arial" w:eastAsia="Arial" w:hAnsi="Arial"/>
          <w:sz w:val="36"/>
          <w:szCs w:val="36"/>
          <w:color w:val="auto"/>
          <w:vertAlign w:val="subscript"/>
        </w:rPr>
        <w:t>By:</w:t>
      </w:r>
      <w:r>
        <w:rPr>
          <w:sz w:val="20"/>
          <w:szCs w:val="20"/>
          <w:color w:val="auto"/>
        </w:rPr>
        <w:tab/>
      </w:r>
      <w:r>
        <w:rPr>
          <w:rFonts w:ascii="Arial" w:cs="Arial" w:eastAsia="Arial" w:hAnsi="Arial"/>
          <w:sz w:val="22"/>
          <w:szCs w:val="22"/>
          <w:color w:val="auto"/>
        </w:rPr>
        <w:t xml:space="preserve">/s/ </w:t>
      </w:r>
      <w:r>
        <w:rPr>
          <w:rFonts w:ascii="Arial" w:cs="Arial" w:eastAsia="Arial" w:hAnsi="Arial"/>
          <w:sz w:val="17"/>
          <w:szCs w:val="17"/>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124460</wp:posOffset>
            </wp:positionV>
            <wp:extent cx="16459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Sarah Friar</w:t>
      </w:r>
    </w:p>
    <w:p>
      <w:pPr>
        <w:spacing w:after="0" w:line="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President and</w:t>
      </w:r>
    </w:p>
    <w:p>
      <w:pPr>
        <w:ind w:left="7200"/>
        <w:spacing w:after="0"/>
        <w:rPr>
          <w:sz w:val="20"/>
          <w:szCs w:val="20"/>
          <w:color w:val="auto"/>
        </w:rPr>
      </w:pPr>
      <w:r>
        <w:rPr>
          <w:rFonts w:ascii="Arial" w:cs="Arial" w:eastAsia="Arial" w:hAnsi="Arial"/>
          <w:sz w:val="18"/>
          <w:szCs w:val="18"/>
          <w:color w:val="auto"/>
        </w:rPr>
        <w:t>Chairperson of the Board of Directors</w:t>
      </w:r>
    </w:p>
    <w:p>
      <w:pPr>
        <w:sectPr>
          <w:pgSz w:w="11900" w:h="16838" w:orient="portrait"/>
          <w:cols w:equalWidth="0" w:num="1">
            <w:col w:w="11240"/>
          </w:cols>
          <w:pgMar w:left="320" w:top="40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313"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220"/>
        <w:spacing w:after="0" w:line="348" w:lineRule="auto"/>
        <w:rPr>
          <w:sz w:val="20"/>
          <w:szCs w:val="20"/>
          <w:color w:val="auto"/>
        </w:rPr>
      </w:pPr>
      <w:r>
        <w:rPr>
          <w:rFonts w:ascii="Arial" w:cs="Arial" w:eastAsia="Arial" w:hAnsi="Arial"/>
          <w:sz w:val="18"/>
          <w:szCs w:val="18"/>
          <w:color w:val="auto"/>
        </w:rPr>
        <w:t>In connection with the Quarterly Report of Nextdoor Holdings, Inc. (the “Company”) on Form 10-Q for the quarter ended September 30, 2023,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76"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06" w:lineRule="exact"/>
        <w:rPr>
          <w:rFonts w:ascii="Arial" w:cs="Arial" w:eastAsia="Arial" w:hAnsi="Arial"/>
          <w:sz w:val="18"/>
          <w:szCs w:val="18"/>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2023</w:t>
      </w:r>
    </w:p>
    <w:p>
      <w:pPr>
        <w:spacing w:after="0" w:line="293" w:lineRule="exact"/>
        <w:rPr>
          <w:sz w:val="20"/>
          <w:szCs w:val="20"/>
          <w:color w:val="auto"/>
        </w:rPr>
      </w:pPr>
    </w:p>
    <w:p>
      <w:pPr>
        <w:ind w:left="722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18942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Michael Doyle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240"/>
      </w:cols>
      <w:pgMar w:left="320" w:top="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2023-11-07T15:38:20Z</dcterms:created>
  <dcterms:modified xsi:type="dcterms:W3CDTF">2023-11-07T15:38:20Z</dcterms:modified>
</cp:coreProperties>
</file>