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Khosla Ventures Acquisition Co. II</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86-1776836</w:t>
      </w:r>
    </w:p>
    <w:p>
      <w:pPr>
        <w:spacing w:after="0" w:line="31" w:lineRule="exact"/>
        <w:rPr>
          <w:sz w:val="24"/>
          <w:szCs w:val="24"/>
          <w:color w:val="auto"/>
        </w:rPr>
      </w:pPr>
    </w:p>
    <w:p>
      <w:pPr>
        <w:sectPr>
          <w:pgSz w:w="11900" w:h="16838" w:orient="portrait"/>
          <w:cols w:equalWidth="0" w:num="3">
            <w:col w:w="4620" w:space="720"/>
            <w:col w:w="2880" w:space="720"/>
            <w:col w:w="2200"/>
          </w:cols>
          <w:pgMar w:left="320" w:top="230" w:right="439" w:bottom="0" w:gutter="0" w:footer="0" w:header="0"/>
          <w:type w:val="continuous"/>
        </w:sectPr>
      </w:pPr>
    </w:p>
    <w:p>
      <w:pPr>
        <w:spacing w:after="0" w:line="12" w:lineRule="exact"/>
        <w:rPr>
          <w:sz w:val="24"/>
          <w:szCs w:val="24"/>
          <w:color w:val="auto"/>
        </w:rPr>
      </w:pPr>
    </w:p>
    <w:p>
      <w:pPr>
        <w:jc w:val="center"/>
        <w:ind w:right="640"/>
        <w:spacing w:after="0"/>
        <w:rPr>
          <w:sz w:val="20"/>
          <w:szCs w:val="20"/>
          <w:color w:val="auto"/>
        </w:rPr>
      </w:pPr>
      <w:r>
        <w:rPr>
          <w:rFonts w:ascii="Arial" w:cs="Arial" w:eastAsia="Arial" w:hAnsi="Arial"/>
          <w:sz w:val="13"/>
          <w:szCs w:val="13"/>
          <w:b w:val="1"/>
          <w:bCs w:val="1"/>
          <w:color w:val="auto"/>
        </w:rPr>
        <w:t>(State or other jurisdiction of</w:t>
      </w:r>
    </w:p>
    <w:p>
      <w:pPr>
        <w:jc w:val="center"/>
        <w:ind w:right="6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760" w:space="720"/>
            <w:col w:w="2340"/>
          </w:cols>
          <w:pgMar w:left="320" w:top="230" w:right="439" w:bottom="0" w:gutter="0" w:footer="0" w:header="0"/>
          <w:type w:val="continuous"/>
        </w:sectPr>
      </w:pP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2128 Sand Hill Road</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7"/>
          <w:szCs w:val="17"/>
          <w:b w:val="1"/>
          <w:bCs w:val="1"/>
          <w:color w:val="auto"/>
        </w:rPr>
        <w:t>Menlo Park, California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94025</w:t>
      </w:r>
    </w:p>
    <w:p>
      <w:pPr>
        <w:spacing w:after="0" w:line="61" w:lineRule="exact"/>
        <w:rPr>
          <w:sz w:val="24"/>
          <w:szCs w:val="24"/>
          <w:color w:val="auto"/>
        </w:rPr>
      </w:pPr>
    </w:p>
    <w:p>
      <w:pPr>
        <w:sectPr>
          <w:pgSz w:w="11900" w:h="16838" w:orient="portrait"/>
          <w:cols w:equalWidth="0" w:num="2">
            <w:col w:w="7520" w:space="720"/>
            <w:col w:w="2900"/>
          </w:cols>
          <w:pgMar w:left="320" w:top="230" w:right="439" w:bottom="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00" w:space="720"/>
            <w:col w:w="3020"/>
          </w:cols>
          <w:pgMar w:left="320" w:top="230" w:right="439" w:bottom="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(650) 376-8500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type w:val="continuous"/>
        </w:sectPr>
      </w:pP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KVSB</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140"/>
          </w:cols>
          <w:pgMar w:left="320" w:top="230" w:right="439" w:bottom="0" w:gutter="0" w:footer="0" w:header="0"/>
          <w:type w:val="continuous"/>
        </w:sectPr>
      </w:pPr>
    </w:p>
    <w:bookmarkStart w:id="1" w:name="page2"/>
    <w:bookmarkEnd w:id="1"/>
    <w:p>
      <w:pPr>
        <w:spacing w:after="0" w:line="342" w:lineRule="auto"/>
        <w:rPr>
          <w:sz w:val="20"/>
          <w:szCs w:val="20"/>
          <w:color w:val="auto"/>
        </w:rPr>
      </w:pPr>
      <w:r>
        <w:rPr>
          <w:rFonts w:ascii="Arial" w:cs="Arial" w:eastAsia="Arial" w:hAnsi="Arial"/>
          <w:sz w:val="16"/>
          <w:szCs w:val="16"/>
          <w:color w:val="auto"/>
        </w:rPr>
        <w:t>As of November 3, 2021, 42,767,100 shares of Class A common stock, par value $0.0001 per share, 5,000,000 shares of Class B common stock, par value $0.0001 per share, and 5,000,000 shares of Class K common stock, par value $0.0001 per share were issued and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80"/>
          </w:cols>
          <w:pgMar w:left="440" w:top="125" w:right="7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KHOSLA VENTURES ACQUISITION CO. II</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Page No.</w:t>
            </w:r>
          </w:p>
        </w:tc>
      </w:tr>
      <w:tr>
        <w:trPr>
          <w:trHeight w:val="190"/>
        </w:trPr>
        <w:tc>
          <w:tcPr>
            <w:tcW w:w="2880" w:type="dxa"/>
            <w:vAlign w:val="bottom"/>
            <w:tcBorders>
              <w:bottom w:val="single" w:sz="8" w:color="0000EE"/>
            </w:tcBorders>
            <w:gridSpan w:val="10"/>
          </w:tcPr>
          <w:p>
            <w:pPr>
              <w:spacing w:after="0" w:line="190"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7360" w:type="dxa"/>
            <w:vAlign w:val="bottom"/>
            <w:gridSpan w:val="11"/>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76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960" w:type="dxa"/>
            <w:vAlign w:val="bottom"/>
          </w:tcPr>
          <w:p>
            <w:pPr>
              <w:spacing w:after="0"/>
              <w:rPr>
                <w:sz w:val="24"/>
                <w:szCs w:val="24"/>
                <w:color w:val="auto"/>
              </w:rPr>
            </w:pPr>
          </w:p>
        </w:tc>
        <w:tc>
          <w:tcPr>
            <w:tcW w:w="45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Balance Sheet as of September 30, 2021</w:t>
              </w:r>
            </w:hyperlink>
          </w:p>
        </w:tc>
        <w:tc>
          <w:tcPr>
            <w:tcW w:w="472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960" w:type="dxa"/>
            <w:vAlign w:val="bottom"/>
          </w:tcPr>
          <w:p>
            <w:pPr>
              <w:spacing w:after="0"/>
              <w:rPr>
                <w:sz w:val="24"/>
                <w:szCs w:val="24"/>
                <w:color w:val="auto"/>
              </w:rPr>
            </w:pPr>
          </w:p>
        </w:tc>
        <w:tc>
          <w:tcPr>
            <w:tcW w:w="91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Statements of Operations for the period from January 29, 2021 (inception) through September 30, 2021</w:t>
              </w:r>
            </w:hyperlink>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60" w:type="dxa"/>
            <w:vAlign w:val="bottom"/>
          </w:tcPr>
          <w:p>
            <w:pPr>
              <w:spacing w:after="0"/>
              <w:rPr>
                <w:sz w:val="24"/>
                <w:szCs w:val="24"/>
                <w:color w:val="auto"/>
              </w:rPr>
            </w:pPr>
          </w:p>
        </w:tc>
        <w:tc>
          <w:tcPr>
            <w:tcW w:w="9280" w:type="dxa"/>
            <w:vAlign w:val="bottom"/>
            <w:gridSpan w:val="20"/>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Statement of Common Stock Subject to Possible Redemption and Changes in Stockholders’ Deficit for</w:t>
              </w:r>
            </w:hyperlink>
          </w:p>
        </w:tc>
        <w:tc>
          <w:tcPr>
            <w:tcW w:w="72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the period from January 29, 2021 (inception) through September 30, 2021</w:t>
              </w:r>
            </w:hyperlink>
          </w:p>
        </w:tc>
        <w:tc>
          <w:tcPr>
            <w:tcW w:w="3720" w:type="dxa"/>
            <w:vAlign w:val="bottom"/>
            <w:tcBorders>
              <w:top w:val="single" w:sz="8" w:color="0000EE"/>
            </w:tcBorders>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960" w:type="dxa"/>
            <w:vAlign w:val="bottom"/>
          </w:tcPr>
          <w:p>
            <w:pPr>
              <w:spacing w:after="0"/>
              <w:rPr>
                <w:sz w:val="24"/>
                <w:szCs w:val="24"/>
                <w:color w:val="auto"/>
              </w:rPr>
            </w:pPr>
          </w:p>
        </w:tc>
        <w:tc>
          <w:tcPr>
            <w:tcW w:w="90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Statement of Cash Flows for the period from January 29, 2021 (inception) through September 30, 2021</w:t>
              </w:r>
            </w:hyperlink>
          </w:p>
        </w:tc>
        <w:tc>
          <w:tcPr>
            <w:tcW w:w="2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960" w:type="dxa"/>
            <w:vAlign w:val="bottom"/>
          </w:tcPr>
          <w:p>
            <w:pPr>
              <w:spacing w:after="0"/>
              <w:rPr>
                <w:sz w:val="24"/>
                <w:szCs w:val="24"/>
                <w:color w:val="auto"/>
              </w:rPr>
            </w:pPr>
          </w:p>
        </w:tc>
        <w:tc>
          <w:tcPr>
            <w:tcW w:w="928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282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50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24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600" w:type="dxa"/>
            <w:vAlign w:val="bottom"/>
            <w:tcBorders>
              <w:top w:val="single" w:sz="8" w:color="0000EE"/>
            </w:tcBorders>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68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7940" w:type="dxa"/>
            <w:vAlign w:val="bottom"/>
            <w:gridSpan w:val="1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492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Defaults Upon Senior Securities</w:t>
              </w:r>
            </w:hyperlink>
          </w:p>
        </w:tc>
        <w:tc>
          <w:tcPr>
            <w:tcW w:w="694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Mine Safety Disclosures</w:t>
              </w:r>
            </w:hyperlink>
          </w:p>
        </w:tc>
        <w:tc>
          <w:tcPr>
            <w:tcW w:w="750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28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796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SIGNATURES</w:t>
              </w:r>
            </w:hyperlink>
          </w:p>
        </w:tc>
        <w:tc>
          <w:tcPr>
            <w:tcW w:w="9140" w:type="dxa"/>
            <w:vAlign w:val="bottom"/>
            <w:gridSpan w:val="1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1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PART 1 — FINANCIAL INFORMATION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Item 1 — Financial Statements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rPr>
              <w:t>KHOSLA VENTURES ACQUISITION CO. II</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AS OF SEPTEMBER 30, 2021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572,360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653,393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416,354,760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311,479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7"/>
              </w:rPr>
              <w:t>417,891,992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COMMON STOCK SUBJECT TO POSSIBLE REDEMPTION,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112,528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1,582,370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Advances from related party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underwriting fees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14,572,044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Class K Founder Shares derivative liabilities</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10,300,000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26,717,242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 41,634,412 shares at $10.00 redemption value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416,354,760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900" w:type="dxa"/>
            <w:vAlign w:val="bottom"/>
            <w:gridSpan w:val="2"/>
          </w:tcPr>
          <w:p>
            <w:pPr>
              <w:spacing w:after="0" w:line="201" w:lineRule="exact"/>
              <w:rPr>
                <w:sz w:val="20"/>
                <w:szCs w:val="20"/>
                <w:color w:val="auto"/>
              </w:rPr>
            </w:pPr>
            <w:r>
              <w:rPr>
                <w:rFonts w:ascii="Arial" w:cs="Arial" w:eastAsia="Arial" w:hAnsi="Arial"/>
                <w:sz w:val="18"/>
                <w:szCs w:val="18"/>
                <w:color w:val="auto"/>
                <w:w w:val="93"/>
              </w:rPr>
              <w:t>Class A common stock, $0.0001 par value; 200,000,000 shares authorized; 1,132,688 issued and outstanding (excluding 41,634,412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shares subject to possible redemption)</w:t>
            </w:r>
          </w:p>
        </w:tc>
        <w:tc>
          <w:tcPr>
            <w:tcW w:w="1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 $0.0001 par value; 30,000,000 shares authorized; 5,000,000 shares issued and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(25,180,623)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(25,180,010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Common Stock subject to Possible Redemption,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7"/>
              </w:rPr>
              <w:t>417,891,992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73"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KHOSLA VENTURES ACQUISITION CO.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4"/>
              </w:rPr>
              <w:t>Inception-to-</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0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2,195,939</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2,479,906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(2,245,939)</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(2,654,906)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on derivative classified instrument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(36,537,500)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Gain on marketable securities (net), dividends and interest, held in Trust Account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4,313</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6,250,000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26,250,000</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b w:val="1"/>
                <w:bCs w:val="1"/>
                <w:color w:val="auto"/>
              </w:rPr>
              <w:t>Income (loss) before income tax expense</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4,008,374</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(12,931,766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4,008,374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(12,931,766</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w w:val="92"/>
              </w:rPr>
              <w:t>Weighted average shares outstanding of Class A common stock subject to possible redemption, basic and diluted</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41,634,412</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32,222,812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Basic and diluted net income (loss) per share, Class A common stock subject to possible redemption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A non-redeemable common stock, basic and diluted</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1,132,688</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 Class A non-redeemable common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B non-redeemable common stock, basic and diluted</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5,000,000</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 Class B non-redeemable common stock</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KHOSLA VENTURES ACQUISITION CO. II</w:t>
      </w:r>
    </w:p>
    <w:p>
      <w:pPr>
        <w:jc w:val="center"/>
        <w:ind w:right="-99"/>
        <w:spacing w:after="0" w:line="226" w:lineRule="auto"/>
        <w:rPr>
          <w:sz w:val="20"/>
          <w:szCs w:val="20"/>
          <w:color w:val="auto"/>
        </w:rPr>
      </w:pPr>
      <w:r>
        <w:rPr>
          <w:rFonts w:ascii="Arial" w:cs="Arial" w:eastAsia="Arial" w:hAnsi="Arial"/>
          <w:sz w:val="14"/>
          <w:szCs w:val="14"/>
          <w:b w:val="1"/>
          <w:bCs w:val="1"/>
          <w:color w:val="auto"/>
        </w:rPr>
        <w:t>CONDENSED STATEMENTS OF CHANGES IN COMMON STOCK SUBJECT TO POSSIBLE REDEMPTION AND STOCKHOLDERS’ DEFICIT</w:t>
      </w:r>
    </w:p>
    <w:p>
      <w:pPr>
        <w:jc w:val="center"/>
        <w:ind w:right="-99"/>
        <w:spacing w:after="0"/>
        <w:rPr>
          <w:sz w:val="20"/>
          <w:szCs w:val="20"/>
          <w:color w:val="auto"/>
        </w:rPr>
      </w:pPr>
      <w:r>
        <w:rPr>
          <w:rFonts w:ascii="Arial" w:cs="Arial" w:eastAsia="Arial" w:hAnsi="Arial"/>
          <w:sz w:val="14"/>
          <w:szCs w:val="14"/>
          <w:b w:val="1"/>
          <w:bCs w:val="1"/>
          <w:color w:val="auto"/>
        </w:rPr>
        <w:t>FOR THE PERIOD FROM JANUARY 29, 2021 (INCEPTION) THROUGH SEPTEMBER 30, 2021</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8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Common Stock Subject</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to Possible Redemption</w:t>
            </w: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4"/>
                <w:szCs w:val="14"/>
                <w:color w:val="auto"/>
              </w:rPr>
            </w:pPr>
          </w:p>
        </w:tc>
        <w:tc>
          <w:tcPr>
            <w:tcW w:w="12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14"/>
                <w:szCs w:val="14"/>
                <w:color w:val="auto"/>
              </w:rPr>
            </w:pPr>
          </w:p>
        </w:tc>
        <w:tc>
          <w:tcPr>
            <w:tcW w:w="9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Class B</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line="158"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line="158"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line="158"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29, 2021 (inception)</w:t>
            </w:r>
          </w:p>
        </w:tc>
        <w:tc>
          <w:tcPr>
            <w:tcW w:w="7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Issuance of common stock to Sponsor</w:t>
            </w:r>
          </w:p>
        </w:tc>
        <w:tc>
          <w:tcPr>
            <w:tcW w:w="7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9"/>
              </w:rPr>
              <w:t>5,000,000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Sale of Public Shares, net of $23,576,984 issuance costs</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41,634,412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392,767,136</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Sale of Private Placement Shares</w:t>
            </w:r>
          </w:p>
        </w:tc>
        <w:tc>
          <w:tcPr>
            <w:tcW w:w="7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9"/>
              </w:rPr>
              <w:t>1,132,688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113</w:t>
            </w: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11,326,767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11,326,880</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Accretion of Class A Common Stock to redemption value</w:t>
            </w:r>
          </w:p>
        </w:tc>
        <w:tc>
          <w:tcPr>
            <w:tcW w:w="7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23,576,984</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(11,338,767)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w w:val="93"/>
              </w:rPr>
              <w:t>(12,238,217)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5"/>
              </w:rPr>
              <w:t>(23,576,984)</w:t>
            </w: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w w:val="93"/>
              </w:rPr>
              <w:t>(13,678,611)</w:t>
            </w:r>
          </w:p>
        </w:tc>
        <w:tc>
          <w:tcPr>
            <w:tcW w:w="120" w:type="dxa"/>
            <w:vAlign w:val="bottom"/>
          </w:tcPr>
          <w:p>
            <w:pPr>
              <w:spacing w:after="0"/>
              <w:rPr>
                <w:sz w:val="12"/>
                <w:szCs w:val="12"/>
                <w:color w:val="auto"/>
              </w:rPr>
            </w:pPr>
          </w:p>
        </w:tc>
        <w:tc>
          <w:tcPr>
            <w:tcW w:w="8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w w:val="95"/>
              </w:rPr>
              <w:t>(13,678,611)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 2021 (unaudited)</w:t>
            </w:r>
          </w:p>
        </w:tc>
        <w:tc>
          <w:tcPr>
            <w:tcW w:w="6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8"/>
              </w:rPr>
              <w:t>41,634,412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416,344,120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9"/>
              </w:rPr>
              <w:t>1,132,688</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113</w:t>
            </w:r>
          </w:p>
        </w:tc>
        <w:tc>
          <w:tcPr>
            <w:tcW w:w="6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99"/>
              </w:rPr>
              <w:t>5,000,000</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500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b w:val="1"/>
                <w:bCs w:val="1"/>
                <w:color w:val="auto"/>
                <w:w w:val="93"/>
              </w:rPr>
              <w:t>(25,916,828)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b w:val="1"/>
                <w:bCs w:val="1"/>
                <w:color w:val="auto"/>
                <w:w w:val="95"/>
              </w:rPr>
              <w:t>(25,916,215)</w:t>
            </w: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(3,261,529)</w:t>
            </w:r>
          </w:p>
        </w:tc>
        <w:tc>
          <w:tcPr>
            <w:tcW w:w="120" w:type="dxa"/>
            <w:vAlign w:val="bottom"/>
          </w:tcPr>
          <w:p>
            <w:pPr>
              <w:spacing w:after="0"/>
              <w:rPr>
                <w:sz w:val="12"/>
                <w:szCs w:val="12"/>
                <w:color w:val="auto"/>
              </w:rPr>
            </w:pPr>
          </w:p>
        </w:tc>
        <w:tc>
          <w:tcPr>
            <w:tcW w:w="8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(3,261,529)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June 30, 2021 (audited)</w:t>
            </w:r>
          </w:p>
        </w:tc>
        <w:tc>
          <w:tcPr>
            <w:tcW w:w="6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8"/>
              </w:rPr>
              <w:t>41,634,412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416,344,120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9"/>
              </w:rPr>
              <w:t>1,132,688</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113</w:t>
            </w:r>
          </w:p>
        </w:tc>
        <w:tc>
          <w:tcPr>
            <w:tcW w:w="6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99"/>
              </w:rPr>
              <w:t>5,000,000</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500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b w:val="1"/>
                <w:bCs w:val="1"/>
                <w:color w:val="auto"/>
                <w:w w:val="93"/>
              </w:rPr>
              <w:t>(29,178,357)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b w:val="1"/>
                <w:bCs w:val="1"/>
                <w:color w:val="auto"/>
                <w:w w:val="95"/>
              </w:rPr>
              <w:t>(29,177,744)</w:t>
            </w: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w w:val="98"/>
              </w:rPr>
              <w:t>Accretion of Class A Common Stock to redemption value</w:t>
            </w:r>
          </w:p>
        </w:tc>
        <w:tc>
          <w:tcPr>
            <w:tcW w:w="7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10,640</w:t>
            </w: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(10,640)</w:t>
            </w:r>
          </w:p>
        </w:tc>
        <w:tc>
          <w:tcPr>
            <w:tcW w:w="120" w:type="dxa"/>
            <w:vAlign w:val="bottom"/>
          </w:tcPr>
          <w:p>
            <w:pPr>
              <w:spacing w:after="0"/>
              <w:rPr>
                <w:sz w:val="12"/>
                <w:szCs w:val="12"/>
                <w:color w:val="auto"/>
              </w:rPr>
            </w:pPr>
          </w:p>
        </w:tc>
        <w:tc>
          <w:tcPr>
            <w:tcW w:w="8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(10,640)</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4,008,374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4,008,374</w:t>
            </w: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September 30, 2021 (unaudited)</w:t>
            </w: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8"/>
              </w:rPr>
              <w:t>41,634,412</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416,354,760</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9"/>
              </w:rPr>
              <w:t>1,132,688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w w:val="76"/>
              </w:rPr>
              <w:t>113</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9"/>
              </w:rPr>
              <w:t>5,000,000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w w:val="76"/>
              </w:rPr>
              <w:t>500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(25,180,623</w:t>
            </w:r>
          </w:p>
        </w:tc>
        <w:tc>
          <w:tcPr>
            <w:tcW w:w="180" w:type="dxa"/>
            <w:vAlign w:val="bottom"/>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(25,180,010</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9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rPr>
              <w:t>KHOSLA VENTURES ACQUISITION CO.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w w:val="98"/>
              </w:rPr>
              <w:t>CONDENSED STATEMENT OF CASH 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w w:val="98"/>
              </w:rPr>
              <w:t>FOR THE PERIOD FROM JANUARY 29, 2021 (INCEPTION) THROUGH SEPTEMBER 30, 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(12,931,766)</w:t>
            </w: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Financing expenses on derivative classified instrument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36,537,500</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marketable securities (net), dividends and interest, held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(10,640)</w:t>
            </w: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(26,250,000)</w:t>
            </w: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(964,872)</w:t>
            </w: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1,844,898</w:t>
            </w:r>
          </w:p>
        </w:tc>
        <w:tc>
          <w:tcPr>
            <w:tcW w:w="1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(1,774,880</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Investment of cash into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(416,344,120)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(416,344,120)</w:t>
            </w: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Sponsor contribution for class B and K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Advances from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Public Shares, net of transaction costs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407,339,180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Proceeds from sale of Private Placement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11,326,880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418,691,360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572,360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30"/>
        </w:trPr>
        <w:tc>
          <w:tcPr>
            <w:tcW w:w="1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572,360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Deferred underwriting fees payable</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14,572,044</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73"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KHOSLA VENTURES ACQUISITION CO. 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30,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 — Description of Organization, Business Operations, Going Concern</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Khosla Ventures Acquisition Co. II (the “Company”) is a blank check company incorporated in Delaware on January 29, 2021.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September 30, 2021, the Company had not commenced any operations. All activity for the period from January 29, 2021 (inception) through September 30, 2021 relates to the Company’s formation and Initial Public Offering (the “Initial Public Offering”) and expenses relating to the negotiation and consummation of its proposed initial Business Combination, in each case as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w:t>
      </w:r>
    </w:p>
    <w:p>
      <w:pPr>
        <w:spacing w:after="0" w:line="19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Company’s sponsor is Khosla Ventures SPAC Sponsor II LLC (the “Sponsor”). The Company’s ability to commence operations is contingent upon obtaining adequate financial resources. On March 26, 2021, the Company consummated its Initial Public Offering of 40,000,000 shares of Class A common stock of the Company, par value $0.0001 per share (each, a “Public Share”), excluding additional Public Shares sold pursuant to the partial exercise of the underwriters’ option to purchase additional Public Shares to cover over-allotments. The Public Shares were sold at a price of $10.00 per Public Share, generating gross proceeds to the Company of $400,000,000. On March 26, 2021, the Company’s underwriters exercised in part their option to purchase additional Public Shares in connection with its Initial Public Offering. The underwriters exercised their option to purchase an additional 1,634,412 Public Shares from the Company at a price of $10.00 per share less the underwriting discount. In total, the Company sold 41,634,412 Public Shares in connection with its Initial Public Offering. The Underwriters designated March 30, 2021 as the settlement date for such additional Public Shares pursuant to the Underwriting Agreement.</w:t>
      </w:r>
    </w:p>
    <w:p>
      <w:pPr>
        <w:spacing w:after="0" w:line="18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of 1,100,000 Private Placement Shares at a price of $10.00 per Private Placement Share to the Sponsor, generating proceeds of $11,000,000. In connection with the underwriters’ partial exercise of their over-allotment option, we also consummated the sale of an additional 32,688 Private Placement Shares at $10.00 per Private Placement Share, generating additional proceeds of $326,880. Total gross proceeds from the sale of Private Placement Shares was $11,326,880 as of March 31, 2021.</w:t>
      </w:r>
    </w:p>
    <w:p>
      <w:pPr>
        <w:spacing w:after="0" w:line="15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Following the closing of the Initial Public Offering on March 26, 2021 and the close of underwriters exercise of their overallotment option on March 30, 2021, an amount of $416,334,120 ($10 per Public Share) of the proceeds from the Initial Public Offering, including $14,572,044 of the underwriters’ deferred discount was placed in a U.S.-based Trust Account at Goldman Sachs, maintained by Continental Stock Transfer &amp; Trust Company, LLC, acting as trustee. Except with respect to interest earned on the funds in the Trust Account that may be released to the Company to pay its franchise and income taxes and expenses relating to the administration of the Trust Account, the proceeds from the Initial Public Offering and the Private Placements held in the Trust Account will not be released until the earliest of (a) the completion of the Company’s initial Business Combination,</w:t>
      </w:r>
    </w:p>
    <w:p>
      <w:pPr>
        <w:spacing w:after="0" w:line="4" w:lineRule="exact"/>
        <w:rPr>
          <w:sz w:val="20"/>
          <w:szCs w:val="20"/>
          <w:color w:val="auto"/>
        </w:rPr>
      </w:pPr>
    </w:p>
    <w:p>
      <w:pPr>
        <w:ind w:left="120" w:right="20" w:hanging="4"/>
        <w:spacing w:after="0" w:line="281" w:lineRule="auto"/>
        <w:tabs>
          <w:tab w:leader="none" w:pos="3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redemption of any public shares properly tendered in connection with a stockholder vote to amend the Company’s Amended and Restated Certificate of Incorporation (i) to modify the substance or timing of its obligation to redeem 100% of its public shares if the Company does not complete its initial Business Combination within 24 months from the closing of the Initial Public Offering (March 23, 2023) or 27 months (June 23, 2023), if we have executed a letter of intent, agreement in principle or definitive agreement for an initial Business Combination by March 23, 2023 (the “Combination Period”) or (ii) with respect to any other provisions relating to stockholders’ rights or pre-initial Business Combination activity, and</w:t>
      </w:r>
    </w:p>
    <w:p>
      <w:pPr>
        <w:spacing w:after="0" w:line="2" w:lineRule="exact"/>
        <w:rPr>
          <w:rFonts w:ascii="Arial" w:cs="Arial" w:eastAsia="Arial" w:hAnsi="Arial"/>
          <w:sz w:val="16"/>
          <w:szCs w:val="16"/>
          <w:color w:val="auto"/>
        </w:rPr>
      </w:pPr>
    </w:p>
    <w:p>
      <w:pPr>
        <w:ind w:left="120" w:right="120" w:hanging="4"/>
        <w:spacing w:after="0" w:line="260" w:lineRule="auto"/>
        <w:tabs>
          <w:tab w:leader="none" w:pos="3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redemption of all of the Company’s public shares if it is unable to complete its Business Combination within the Combination Period, subject to applicable law.</w:t>
      </w:r>
    </w:p>
    <w:p>
      <w:pPr>
        <w:spacing w:after="0" w:line="185"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On July 6, 2021, the Company entered into an Agreement and Plan of Merger (the “Merger Agreement”) with Nextdoor, Inc., a Delaware corporation (“Nextdoor”), and Lorelei Merger Sub Inc., a Delaware corporation and a direct wholly owned subsidiary of KVSB (“Merger Sub”).</w:t>
      </w:r>
    </w:p>
    <w:p>
      <w:pPr>
        <w:spacing w:after="0" w:line="12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discounts held in Trust and taxes payable on the income earned on the Trust Account) at the time of the agreement to enter into the initial Business Combination. However, the Company only intends to complete a Business Combination if the post- transaction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company owns or acquires 50% or more of the issued and outstanding voting securities of the target or otherwise acquires a controlling interest in the target sufficient for it not to be required to register as an investment company under the Investment Company Act 1940, as amended (the “Investment Company Act”). Upon the closing of the Initial Public Offering, management has agreed that an amount equal to at least $10.00 per Public Share sold in the Initial Public Offering, including the proceeds from the sale of the private placement shares and the sale of forward purchase shares, will be held in a trust account (“Trust Account”) located in the United States with Continental Stock Transfer &amp; Trust Company acting as trustee, and invested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Company will provide its holders of the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These Public Shares were recorded at a redemption value and classified as temporary equity upon the completion of the Initial Public Offering, in accordance with Accounting Standards Codification (“ASC”)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transaction. If the Company seeks stockholder approval in connection with a Business Combination, the holders of the Founder Shares prior to this Initial Public Offering (the “Initial Stockholders”) have agreed to vote their Founder Shares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 The holders of the Founder Shares (the “initial stockholders”) have agreed not to propose an amendment to the Certificate of Incorporation (A) to modify the substance or timing of the Company’s obligation to allow redemption in connection with a Business Combination or to redeem 100% of the Public Shares if the Company does not complete a Business Combination within the Combination Period or (B)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65"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Company’s stockholders have not amended the Certificate of Incorporation to extend such Combination Period, the Company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the Company to pay its taxes, if any (less up to $100,000 of interest to pay dissolution expenses) divided by the number of the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Going Concern and Liquidity</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As of September 30, 2021, the Company had $572,360 in its cash account, $416,354,760 in securities held in the Trust Account to be used for a Business Combination or to repurchase or redeem its common stock in connection therewith and a working capital deficiency of $619,445. As of September 30, 2021, $10,640 of the amount on deposit in the Trust Account represented interest income, which is available for payment of franchise taxes and expenses in connection with the liquidation of the Trust Account.</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a result of the above, in connection with the Company’s assessment of going concern considerations in accordance with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approximately one year from the date of filing. These financial statements do not include any adjustments relating to the recovery of the recorded assets or the classification of the liabilities that might be necessary should the Company be unable to continue as a going concern.</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Prior to the consummation of the Initial Public Offering, the Company’s liquidity needs have been satisfied through receipt of a $25,000 capital contribution from the Sponsor in exchange for the issuance of the Founder Shares to the Sponsor, and a $300,000 promissory note payable to the Sponsor.</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Subsequent to the consummation of the Initial Public Offering, the Company received the net proceeds not held in the Trust Account of approximately $3,000,000. The Company fully repaid the note to the Sponsor in April 2021. In addition, in order to finance transaction costs in connection with a Business Combination, the Sponsor or an affiliate of the Sponsor, or certain of the Company’s officers and directors may, but are not obligated to, loan the Company Working Capital Loans. Except for the foregoing, the terms of such Working Capital Loans, if any, have not been determined and no written agreements exist with respect to such loans.</w:t>
      </w:r>
    </w:p>
    <w:p>
      <w:pPr>
        <w:spacing w:after="0" w:line="188"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Working Capital Loans would either be repaid upon consummation of a Business Combination, without interest, or, at the lender’s discretion, up to $1,500,000 of such Working Capital Loans may be convertible into shares of the post-transaction company at $10.00 per share at the option of the lender. As of September 30, 2021, the Company has no borrowings under the Working Capital Loans.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Risks and Uncertainties</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statements, operating results and cash flows for the period presented.</w:t>
      </w:r>
    </w:p>
    <w:p>
      <w:pPr>
        <w:spacing w:after="0" w:line="16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interim results for the period ended September 30, 2021 are not necessarily indicative of the results to be expected for the year ending December 31, 2021 or for any future periods.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Emerging Growth Company</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had $572,360 in cash and no cash equivalents, outside of the funds held in the Trust Account, as of September 30, 2021.</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Marketable Securities Held in Trust Account</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As of September 30, 2021 the Company’s portfolio of investments held in the Trust Account are comprised solely of U.S. government securities, within the meaning set forth in Section 2(a)(16) of the Investment Company Act, with a maturity of 180 days or less, classified as trading securities. Trading securities are presented on the balance sheet at fair value at the end of each reporting period. Gains and losses resulting from the change in fair value of these securities is included in gain on marketable securities, dividends and interest held in the Trust Account in the accompanying statement of operations. The fair value for trading securities is determined using quoted market prices in active markets.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Subject to Possible Redemption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ASC Topic 480.</w:t>
      </w:r>
    </w:p>
    <w:p>
      <w:pPr>
        <w:spacing w:after="0" w:line="23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contains certain redemption rights that are considered to be outside of the Company’s control and subject to occurrence of uncertain future events. Accordingly, Class A common stock subject to possible redemption are classified as temporary equity, outside of the stockholders’ equity section of the Company’s balance sheet. Accordingly, as of September 30, 2021, 41,634,412 shares of Class A common stock subject to possible redemption is presented at redemption value as temporary equity, outside of the stockholders’ equity section of the Company’s balance sheet.</w:t>
      </w:r>
    </w:p>
    <w:p>
      <w:pPr>
        <w:spacing w:after="0" w:line="17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Class A common stock subject to possible redemption are subject to the subsequent measurement guidance in ASC Topic 480-10-S99. Under such guidance, the Company must subsequently measure the shares to their redemption amount because, as a result of the allocation of net proceeds to transaction costs, the initial carrying amount of the common stock is less than $10.00 per share. In accordance with the guidance, the Company has elected to measure the common stock subject to possible redemption to their redemption amount (i.e., $10.00 per share) immediately as if the end of the first reporting period after the Initial Public Offering, March 26, 2021, was the redemption date. Such changes are reflected in additional paid-in capital, or in the absence of additional paid-in capital, in accumulated deficit. From the period beginning January 29, 2021 (inception) through September 30, 2021, the Company recorded an accretion of $23,587,624, of which $11,338,767 was recorded in additional paid-in capital and $12,248,857 was recorded in accumulated deficit.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Concentration of Credit Risk</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As of September 30, 2021, the Company had not experienced losses on this account and management believes the Company is not exposed to significant risks on such account.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Instruments</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balance sheet.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Derivative Financial Instruments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accounts for derivative financial instruments in accordance with ASC Topic 815, “Derivatives and Hedging”. For derivative financial instruments that are accounted for as liabilities, the derivative instrument is initially recorded at its fair value upon issuance and remeasured at each reporting date, with changes in the fair value reported in the statements of operations. The classification of derivative financial instruments is evaluated at the end of each reporting period.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approximates the carrying amounts represented in the balance sheet.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hierarchy is categorized into three levels based on the inputs as follows:</w:t>
      </w:r>
    </w:p>
    <w:p>
      <w:pPr>
        <w:spacing w:after="0" w:line="131" w:lineRule="exact"/>
        <w:rPr>
          <w:sz w:val="20"/>
          <w:szCs w:val="20"/>
          <w:color w:val="auto"/>
        </w:rPr>
      </w:pPr>
    </w:p>
    <w:p>
      <w:pPr>
        <w:ind w:left="1540" w:right="20" w:hanging="331"/>
        <w:spacing w:after="0" w:line="263"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89" w:lineRule="exact"/>
        <w:rPr>
          <w:rFonts w:ascii="Arial" w:cs="Arial" w:eastAsia="Arial" w:hAnsi="Arial"/>
          <w:sz w:val="18"/>
          <w:szCs w:val="18"/>
          <w:color w:val="auto"/>
        </w:rPr>
      </w:pPr>
    </w:p>
    <w:p>
      <w:pPr>
        <w:ind w:left="1540" w:right="120" w:hanging="331"/>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 of Estimates</w:t>
      </w:r>
    </w:p>
    <w:p>
      <w:pPr>
        <w:spacing w:after="0" w:line="22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during the reporting period. Actual results could differ from those estimates.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w:t>
      </w:r>
    </w:p>
    <w:p>
      <w:pPr>
        <w:spacing w:after="0" w:line="225"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Offering costs consist of legal, accounting, and other costs incurred through the balance sheet date that are directly related to the Initial Public Offering and were charged to temporary equity upon completion of the Initial Public Offering. Offering costs were $23,576,984 for the period from January 29, 2021 (inception) through September 30,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As of September 30, 2021, the deferred tax asset is de minimis.</w:t>
      </w:r>
    </w:p>
    <w:p>
      <w:pPr>
        <w:spacing w:after="0" w:line="16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United States is the Company’s only major tax jurisdiction.</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September 30,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Per Share of Common Stock</w:t>
      </w:r>
    </w:p>
    <w:p>
      <w:pPr>
        <w:spacing w:after="0" w:line="225"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The Company complies with accounting and disclosure requirements of ASC Topic 260, “Earnings Per Share.” Net loss per share is computed by dividing net loss by the weighted average number of common stock outstanding during the period, excluding common stock shares subject to forfeiture.</w:t>
      </w:r>
    </w:p>
    <w:p>
      <w:pPr>
        <w:spacing w:after="0" w:line="12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Class K common stock will convert into Class A common stock after the initial Business Combination only to the extent certain triggering events occur prior to the 10th anniversary of the initial Business Combination, including three equal triggering events based on the Company’s stock trading at $20.00, $25.00 and $30.00 per share following the first anniversary of the closing of the initial Business Combination and also upon specified strategic transactions. The Company has not considered the effect of the Class K common stock in the calculation of diluted loss per share since the conversion of Class K common stock into Class A common stock is contingent upon the occurrence of future events.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Class B shares and Private Placement Shares are included in the calculation of non-redeemable earnings per share.</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Company’s statements of operations include a presentation of income (loss) per share for shares of common stock subject to possible redemption in a manner similar to the two-class method of income (loss) per share. With respect to the accretion of the Class A common stock subject to possible redemption and consistent with ASC Topic 480-10-S99-3A, the Company has treated the accretion in the same manner as a dividend, to the extent the redemption value exceeds the fair value, in the calculation of the net income/(loss) per common stock. As of September 30, 2021, the Company did not have any dilutive securities and other contracts that could, potentially, be exercised or converted into common stock and then share in the earnings of the Company. As a result, diluted income (loss) per share is the same as basic loss per share for the period presented.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net loss per common stock is as follows: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For the three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340" w:type="dxa"/>
            <w:vAlign w:val="bottom"/>
          </w:tcPr>
          <w:p>
            <w:pPr>
              <w:spacing w:after="0"/>
              <w:rPr>
                <w:sz w:val="12"/>
                <w:szCs w:val="12"/>
                <w:color w:val="auto"/>
              </w:rPr>
            </w:pPr>
          </w:p>
        </w:tc>
        <w:tc>
          <w:tcPr>
            <w:tcW w:w="148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92"/>
              </w:rPr>
              <w:t>Inception to 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555"/>
              <w:spacing w:after="0" w:line="149" w:lineRule="exact"/>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340" w:type="dxa"/>
            <w:vAlign w:val="bottom"/>
          </w:tcPr>
          <w:p>
            <w:pPr>
              <w:spacing w:after="0"/>
              <w:rPr>
                <w:sz w:val="14"/>
                <w:szCs w:val="14"/>
                <w:color w:val="auto"/>
              </w:rPr>
            </w:pPr>
          </w:p>
        </w:tc>
        <w:tc>
          <w:tcPr>
            <w:tcW w:w="148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$ 4,008,374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(12,931,766)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240" w:type="dxa"/>
            <w:vAlign w:val="bottom"/>
            <w:gridSpan w:val="5"/>
          </w:tcPr>
          <w:p>
            <w:pPr>
              <w:spacing w:after="0"/>
              <w:rPr>
                <w:sz w:val="20"/>
                <w:szCs w:val="20"/>
                <w:color w:val="auto"/>
              </w:rPr>
            </w:pPr>
            <w:r>
              <w:rPr>
                <w:rFonts w:ascii="Arial" w:cs="Arial" w:eastAsia="Arial" w:hAnsi="Arial"/>
                <w:sz w:val="18"/>
                <w:szCs w:val="18"/>
                <w:color w:val="auto"/>
              </w:rPr>
              <w:t>Accretion of temporary equity to redemption value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Net loss including accretion of temporary equity to redemption value</w:t>
            </w: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left="195"/>
              <w:spacing w:after="0"/>
              <w:rPr>
                <w:sz w:val="20"/>
                <w:szCs w:val="20"/>
                <w:color w:val="auto"/>
              </w:rPr>
            </w:pPr>
            <w:r>
              <w:rPr>
                <w:rFonts w:ascii="Arial" w:cs="Arial" w:eastAsia="Arial" w:hAnsi="Arial"/>
                <w:sz w:val="18"/>
                <w:szCs w:val="18"/>
                <w:color w:val="auto"/>
                <w:w w:val="90"/>
              </w:rPr>
              <w:t>$ 4,008,374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(12,931,766)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w w:val="95"/>
              </w:rPr>
              <w:t>For the three months ended September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12"/>
            <w:vMerge w:val="restart"/>
          </w:tcPr>
          <w:p>
            <w:pPr>
              <w:jc w:val="right"/>
              <w:ind w:right="580"/>
              <w:spacing w:after="0"/>
              <w:rPr>
                <w:sz w:val="20"/>
                <w:szCs w:val="20"/>
                <w:color w:val="auto"/>
              </w:rPr>
            </w:pPr>
            <w:r>
              <w:rPr>
                <w:rFonts w:ascii="Arial" w:cs="Arial" w:eastAsia="Arial" w:hAnsi="Arial"/>
                <w:sz w:val="14"/>
                <w:szCs w:val="14"/>
                <w:b w:val="1"/>
                <w:bCs w:val="1"/>
                <w:color w:val="auto"/>
                <w:w w:val="94"/>
              </w:rPr>
              <w:t>Inception to date September 30, 2021</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Class A-t</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9"/>
              </w:rPr>
              <w:t>Class A-p</w:t>
            </w:r>
          </w:p>
        </w:tc>
        <w:tc>
          <w:tcPr>
            <w:tcW w:w="100" w:type="dxa"/>
            <w:vAlign w:val="bottom"/>
          </w:tcPr>
          <w:p>
            <w:pPr>
              <w:spacing w:after="0"/>
              <w:rPr>
                <w:sz w:val="13"/>
                <w:szCs w:val="13"/>
                <w:color w:val="auto"/>
              </w:rPr>
            </w:pPr>
          </w:p>
        </w:tc>
        <w:tc>
          <w:tcPr>
            <w:tcW w:w="720" w:type="dxa"/>
            <w:vAlign w:val="bottom"/>
            <w:gridSpan w:val="2"/>
          </w:tcPr>
          <w:p>
            <w:pPr>
              <w:jc w:val="right"/>
              <w:ind w:right="102"/>
              <w:spacing w:after="0" w:line="155" w:lineRule="exact"/>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13"/>
                <w:szCs w:val="13"/>
                <w:color w:val="auto"/>
              </w:rPr>
            </w:pPr>
          </w:p>
        </w:tc>
        <w:tc>
          <w:tcPr>
            <w:tcW w:w="1040" w:type="dxa"/>
            <w:vAlign w:val="bottom"/>
            <w:gridSpan w:val="5"/>
          </w:tcPr>
          <w:p>
            <w:pPr>
              <w:jc w:val="right"/>
              <w:ind w:right="280"/>
              <w:spacing w:after="0" w:line="155" w:lineRule="exact"/>
              <w:rPr>
                <w:sz w:val="20"/>
                <w:szCs w:val="20"/>
                <w:color w:val="auto"/>
              </w:rPr>
            </w:pPr>
            <w:r>
              <w:rPr>
                <w:rFonts w:ascii="Arial" w:cs="Arial" w:eastAsia="Arial" w:hAnsi="Arial"/>
                <w:sz w:val="14"/>
                <w:szCs w:val="14"/>
                <w:b w:val="1"/>
                <w:bCs w:val="1"/>
                <w:color w:val="auto"/>
              </w:rPr>
              <w:t>Class A-t</w:t>
            </w:r>
          </w:p>
        </w:tc>
        <w:tc>
          <w:tcPr>
            <w:tcW w:w="220" w:type="dxa"/>
            <w:vAlign w:val="bottom"/>
          </w:tcPr>
          <w:p>
            <w:pPr>
              <w:spacing w:after="0"/>
              <w:rPr>
                <w:sz w:val="13"/>
                <w:szCs w:val="13"/>
                <w:color w:val="auto"/>
              </w:rPr>
            </w:pPr>
          </w:p>
        </w:tc>
        <w:tc>
          <w:tcPr>
            <w:tcW w:w="920" w:type="dxa"/>
            <w:vAlign w:val="bottom"/>
            <w:gridSpan w:val="4"/>
          </w:tcPr>
          <w:p>
            <w:pPr>
              <w:jc w:val="right"/>
              <w:ind w:right="240"/>
              <w:spacing w:after="0" w:line="155" w:lineRule="exact"/>
              <w:rPr>
                <w:sz w:val="20"/>
                <w:szCs w:val="20"/>
                <w:color w:val="auto"/>
              </w:rPr>
            </w:pPr>
            <w:r>
              <w:rPr>
                <w:rFonts w:ascii="Arial" w:cs="Arial" w:eastAsia="Arial" w:hAnsi="Arial"/>
                <w:sz w:val="14"/>
                <w:szCs w:val="14"/>
                <w:b w:val="1"/>
                <w:bCs w:val="1"/>
                <w:color w:val="auto"/>
              </w:rPr>
              <w:t>Class A-p</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Allocation of net loss Including accretion of temporary</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3,493,750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419,575</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$(10,937,054)</w:t>
            </w:r>
          </w:p>
        </w:tc>
        <w:tc>
          <w:tcPr>
            <w:tcW w:w="3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(297,614)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(1,697,098)</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Accretion of temporary equity to redemption value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Allocation of net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3,493,750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419,575</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(10,937,054)</w:t>
            </w:r>
          </w:p>
        </w:tc>
        <w:tc>
          <w:tcPr>
            <w:tcW w:w="3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(297,614)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(1,697,098)</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Weighted average shares outstanding, basic and diluted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41,634,412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1,132,688</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7"/>
              </w:rPr>
              <w:t>5,000,000</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32,222,812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876,833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5,000,000</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Basic and diluted net income (loss)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(0.34)</w:t>
            </w:r>
          </w:p>
        </w:tc>
        <w:tc>
          <w:tcPr>
            <w:tcW w:w="32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(0.34)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The June 30, 2021 Form 10-Q statement of operations and Note 2, Summary of Significant Accounting Policies, Net Loss per Share Common Stock, included an immaterial misstatement related to the numerator in the earnings (loss) per share calculation for the three months ended June 30, 2021 and for the period from January 29, 2021 (inception) through June 30, 2021 for all three classes of common stock. The numerator incorrectly included accretion of temporary equity to redemption value of $2,498,065 instead of $0 for each of these periods.</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Basic and diluted net loss per share for the Class A common stock subject to possible redemption for the three months ended June 30, 2021 should have been ($0.07) per share compared to ($0.06) per share disclosed; basic and diluted net loss per share for the Class A non-redeemable common stock should have been ($0.07) per share compared to ($0.12) per share disclosed; and basic and diluted net loss per share for the Class B common stock should have been ($0.07) per share compared to ($0.12) per share disclosed.</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Basic and diluted net loss per share for the Class A common stock subject to possible redemption for the period from January 29, 2021 (inception) through June 30, 2021 should have been ($0.53) per share compared to ($0.51) per share disclosed; basic and diluted net loss per share for the Class A non-redeemable common stock should have been ($0.53) per share compared to ($0.60) per share disclosed; and basic and diluted net loss per share for the Class B common stock should have been ($0.53) per share compared to ($0.60) per share disclosed.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accompanying financial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3 — Initial Public Offering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Initial Public Offering, the Company sold 40,000,000 Public Shares at a purchase price of $10.00 per Public Share, excluding</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Public Shares sold pursuant to the partial exercise of the underwriters’ option to purchase additional Public Shares to cover over-allotments.</w:t>
      </w:r>
    </w:p>
    <w:p>
      <w:pPr>
        <w:spacing w:after="0" w:line="23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Substantially concurrent with the closing of the Initial Public Offering, the Company completed the private sale of 1,100,000 shares of Class A common stock of the Company, par value $0.0001 per share (the “Private Placement Shares”) at a purchase price of $10.00 per Private Placement Shares, to the Company’s sponsor, Khosla Ventures SPAC Sponsor II LLC, generating aggregate gross proceeds to the Company of $11,000,000. The underwriters exercised their option to purchase an additional 1,634,412 shares of Class A common stock from the Company at a price of $10.00 per share less the underwriting discount. In total, the Company sold 41,634,412 shares of Class A common stock in connection with its Initial Public Offering. Subsequent to the Initial Public Offering, an additional $16,344,120 was placed in the Trust Account, comprised of proceeds from the sale of 1,634,412 additional Class A common stock at $10.00 per share pursuant to the exercise of the underwriters’ over-allotment option, which settled on March 30, 2021.</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Promissory Note – Related Parties</w:t>
      </w:r>
    </w:p>
    <w:p>
      <w:pPr>
        <w:spacing w:after="0" w:line="225" w:lineRule="exact"/>
        <w:rPr>
          <w:sz w:val="20"/>
          <w:szCs w:val="20"/>
          <w:color w:val="auto"/>
        </w:rPr>
      </w:pPr>
    </w:p>
    <w:p>
      <w:pPr>
        <w:jc w:val="both"/>
        <w:ind w:left="120" w:right="80" w:firstLine="440"/>
        <w:spacing w:after="0" w:line="254" w:lineRule="auto"/>
        <w:rPr>
          <w:sz w:val="20"/>
          <w:szCs w:val="20"/>
          <w:color w:val="auto"/>
        </w:rPr>
      </w:pPr>
      <w:r>
        <w:rPr>
          <w:rFonts w:ascii="Arial" w:cs="Arial" w:eastAsia="Arial" w:hAnsi="Arial"/>
          <w:sz w:val="18"/>
          <w:szCs w:val="18"/>
          <w:color w:val="auto"/>
        </w:rPr>
        <w:t>On February 8, 2021, the Company issued a promissory note (the “Promissory Note”) to the Sponsor and an affiliate of the Sponsor, pursuant to which the Company could borrow up to an aggregate principal amount of $300,000. The Promissory Note was non-interest bearing and payable on the earlier of (i) December 31, 2021 and (ii) the completion of the Initial Public Offering. The outstanding balance under the Promissory Note at September 30, 2021 was $300.</w:t>
      </w:r>
    </w:p>
    <w:p>
      <w:pPr>
        <w:sectPr>
          <w:pgSz w:w="11900" w:h="16838" w:orient="portrait"/>
          <w:cols w:equalWidth="0" w:num="1">
            <w:col w:w="11140"/>
          </w:cols>
          <w:pgMar w:left="320" w:top="486" w:right="439" w:bottom="735" w:gutter="0" w:footer="0" w:header="0"/>
        </w:sectPr>
      </w:pP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40"/>
          </w:cols>
          <w:pgMar w:left="320" w:top="486" w:right="439" w:bottom="735"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Founder Shares</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January 29, 2021, the Sponsor acquired 10,000,000 Founder Shares (the “Founder Shares”) for an aggregate purchase price of $25,000, consisting of 5,000,000 Class B Founder Shares (also known as “Class B common stock”) and 5,000,000 Class K Founder Shares (also known as “Class K common stock”). Prior to the initial investment in the Company of $25,000 by the Sponsor, the Company had no assets, tangible or intangible. The per share purchase price of the Founder Shares was determined by dividing the amount of cash contributed to the Company by the aggregate number of Founder Shares issued. On March 10, 2021, the Sponsor entered into a security assignment agreement with three of the Company’s independent directors and assigned 120,000 shares of Class B common stock at an aggregate price of $300.</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B Common Stock</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Class B common stock will automatically convert into shares of Class A common stock on the first business day following the completion of our initial Business Combination, at a ratio such that the number of shares of Class A common stock issuable upon conversion of all Class B common stock will equal, in the aggregate on an as-converted basis, 15% of the sum of (i) the total number of all shares of Class A common stock issued and outstanding upon completion of this offering (including any over-allotment shares if the underwriters exercise their overallotment option), plus (ii) the total number of shares of Class A common stock issued or deemed issued or issuable upon conversion of the Class B common stock plus (iii) unless waived,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(x) any shares of Class A common stock or equity-linked securities exercisable for or convertible into shares of Class A common stock issued, deemed issued, or to be issued, to any seller in the initial Business Combination, (y) any shares of Class A common stock issuable upon conversion of the Class K Founder Shares and (z) any Private Placement Shares. Prior to our initial Business Combination, only holders of shares of our Class B common stock will be entitled to vote on the appointment of directors.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K Founder Shares</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Class K Founder Shares will convert into shares of Class A common stock after the initial Business Combination only to the extent certain triggering events occur prior to the 10th anniversary of the initial Business Combination, including three equal triggering events based on our stock trading at $20.00, $25.00 and $30.00 per share following the first anniversary of the closing of our initial Business Combination and also upon specified strategic transactions, in each case, as described in this prospectus. The Class K Founder Shares will be convertible into shares of Class A common stock at a ratio such that the number of shares of Class A common stock issuable upon conversion of all founder shares (including both Class B common stock and Class K Founder Shares) will equal, in the aggregate on an as-converted basis, 30% of the sum of (i) the total number of all shares of Class A common stock issued and outstanding upon completion of this offering (including any over-allotment shares if the underwriters exercise their overallotment option), plus (ii) the total number of shares of Class A common stock issued or deemed issued or issuable upon conversion of the Class B common stock and Class K Founder Shares plus (iii) unless waived,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(x) any shares of Class A common stock or equity-linked securities exercisable for or convertible into shares of Class A common stock issued, deemed issued, or to be issued, to any seller in the initial Business Combination and (y) any Private Placement Shares. Prior to our initial Business Combination, only holders of shares of our Class B common stock were entitled to vote on the appointment of directors.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accounts for the Class K Founder Shares as equity linked instruments. Based on the guidance in ASC Topic 815, certain adjustments to the settlement amount of the Class K Founder Shares are based on a variable that is not an input to the fair value of a “fixed-for-fixed” option as defined under ASC Topic 815-40. The Class K Founder Shares are recorded as liabilities as these shares are not considered indexed to the Company’s own stock and not eligible for an exception from derivative accounting.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Working Capital Loan</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To date, the Company had no borrowings under the Working Capital Loans.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Private Placement Shares</w:t>
      </w:r>
    </w:p>
    <w:p>
      <w:pPr>
        <w:spacing w:after="0" w:line="225"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has purchased 1,100,000 Class A common stock at a price of $10.00 per stock in a private placement for an aggregate purchase price of $11,000,000. In connection with the underwriters’ partial exercise of their over-allotment option that closed on March 30, 2021, the Company also consummated the sale of an additional 32,688 Private Placement Shares at $10.00 per Private Placement Share, generating total proceeds of $326,880. The total proceeds from the sale of Private Placement Shares is $11,326,880. The Private Placement Shares are identical to the shares of Class A common stock sold in this offering, subject to certain limited exceptions. The Private Placement Shares holders do not have the option to redeem their Class A shares and as a result, the proceeds received in connection with the Initial Public Offering are excluded from temporary equity. The par value of these shares and related additional paid in capital are classified as permanent equity in the Company’s financial statements.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initial stockholders agreed, subject to limited exceptions, not to transfer, assign or sell any of their Private Placement Shares until 30 days after the completion of the initial Business Combination.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 Purchase Agreement</w:t>
      </w:r>
    </w:p>
    <w:p>
      <w:pPr>
        <w:spacing w:after="0" w:line="225"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The Company has entered into a forward-purchase agreement pursuant to which the Sponsor agreed to purchase an aggregate of up to 1,000,000 shares of our Class A common stock (the “forward-purchase shares”) for $10.00 per share, or an aggregate maximum amount of $10,000,000, in a private placement that would close simultaneously with the closing of the initial Business Combination. The proceeds from the sale of these forward-purchase shares, together with the amounts available to the Company from the Trust Account (after giving effect to any redemptions of public shares) and any other equity or debt financing obtained by the 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the Khosla Entities may purchase less than 1,000,000 forward-purchase shares. The forward-purchase shares would be identical to the public shares being sold in this offering, except the forward-purchase shares would be subject to transfer restrictions and certain registration rights, as described herein. The Company performed an assessment in accordance with ASC Topic 480 and ASC Topic 815, to conclude whether the forward-purchase shares constitute a liability and a derivative such that it will be fair valued separately from the Company’s common stock. The Company concludes that the forward-purchase shares should be equity-classified and its embedded features should not be bifurcated.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5 — Commitments &amp; Contingencies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The holders of the Founder Shares and Private Placement Shares are entitled to registration rights pursuant to the registration agreement signed prior to the consummation of the Initial Public Offering. The holders are entitled to certain demand and “piggyback” registration rights. However, the registration rights agreement provides that the Company will not be required to effect or permit any registration or cause any registration statements to become effective until termination of the applicable lock-up period.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granted the underwriters an option to cover over-allotments and for market stabilization purposes. The over-allotment option entitled the underwriters to purchase on a pro rata basis up to 6,000,000 additional Public Shares at the Initial Public Offering price, less the underwriting discounts and commissions. On March 26, 2021, the Company’s underwriters exercised in part their option to purchase additional Public Shares in connection with its Initial Public Offering. The underwriters exercised their option to purchase an additional 1,634,412 Public Shares from the Company at a price of $10.00 per share less the underwriting discount. In total, the Company sold 41,634,412 Public Shares in connection with its Initial Public Offering. This transaction settled on March 30, 2021.</w:t>
      </w:r>
    </w:p>
    <w:p>
      <w:pPr>
        <w:spacing w:after="0" w:line="19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underwriters are entitled to a deferred fee of $14,572,044. The deferred fee will be forfeited by the underwriters solely in the event that the Company fails to complete a Business Combination, subject to the terms of the underwriting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6 — Stockholders’ Deficit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Preferred Stock — The Company is authorized to issue 1,000,000 preferred stock, par value $0.0001 per share. As of September 30, 2021, there were no shares of preferred stock issued or outstanding.</w:t>
      </w:r>
    </w:p>
    <w:p>
      <w:pPr>
        <w:spacing w:after="0" w:line="170"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Class A Common Stock — The Company is authorized to issue 200,000,000 Class A common stock with a par value of $0.0001 per share. Holders of the Company’s Class A common stock are entitled to one vote for each share. As of September 30, 2021, there were 1,132,688 shares of Class A common stock issued and outstanding, excluding 41,634,412 shares of Class A common stock subject to possible redemption.</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Class B Common Stock — The Company is authorized to issue 30,000,000 Class B common stock with a par value of $0.0001 per share. As of September 30, 2021, 5,000,000 Class B common stock were issued and outstanding.</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Except as described below, holders of Class A common stock and holders of Class B common stock will vote together as a single class on all matters submitted to a vote of the stockholders except as required by law.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7 — Fair Value Measurements</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September 30, 2021, including the fair value hierarchy of the valuation inputs the Company utilized to determine such fair value.</w:t>
      </w:r>
    </w:p>
    <w:p>
      <w:pPr>
        <w:spacing w:after="0" w:line="162" w:lineRule="exact"/>
        <w:rPr>
          <w:sz w:val="20"/>
          <w:szCs w:val="20"/>
          <w:color w:val="auto"/>
        </w:rPr>
      </w:pPr>
    </w:p>
    <w:tbl>
      <w:tblPr>
        <w:tblLayout w:type="fixed"/>
        <w:tblInd w:w="1880" w:type="dxa"/>
        <w:tblCellMar>
          <w:top w:w="0" w:type="dxa"/>
          <w:left w:w="0" w:type="dxa"/>
          <w:bottom w:w="0" w:type="dxa"/>
          <w:right w:w="0" w:type="dxa"/>
        </w:tblCellMar>
      </w:tblPr>
      <w:tr>
        <w:trPr>
          <w:trHeight w:val="185"/>
        </w:trPr>
        <w:tc>
          <w:tcPr>
            <w:tcW w:w="55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Level</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4"/>
              </w:rPr>
              <w:t>September 30, 2021</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416,354,760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Derivative liability – Class K Founder Shares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10,300,000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K Founder Shares Derivative Liabilities</w:t>
      </w:r>
    </w:p>
    <w:p>
      <w:pPr>
        <w:spacing w:after="0" w:line="22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Class K Founder Shares is accounted for as a liability in accordance with ASC Topic 815 and presented as derivative liability on the accompanying September 30, 2021, balance sheet. The derivative liability was measured at fair value at inception and on a recurring basis, which changes in fair value presented within change in fair value of derivative liability in the statements of operations. In order to capture the market conditions associated with the Class K Founder Shares derivative liabilities, the Company applied an approach that incorporated a Monte Carlo simulation, which involved random iterations of future stock-price paths over the contractual life of the Class K Founder Shares. Based on assumptions regarding potential changes in control of the Company, and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key inputs into the Monte-Carlo simulation model for Class K Founder Shares derivative liabilities were as follows as of the issuance date and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40" w:type="dxa"/>
            <w:vAlign w:val="bottom"/>
          </w:tcPr>
          <w:p>
            <w:pPr>
              <w:spacing w:after="0"/>
              <w:rPr>
                <w:sz w:val="20"/>
                <w:szCs w:val="20"/>
                <w:color w:val="auto"/>
              </w:rPr>
            </w:pPr>
            <w:r>
              <w:rPr>
                <w:rFonts w:ascii="Arial" w:cs="Arial" w:eastAsia="Arial" w:hAnsi="Arial"/>
                <w:sz w:val="14"/>
                <w:szCs w:val="14"/>
                <w:b w:val="1"/>
                <w:bCs w:val="1"/>
                <w:color w:val="auto"/>
              </w:rPr>
              <w:t>Input</w:t>
            </w:r>
          </w:p>
        </w:tc>
        <w:tc>
          <w:tcPr>
            <w:tcW w:w="32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January 29, 2021 (Inception)</w:t>
            </w:r>
          </w:p>
        </w:tc>
        <w:tc>
          <w:tcPr>
            <w:tcW w:w="20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September 30, 2021</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1.16%</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Term to business combination</w:t>
            </w:r>
          </w:p>
        </w:tc>
        <w:tc>
          <w:tcPr>
            <w:tcW w:w="1000" w:type="dxa"/>
            <w:vAlign w:val="bottom"/>
          </w:tcPr>
          <w:p>
            <w:pPr>
              <w:spacing w:after="0"/>
              <w:rPr>
                <w:sz w:val="18"/>
                <w:szCs w:val="18"/>
                <w:color w:val="auto"/>
              </w:rPr>
            </w:pPr>
          </w:p>
        </w:tc>
        <w:tc>
          <w:tcPr>
            <w:tcW w:w="2280" w:type="dxa"/>
            <w:vAlign w:val="bottom"/>
          </w:tcPr>
          <w:p>
            <w:pPr>
              <w:jc w:val="right"/>
              <w:ind w:right="570"/>
              <w:spacing w:after="0"/>
              <w:rPr>
                <w:sz w:val="20"/>
                <w:szCs w:val="20"/>
                <w:color w:val="auto"/>
              </w:rPr>
            </w:pPr>
            <w:r>
              <w:rPr>
                <w:rFonts w:ascii="Arial" w:cs="Arial" w:eastAsia="Arial" w:hAnsi="Arial"/>
                <w:sz w:val="18"/>
                <w:szCs w:val="18"/>
                <w:color w:val="auto"/>
              </w:rPr>
              <w:t>0.9 Years</w:t>
            </w:r>
          </w:p>
        </w:tc>
        <w:tc>
          <w:tcPr>
            <w:tcW w:w="9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0.3 Years</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21.00%</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Stock price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570"/>
              <w:spacing w:after="0"/>
              <w:rPr>
                <w:sz w:val="20"/>
                <w:szCs w:val="20"/>
                <w:color w:val="auto"/>
              </w:rPr>
            </w:pPr>
            <w:r>
              <w:rPr>
                <w:rFonts w:ascii="Arial" w:cs="Arial" w:eastAsia="Arial" w:hAnsi="Arial"/>
                <w:sz w:val="18"/>
                <w:szCs w:val="18"/>
                <w:color w:val="auto"/>
              </w:rPr>
              <w:t>10.00</w:t>
            </w: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10.18</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0.00%</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365"/>
        </w:trPr>
        <w:tc>
          <w:tcPr>
            <w:tcW w:w="3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jc w:val="right"/>
              <w:ind w:right="195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presents a summary of the changes in the fair value of the Class K Founder Shares derivative liabilities, a Level 3 liability, measured on a recurring basis, as of September 30, 2021:</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7"/>
              </w:rPr>
              <w:t>Class K Founder Shares</w:t>
            </w: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Derivative Liabilities</w:t>
            </w:r>
          </w:p>
        </w:tc>
      </w:tr>
      <w:tr>
        <w:trPr>
          <w:trHeight w:val="209"/>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measurement on January 29, 2021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 in fair value of Class K Founder Shares Derivative Liabilities</w:t>
            </w: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(22,950,000)</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Fair Value, March 31, 2021 (unaudited)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 in fair value of Class K Founder Shares Derivative Liabilities</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Fair Value, June 30, 2021 (audited)</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16,550,000</w:t>
            </w: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 in fair value of Class K Founder Shares Derivative Liabilities</w:t>
            </w: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(6,250,000)</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Fair Value, September 30, 2021 (unaudited)</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10,300,000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There were no transfers to and from Levels 1, 2, and 3 during the three months ended September 30, 2021, and the period from January 29, 2021 (inception) through September 30,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8 — Subsequent Events</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October 1, 2021, Khosla Ventures Acquisition Co. II (“KVSB”) entered into an amendment (the “Amendment”) to the previously disclosed Agreement and Plan of Merger (the “Merger Agreement”), dated as of July 6, 2021, among KVSB, Nextdoor, Inc., a Delaware corporation (“Nextdoor”) and Lorelei Merger Sub Inc., a Delaware corporation and a direct wholly-owned subsidiary of KVSB. Pursuant to the Amendment, in addition to KVSB stockholder approval of the amendment and restatement of the certificate of incorporation of KVSB (the “Proposed Charter”) pursuant to the governing documents of KVSB and applicable law, the parties agreed to a mutual closing condition that the Proposed Charter will have been approved at the Acquiror Stockholders’ Meeting by the affirmative vote of the holders of a majority of the shares of KVSB’s Class A common stock, par value $0.0001 per share (“KVSB Class A Common Stock”), then outstanding and entitled to vote thereon at the Acquiror Stockholders’ Meeting, voting separately as a single series. The Amendment provides that such condition may not be waived by the parties. The form of Proposed Charter is attached as Annex C to the registration statement on Form S-4 that KVSB filed with the SEC on July 20, 2021. The transaction is expected to close on November 5, 2021.</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Khosla Ventures Acquisition Co. II. References to our “management” or our “management team” refer to our officers and directors, references to the “Sponsor” refer to Khosla Ventures SPAC Sponsor II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Note Regarding Forward-Looking Statements</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 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January 29, 2021 for the purpose of effecting a merger, capital stock exchange, asset acquisition, stock purchase, reorganization or other similar Business Combination with one or more businesses. We intend to effectuate our Business Combination using cash from the proceeds of the Initial Public Offering and the sale of the Private Placement Shares, and forward purchase shares, our capital stock, debt or a combination of cash, stock and debt. We are an emerging growth company and, as such, we are subject to all of the risks associated with emerging growth companies.</w:t>
      </w:r>
    </w:p>
    <w:p>
      <w:pPr>
        <w:spacing w:after="0" w:line="188"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Our Sponsor is Khosla Ventures SPAC Sponsor II LLC, a Delaware limited liability company. The registration statement for our Initial Public Offering was declared effective on March 23, 2021. On March 26, 2021, we consummated its Initial Public Offering of 40,000,000 Public Shares, at $10.00 per share, generating gross proceeds of $400,000,000. On March 30, 2021, the underwriters partially exercised their over-allotment option, resulting in an additional 1,634,412 Public Shares issued for additional proceeds of $16,344,120. Total shares sold in connection with the Initial Public Offering are 41,634,412 Public Shares. We incurred offering costs of $23,576,984, inclusive of $14,572,044 in deferred underwriting fees payable.</w:t>
      </w:r>
    </w:p>
    <w:p>
      <w:pPr>
        <w:spacing w:after="0" w:line="16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of 1,100,000 Private Placement Shares at a price of $10.00 per Private Placement Share to the Sponsor, generating proceeds of $11,000,000. In connection with the underwriters’ partial exercise of their over-allotment option, we also consummated the sale of an additional 32,688 Private Placement Shares at $10.00 per Private Placement Share, generating total proceeds of $326,880.</w:t>
      </w:r>
    </w:p>
    <w:p>
      <w:pPr>
        <w:spacing w:after="0" w:line="18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Following the closing of the Initial Public Offering, the partial exercise of the over-allotment option and the Private Placement, $416,344,120 ($10.00 per share) of the net proceeds of the Initial Public Offering and certain of the proceeds of the Private Placement was held in a Trust Account (“Trust Account”) located in the United States with Continental Stock Transfer &amp; Trust Company acting as trustee, and invested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as determined by us, until the earlier of: (i) the completion of a Business Combination and (ii) the distribution of the Trust Account.</w:t>
      </w:r>
    </w:p>
    <w:p>
      <w:pPr>
        <w:spacing w:after="0" w:line="16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(March 23, 2023) or 27 months (June 23, 2023), if we have executed a letter of intent, agreement in principle or definitive agreement for an initial Business Combination by March 23, 2023 (the “Combination Period”), and our stockholders have not amended the Certificate of Incorporation to extend such Combination Period, we will (i) cease all operations except for the purpose of winding up; (ii) as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as well as expenses relating to the administration of the Trust Account (less up to $100,000 of interest to pay dissolution expenses) divided by the number of the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92"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On July 6, 2021, we entered into an Agreement and Plan of Merger (the “Merger Agreement”) with Nextdoor, Inc., a Delaware corporation (“Nextdoor”), and Lorelei Merger Sub Inc., a Delaware corporation and a direct wholly owned subsidiary of KVSB (“Merger Sub”). We have incurred minimal transaction expenses for the period from January 29, 2021 (inception) through September 30, 2021 in connection with the negotiation and consummation of the transactions contemplated by the Merger Agreement. On October 1, 2021, Khosla Ventures Acquisition Co. II (“KVSB”) entered into an amendment (the “Amendment”) to the previously disclosed Agreement and Plan of Merger (the “Merger Agreement”), dated as of July 6, 2021, among KVSB, Nextdoor, Inc., a Delaware corporation (“Nextdoor”) and Lorelei Merger Sub Inc., a Delaware corporation and a direct wholly-owned subsidiary of KVSB. Pursuant to the Amendment, in addition to KVSB stockholder approval of the amendment and restatement of the certificate of incorporation of KVSB (the “Proposed Charter”) pursuant to the governing documents of KVSB and applicable law, the parties agreed to a mutual closing condition that the Proposed Charter will have been approved at the Acquiror Stockholders’ Meeting by the affirmative vote of the holders of a majority of the shares of KVSB’s Class A common stock, par value $0.0001 per share (“KVSB Class A Common Stock”), then outstanding and entitled to vote thereon at the Acquiror Stockholders’ Meeting, voting separately as a single series. The Amendment provides that such condition may not be waived by the parties. The form of Proposed Charter is attached as Annex C to the registration statement on Form S-4 that KVSB filed with the SEC on July 20, 2021. The transaction is expected to close on November 5, 2021.</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As of September 30, 2021, the Company had $572,360 in its cash account, $416,354,760 in securities held in the Trust Account to be used for a Business Combination or to repurchase or redeem its common stock in connection therewith and a working capital deficiency of $619,445. As of September 30, 2021, $10,640 of the amount on deposit in the Trust Account represented interest income, which is available for payment of franchise taxes and expenses in connection with the liquidation of the Trust Account.</w:t>
      </w:r>
    </w:p>
    <w:p>
      <w:pPr>
        <w:spacing w:after="0" w:line="18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a result of the above, in connection with the Company’s assessment of going concern considerations in accordance with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approximately one year from the date of filing. These financial statements do not include any adjustments relating to the recovery of the recorded assets or the classification of the liabilities that might be necessary should the Company be unable to continue as a going concern.</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Prior to the consummation of the Initial Public Offering, the Company’s liquidity needs have been satisfied through receipt of a $25,000 capital contribution from the Sponsor in exchange for the issuance of the Founder Shares to the Sponsor, and a $300,000 promissory note payable to the Sponsor.</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Subsequent to the consummation of the Initial Public Offering, the Company received the net proceeds not held in the Trust Account of approximately $3,000,000. The Company fully repaid the note to the Sponsor in April 2021. In addition, in order to finance transaction costs in connection with a Business Combination, the Sponsor or an affiliate of the Sponsor, or certain of the Company’s officers and directors may, but are not obligated to, loan the Company Working Capital Loans. Except for the foregoing, the terms of such Working Capital Loans, if any, have not been determined and no written agreements exist with respect to such loans.</w:t>
      </w:r>
    </w:p>
    <w:p>
      <w:pPr>
        <w:spacing w:after="0" w:line="188"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Working Capital Loans would either be repaid upon consummation of a Business Combination, without interest, or, at the lender’s discretion, up to $1,500,000 of such Working Capital Loans may be convertible into shares of the post-transaction company at $10.00 per share at the option of the lender. As of September 30, 2021, the Company has no borrowings under the Working Capital Loans.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neither engaged in any operations (other than searching for a Business Combination after our Initial Public Offering) nor generated any revenues to date. Our only activities from January 29, 2021 (inception) through September 30, 2021 were organizational activities and those necessary to prepare for the Initial Public Offering, described below. We do not expect to generate any operating revenues until after the completion of our Business Combination. We expect to generate non-operating income in the form of interest income on marketable securities held after the Initial Public Offering. We incur expenses as a result of being a public company (for legal, financial reporting, accounting and auditing compliance), as well as for due diligence expenses.</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For the period from January 29, 2021 (inception) through September 30, 2021, we had a loss from operations of $2,654,906, which consisted of $25,000 in formation costs, $2,479,906 in general administrative expenses, and $150,000 in franchise tax expenses. We also incurred $36,537,500 in financing expenses on derivative classified instrument, offset the change in fair value of derivative liabilities of $26,250,000 and gains on marketable securities (net), dividends and interest, held in the Trust Account of $10,640, resulting in a net loss of $12,931,766 for the period from January 29, 2021 (inception) through September 30, 2021.</w:t>
      </w:r>
    </w:p>
    <w:p>
      <w:pPr>
        <w:spacing w:after="0" w:line="188"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For the three months ended September 30, 2021, we had a loss from operations of $2,245,939, which consisted of $2,195,939 in general and administrative expenses, and $50,000 in franchise tax expenses. The loss from operations was offset by a change in fair value of derivative liabilities of</w:t>
      </w:r>
    </w:p>
    <w:p>
      <w:pPr>
        <w:sectPr>
          <w:pgSz w:w="11900" w:h="16838" w:orient="portrait"/>
          <w:cols w:equalWidth="0" w:num="1">
            <w:col w:w="11140"/>
          </w:cols>
          <w:pgMar w:left="320" w:top="486" w:right="439" w:bottom="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$6,250,000 and gains on marketable securities (net), dividends and interest, held in Trust Account of $4,313, resulting in net income of $4,008,374 for the three months ended September 30, 2021.</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440" w:top="125"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did not have any off-balance sheet arrangements as of September 30,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25"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The underwriters are entitled to a deferred fee of $0.35 per Public Share, or $14,572,044 in the aggregate. The deferred fee will be waived by the underwriters in the event that the Company does not complete a Business Combination, subject to the terms of the underwriting agreement.</w:t>
      </w:r>
    </w:p>
    <w:p>
      <w:pPr>
        <w:spacing w:after="0" w:line="12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On March 23, 2021, we entered into a forward purchase agreement pursuant to which the Sponsor (together with any permitted transferees under the forward purchase agreement, the “Khosla Entities”) have agreed to purchase an aggregate of up to 1,000,000 forward purchase shares for $10.00 per share, or an aggregate maximum amount of $10,000,000, in a private placement that will close simultaneously with the closing of the initial Business Combination. The Khosla Entities will purchase a number of forward-purchase shares that will result in gross proceeds to us necessary to enable us to consummate our initial Business Combination and pay related fees and expenses, after first applying amounts available to us from the Trust Account (after paying the deferred underwriting discount and giving effect to any redemptions of Public Shares) and any other financing source obtained by us for such purpose at or prior to the consummation of our initial Business Combination, plus any additional amounts mutually agreed by us and the Khosla Entities to be retained by the post-Business Combination company for working capital or other purposes. The Khosla Entities’ obligation to purchase forward-purchase shares will, among other things, be conditioned on the Business Combination (including the target assets or business, and the terms of the Business Combination) being reasonably acceptable to the Khosla Entities and on a requirement that such initial Business Combination is approved by a unanimous vote of our board of directors. In determining whether a target is reasonably acceptable to the Khosla Entities, we expect that the Khosla Entities would consider many of the same criteria as we will consider but will also consider whether the investment is an appropriate investment for the Khosla Entities.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not identified any critical accounting policies other than the following.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K Founder Shares Derivative Liabilities</w:t>
      </w:r>
    </w:p>
    <w:p>
      <w:pPr>
        <w:spacing w:after="0" w:line="22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Class K Founder Shares was accounted for as a liability in accordance with ASC Topic 815 and presented as derivative liability on the accompanying September 30, 2021, balance sheet. The derivative liability was measured at fair value at inception and on a recurring basis, which changes in fair value presented within change in fair value of derivative liability in the statements of operations. In order to capture the market conditions associated with the Class K Founder Shares derivative liabilities, the Company applied an approach that incorporated a Monte Carlo simulation, which involved random iterations of future stock-price paths over the contractual life of the Class K Founder Shares. Based on assumptions regarding potential changes in control of the Company, and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1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inputs used as of September 30, 2021 was as follow: risk free rate of 1.53%; term in years to business combination 0.3 years; expected volatility 12.5% and the stock price was $10.18.</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Recent accounting standards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of September 30, 2021 the Company’s portfolio of investments held in the Trust Account are comprised solely of U.S. government securities, within the meaning set forth in Section 2(a)(16) of the Investment Company Act, with a maturity of 180 days or less, classified as trading securities. Trading securities are presented on the balance sheet at fair value at the end of each reporting period. Gains and losses resulting from the change in fair value of these securities is included in gain on marketable securities, dividends and interest held in the Trust Account in the accompanying statement of operations. The fair value for trading securities is determined using quoted market prices in active markets. Due to the short-term nature of these investments, we believe there will be no associated material exposure to interest rate risk.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86"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2021,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not effective due to material weaknesses in internal controls over financial reporting related to the inaccurate accounting. Management identified errors in its historical financial statements related to the accounting for the Class A common stock and the Class K Founder Shares. Because the Class A common stock issued in the Initial Public Offering can be redeemed or become redeemable subject to the occurrence of future events considered outside of the Company’s control, the Company should have classified all of these redeemable shares in temporary equity and remeasured these redeemable shares to their redemption value (i.e., $10.00 per share) as of the end of the first reporting period after the date of the Company’s Initial Public Offering. Management also concluded that it incorrectly accounted for the Class K Founder Shares as permanent equity versus a derivative liability. To address these material weaknesses, management has devoted, and plans to continue to devote, significant effort and resources to the remediation and improvement of its internal control over financial reporting and to provide processes and controls over the internal communications within the Company, financial advisors and independent registered public accounting firm. While we have processes to identify and appropriately apply applicable accounting requirements, we plan to enhance these processes to better evaluate our research and understanding of the nuances of the complex accounting standards that apply to our financial statements. We plan to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 Other than this issue, our disclosure controls and procedures were effective at a reasonable assurance level and, accordingly, provided reasonable assurance that the information required to be disclosed by us in reports filed under the Exchange Act is recorded, processed, summarized and reported within the time periods specified in the SEC’s rules and forms.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During the quarter ended September 30, 2021, there has been no change in our internal control over financial reporting that has materially affected, or is reasonably likely to materially affect, our internal control over financial reporting, as the circumstances that led to the material weakness described above had not yet been identified. We are in the process of implementing changes to our internal control over financial reporting to remediate such material weaknesses, as more fully described above. The elements of our remediation plan can only be accomplished over time, and we can offer no assurance that these initiatives will ultimately have the intended effects.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final prospectus filed with the SEC on March 25, 2021. As of the date of this Report, there have been no material changes to the risk factors disclosed in our final prospectus filed with the SEC.</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On March 26, 2021, we consummated the Initial Public Offering of 40,000,000 Public Shares. On March 30, 2021, in connection with the underwriters’ election to partially exercise their over-allotment option, we sold an additional 1,634,412 Public Shares to cover over-allotments. The Public Shares were sold at an offering price of $10.00 per share, generating total gross proceeds of $416,344,120. Citigroup Global Markets Inc. and Goldman Sachs &amp; Co. LLC acted as joint book-running managers for the offering. The securities in the offering were registered under the Securities Act on a registration statement on Form S-1 (No. 333-253098). The Securities and Exchange Commission declared the registration statement effective on March 23, 2021.</w:t>
      </w:r>
    </w:p>
    <w:p>
      <w:pPr>
        <w:spacing w:after="0" w:line="192"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Simultaneously with the consummation of the Initial Public Offering and the partial exercise of the over-allotment option, we consummated the private placement of an aggregate of 1,132,688 Private Placement Shares at a price of $10.00 per Private Placement Share, generating total proceeds of $11,326,880. The issuance was made pursuant to the exemption from registration contained in Section 4(a)(2) of the Securities Act.</w:t>
      </w:r>
    </w:p>
    <w:p>
      <w:pPr>
        <w:spacing w:after="0" w:line="165"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The Private Placement Shares are identical to the Public Shares sold in the Initial Public Offering, except that the Private Placement Shares are not transferable, assignable or salable until 30 days after the completion of a Business Combination, subject to certain limited exceptions.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Of the gross proceeds received from the Initial Public Offering, the partial exercise of the over-allotment option and the sale of the Private Placement Shares, $416,344,120 was placed in the Trust Account. We paid a total of $8,326,880 in underwriting discounts and commissions and $678,057 for other offering costs related to the Initial Public Offering and the partial exercise of the over-allotment option. In addition, the underwriters agreed to defer $14,572,044 in underwriting fees.</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July 6, 2021, concurrently with the execution of the Merger Agreement, we entered into subscription agreements (the “Subscription Agreements”) with certain investors (collectively, the “PIPE Investors”), pursuant to, and on the terms and subject to the conditions of which, the PIPE Investors have independently subscribed for an aggregate of 27 million shares of Class A common stock for an aggregate purchase price equal to $270 million (the “PIPE Investment”). The PIPE Investment will be consummated substantially concurrently with the consummation of the transactions contemplated by the Merger Agreement.</w:t>
      </w:r>
    </w:p>
    <w:p>
      <w:pPr>
        <w:spacing w:after="0" w:line="18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October 1, 2021, Khosla Ventures Acquisition Co. II (“KVSB”) entered into an amendment (the “Amendment”) to the previously disclosed Agreement and Plan of Merger (the “Merger Agreement”), dated as of July 6, 2021, among KVSB, Nextdoor, Inc., a Delaware corporation (“Nextdoor”) and Lorelei Merger Sub Inc., a Delaware corporation and a direct wholly-owned subsidiary of KVSB. Pursuant to the Amendment, in addition to KVSB stockholder approval of the amendment and restatement of the certificate of incorporation of KVSB (the “Proposed Charter”) pursuant to the governing documents of KVSB and applicable law, the parties agreed to a mutual closing condition that the Proposed Charter will have been approved at the Acquiror Stockholders’ Meeting by the affirmative vote of the holders of a majority of the shares of KVSB’s Class A common stock, par value $0.0001 per share (“KVSB Class A Common Stock”), then outstanding and entitled to vote thereon at the Acquiror Stockholders’ Meeting, voting separately as a single series. The Amendment provides that such condition may not be waived by the parties. The form of Proposed Charter is attached as Annex C to the registration statement on Form S-4 that KVSB filed with the SEC on July 20, 2021. The transaction is expected to close on November 5, 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Quarterly Report.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3. Defaults Upon Senior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4. Mine Safety Disclosures.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5.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6. Exhibits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62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color w:val="auto"/>
              </w:rPr>
              <w:t>Description of Exhibit</w:t>
            </w:r>
          </w:p>
        </w:tc>
      </w:tr>
      <w:tr>
        <w:trPr>
          <w:trHeight w:val="263"/>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gridSpan w:val="7"/>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Principal Executive Officer Pursuant to Securities Exchange Act Rules 13a-14(a) and 15(d)-14(a), as adopted Pursuant</w:t>
              </w:r>
            </w:hyperlink>
          </w:p>
        </w:tc>
      </w:tr>
      <w:tr>
        <w:trPr>
          <w:trHeight w:val="196"/>
        </w:trPr>
        <w:tc>
          <w:tcPr>
            <w:tcW w:w="1180" w:type="dxa"/>
            <w:vAlign w:val="bottom"/>
          </w:tcPr>
          <w:p>
            <w:pPr>
              <w:spacing w:after="0"/>
              <w:rPr>
                <w:sz w:val="17"/>
                <w:szCs w:val="17"/>
                <w:color w:val="auto"/>
              </w:rPr>
            </w:pPr>
          </w:p>
        </w:tc>
        <w:tc>
          <w:tcPr>
            <w:tcW w:w="9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to Section 302 of the Sarbanes-Oxley Act of 2002</w:t>
              </w:r>
            </w:hyperlink>
          </w:p>
        </w:tc>
        <w:tc>
          <w:tcPr>
            <w:tcW w:w="1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96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of Principal Financial Officer Pursuant to Securities Exchange Act Rules 13a-14(a) and 15(d)-14(a), as adopted Pursuant</w:t>
              </w:r>
            </w:hyperlink>
          </w:p>
        </w:tc>
        <w:tc>
          <w:tcPr>
            <w:tcW w:w="18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8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Oxley Act of 2002</w:t>
              </w:r>
            </w:hyperlink>
          </w:p>
        </w:tc>
      </w:tr>
      <w:tr>
        <w:trPr>
          <w:trHeight w:val="20"/>
        </w:trPr>
        <w:tc>
          <w:tcPr>
            <w:tcW w:w="1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9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32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Oxley Act of 2002</w:t>
              </w:r>
            </w:hyperlink>
          </w:p>
        </w:tc>
      </w:tr>
      <w:tr>
        <w:trPr>
          <w:trHeight w:val="20"/>
        </w:trPr>
        <w:tc>
          <w:tcPr>
            <w:tcW w:w="1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500" w:type="dxa"/>
            <w:vAlign w:val="bottom"/>
            <w:gridSpan w:val="6"/>
          </w:tcPr>
          <w:p>
            <w:pPr>
              <w:spacing w:after="0" w:line="20" w:lineRule="exact"/>
              <w:rPr>
                <w:sz w:val="1"/>
                <w:szCs w:val="1"/>
                <w:color w:val="auto"/>
              </w:rPr>
            </w:pPr>
          </w:p>
        </w:tc>
      </w:tr>
      <w:tr>
        <w:trPr>
          <w:trHeight w:val="344"/>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229"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Furnished.</w:t>
      </w:r>
    </w:p>
    <w:p>
      <w:pPr>
        <w:sectPr>
          <w:pgSz w:w="11900" w:h="16838" w:orient="portrait"/>
          <w:cols w:equalWidth="0" w:num="1">
            <w:col w:w="11140"/>
          </w:cols>
          <w:pgMar w:left="320" w:top="486" w:right="439" w:bottom="1440" w:gutter="0" w:footer="0" w:header="0"/>
        </w:sectPr>
      </w:pP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86"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KHOSLA VENTURES ACQUISITION CO. II</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November 3, 2021</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Buckland</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Peter Buckland</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8"/>
        </w:trPr>
        <w:tc>
          <w:tcPr>
            <w:tcW w:w="3600" w:type="dxa"/>
            <w:vAlign w:val="bottom"/>
          </w:tcPr>
          <w:p>
            <w:pPr>
              <w:spacing w:after="0"/>
              <w:rPr>
                <w:sz w:val="24"/>
                <w:szCs w:val="24"/>
                <w:color w:val="auto"/>
              </w:rPr>
            </w:pPr>
          </w:p>
        </w:tc>
        <w:tc>
          <w:tcPr>
            <w:tcW w:w="2560" w:type="dxa"/>
            <w:vAlign w:val="bottom"/>
          </w:tcPr>
          <w:p>
            <w:pPr>
              <w:ind w:left="1820"/>
              <w:spacing w:after="0"/>
              <w:rPr>
                <w:sz w:val="20"/>
                <w:szCs w:val="20"/>
                <w:color w:val="auto"/>
              </w:rPr>
            </w:pPr>
            <w:r>
              <w:rPr>
                <w:rFonts w:ascii="Arial" w:cs="Arial" w:eastAsia="Arial" w:hAnsi="Arial"/>
                <w:sz w:val="18"/>
                <w:szCs w:val="18"/>
                <w:color w:val="auto"/>
              </w:rPr>
              <w:t>22</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CERTIFICATION OF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Samir Kaul, certify that:</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Khosla Ventures Acquisition Co. II;</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Kaul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Samir Kaul</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5"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CERTIFICATION OF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 Peter Buckland, certify that:</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Khosla Ventures Acquisition Co. II;</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Buckland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Peter Buckland</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024"/>
          </w:cols>
          <w:pgMar w:left="436" w:top="125"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Quarterly Report of Khosla Ventures Acquisition Co. II (the “Company”) on Form 10-Q for the quarterly period ended September 30, 2021, as filed with the Securities and Exchange Commission (the “Report”), I, Samir Kaul, Chief Executive Officer and Director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Kaul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Samir Kaul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5"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of Khosla Ventures Acquisition Co. II (the “Company”) on Form 10-Q for the quarterly period ended September 30, 2021, as filed with the Securities and Exchange Commission (the “Report”), I, Peter Buckland,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Buckland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Buckland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2021-11-03T14:29:25Z</dcterms:created>
  <dcterms:modified xsi:type="dcterms:W3CDTF">2021-11-03T14:29:25Z</dcterms:modified>
</cp:coreProperties>
</file>