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075" w:type="dxa"/>
        <w:jc w:val="center"/>
        <w:tblInd w:w="0" w:type="dxa"/>
        <w:tblLayout w:type="fixed"/>
        <w:tblCellMar>
          <w:top w:w="28" w:type="dxa"/>
          <w:left w:w="28" w:type="dxa"/>
          <w:bottom w:w="28" w:type="dxa"/>
          <w:right w:w="28" w:type="dxa"/>
        </w:tblCellMar>
      </w:tblPr>
      <w:tblGrid>
        <w:gridCol w:w="141"/>
        <w:gridCol w:w="124"/>
        <w:gridCol w:w="126"/>
        <w:gridCol w:w="2538"/>
        <w:gridCol w:w="2538"/>
        <w:gridCol w:w="36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transition period from to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Commission file number 001-40246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Nextdoor Holdings,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56" w:type="dxa"/>
        <w:jc w:val="left"/>
        <w:tblInd w:w="0" w:type="dxa"/>
        <w:tblLayout w:type="fixed"/>
        <w:tblCellMar>
          <w:top w:w="28" w:type="dxa"/>
          <w:left w:w="28" w:type="dxa"/>
          <w:bottom w:w="28" w:type="dxa"/>
          <w:right w:w="28" w:type="dxa"/>
        </w:tblCellMar>
      </w:tblPr>
      <w:tblGrid>
        <w:gridCol w:w="1091"/>
        <w:gridCol w:w="957"/>
        <w:gridCol w:w="967"/>
        <w:gridCol w:w="109"/>
        <w:gridCol w:w="109"/>
        <w:gridCol w:w="109"/>
        <w:gridCol w:w="528"/>
        <w:gridCol w:w="528"/>
        <w:gridCol w:w="75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86-1776836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(State or Other Jurisdiction of</w:t>
            </w:r>
          </w:p>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(I.R.S. Employer</w:t>
            </w:r>
          </w:p>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420 Taylor Street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San Francisco, California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94102</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5156" w:type="dxa"/>
            <w:gridSpan w:val="9"/>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(415) 344-0333</w:t>
            </w:r>
          </w:p>
          <w:p>
            <w:pPr>
              <w:pStyle w:val="TableContents"/>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bl>
    <w:tbl>
      <w:tblPr>
        <w:tblW w:w="8384" w:type="dxa"/>
        <w:jc w:val="left"/>
        <w:tblInd w:w="0" w:type="dxa"/>
        <w:tblLayout w:type="fixed"/>
        <w:tblCellMar>
          <w:top w:w="28" w:type="dxa"/>
          <w:left w:w="28" w:type="dxa"/>
          <w:bottom w:w="28" w:type="dxa"/>
          <w:right w:w="28" w:type="dxa"/>
        </w:tblCellMar>
      </w:tblPr>
      <w:tblGrid>
        <w:gridCol w:w="1354"/>
        <w:gridCol w:w="1182"/>
        <w:gridCol w:w="1199"/>
        <w:gridCol w:w="474"/>
        <w:gridCol w:w="474"/>
        <w:gridCol w:w="476"/>
        <w:gridCol w:w="945"/>
        <w:gridCol w:w="945"/>
        <w:gridCol w:w="1335"/>
      </w:tblGrid>
      <w:tr>
        <w:trPr/>
        <w:tc>
          <w:tcPr>
            <w:tcW w:w="135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7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NXDR</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345"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180"/>
        <w:jc w:val="left"/>
        <w:rPr/>
      </w:pPr>
      <w:r>
        <w:rPr/>
      </w:r>
    </w:p>
    <w:p>
      <w:pPr>
        <w:pStyle w:val="TextBody"/>
        <w:bidi w:val="0"/>
        <w:spacing w:lineRule="auto" w:line="345" w:before="0" w:after="180"/>
        <w:jc w:val="both"/>
        <w:rPr>
          <w:rFonts w:ascii="Times New Roman;serif" w:hAnsi="Times New Roman;serif"/>
          <w:b w:val="false"/>
          <w:color w:val="000000"/>
          <w:sz w:val="16"/>
        </w:rPr>
      </w:pPr>
      <w:r>
        <w:rPr>
          <w:rFonts w:ascii="Times New Roman;serif" w:hAnsi="Times New Roman;serif"/>
          <w:b w:val="false"/>
          <w:color w:val="000000"/>
          <w:sz w:val="16"/>
        </w:rPr>
        <w:t xml:space="preserve">As of July 31, 2026, there were 259,381,559 shares of the registrant’s Class A common stock outstanding and 127,466,843 shares of the registrant’s Class B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3"/>
        <w:gridCol w:w="687"/>
        <w:gridCol w:w="687"/>
        <w:gridCol w:w="2518"/>
        <w:gridCol w:w="2471"/>
        <w:gridCol w:w="2516"/>
        <w:gridCol w:w="158"/>
        <w:gridCol w:w="158"/>
        <w:gridCol w:w="227"/>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3">
              <w:r>
                <w:rPr>
                  <w:rStyle w:val="InternetLink"/>
                  <w:rFonts w:ascii="Times New Roman;serif" w:hAnsi="Times New Roman;serif"/>
                  <w:b w:val="false"/>
                  <w:color w:val="0000FF"/>
                  <w:sz w:val="20"/>
                  <w:u w:val="single"/>
                </w:rPr>
                <w:t>Special Note Regarding Forward-Looking Statements</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c8b01fa04834ccd846ef4c1f6cf94c1_13">
              <w:r>
                <w:rPr>
                  <w:rStyle w:val="InternetLink"/>
                  <w:rFonts w:ascii="Times New Roman;serif" w:hAnsi="Times New Roman;serif"/>
                  <w:b w:val="false"/>
                  <w:color w:val="0000FF"/>
                  <w:sz w:val="20"/>
                  <w:u w:val="single"/>
                </w:rPr>
                <w:t>2</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6">
              <w:r>
                <w:rPr>
                  <w:rStyle w:val="InternetLink"/>
                  <w:rFonts w:ascii="Times New Roman;serif" w:hAnsi="Times New Roman;serif"/>
                  <w:b w:val="false"/>
                  <w:color w:val="0000FF"/>
                  <w:sz w:val="20"/>
                  <w:u w:val="single"/>
                </w:rPr>
                <w:t>Risk Factor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6">
              <w:r>
                <w:rPr>
                  <w:rStyle w:val="InternetLink"/>
                  <w:rFonts w:ascii="Times New Roman;serif" w:hAnsi="Times New Roman;serif"/>
                  <w:b w:val="false"/>
                  <w:color w:val="0000FF"/>
                  <w:sz w:val="20"/>
                  <w:u w:val="single"/>
                </w:rPr>
                <w:t>4</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9">
              <w:r>
                <w:rPr>
                  <w:rStyle w:val="InternetLink"/>
                  <w:rFonts w:ascii="Times New Roman;serif" w:hAnsi="Times New Roman;serif"/>
                  <w:b w:val="false"/>
                  <w:color w:val="0000FF"/>
                  <w:sz w:val="20"/>
                  <w:u w:val="single"/>
                </w:rPr>
                <w:t>Part I - Financial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22">
              <w:r>
                <w:rPr>
                  <w:rStyle w:val="InternetLink"/>
                  <w:rFonts w:ascii="Times New Roman;serif" w:hAnsi="Times New Roman;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22">
              <w:r>
                <w:rPr>
                  <w:rStyle w:val="InternetLink"/>
                  <w:rFonts w:ascii="Times New Roman;serif" w:hAnsi="Times New Roman;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25">
              <w:r>
                <w:rPr>
                  <w:rStyle w:val="InternetLink"/>
                  <w:rFonts w:ascii="Times New Roman;serif" w:hAnsi="Times New Roman;serif"/>
                  <w:b w:val="false"/>
                  <w:color w:val="0000FF"/>
                  <w:sz w:val="20"/>
                  <w:u w:val="single"/>
                </w:rPr>
                <w:t>Condensed Consolidated Balance Sheets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25">
              <w:r>
                <w:rPr>
                  <w:rStyle w:val="InternetLink"/>
                  <w:rFonts w:ascii="Times New Roman;serif" w:hAnsi="Times New Roman;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31">
              <w:r>
                <w:rPr>
                  <w:rStyle w:val="InternetLink"/>
                  <w:rFonts w:ascii="Times New Roman;serif" w:hAnsi="Times New Roman;serif"/>
                  <w:b w:val="false"/>
                  <w:color w:val="0000FF"/>
                  <w:sz w:val="20"/>
                  <w:u w:val="single"/>
                </w:rPr>
                <w:t>Condensed Consolidated Statements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31">
              <w:r>
                <w:rPr>
                  <w:rStyle w:val="InternetLink"/>
                  <w:rFonts w:ascii="Times New Roman;serif" w:hAnsi="Times New Roman;serif"/>
                  <w:b w:val="false"/>
                  <w:color w:val="0000FF"/>
                  <w:sz w:val="20"/>
                  <w:u w:val="single"/>
                </w:rPr>
                <w:t>7</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34">
              <w:r>
                <w:rPr>
                  <w:rStyle w:val="InternetLink"/>
                  <w:rFonts w:ascii="Times New Roman;serif" w:hAnsi="Times New Roman;serif"/>
                  <w:b w:val="false"/>
                  <w:color w:val="0000FF"/>
                  <w:sz w:val="20"/>
                  <w:u w:val="single"/>
                </w:rPr>
                <w:t>Condensed Consolidated Statements of Comprehensive Loss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34">
              <w:r>
                <w:rPr>
                  <w:rStyle w:val="InternetLink"/>
                  <w:rFonts w:ascii="Times New Roman;serif" w:hAnsi="Times New Roman;serif"/>
                  <w:b w:val="false"/>
                  <w:color w:val="0000FF"/>
                  <w:sz w:val="20"/>
                  <w:u w:val="single"/>
                </w:rPr>
                <w:t>8</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37">
              <w:r>
                <w:rPr>
                  <w:rStyle w:val="InternetLink"/>
                  <w:rFonts w:ascii="Times New Roman;serif" w:hAnsi="Times New Roman;serif"/>
                  <w:b w:val="false"/>
                  <w:color w:val="0000FF"/>
                  <w:sz w:val="20"/>
                  <w:u w:val="single"/>
                </w:rPr>
                <w:t>Condensed Consolidated Statements of Stockholders’ Equity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37">
              <w:r>
                <w:rPr>
                  <w:rStyle w:val="InternetLink"/>
                  <w:rFonts w:ascii="Times New Roman;serif" w:hAnsi="Times New Roman;serif"/>
                  <w:b w:val="false"/>
                  <w:color w:val="0000FF"/>
                  <w:sz w:val="20"/>
                  <w:u w:val="single"/>
                </w:rPr>
                <w:t>9</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40">
              <w:r>
                <w:rPr>
                  <w:rStyle w:val="InternetLink"/>
                  <w:rFonts w:ascii="Times New Roman;serif" w:hAnsi="Times New Roman;serif"/>
                  <w:b w:val="false"/>
                  <w:color w:val="0000FF"/>
                  <w:sz w:val="20"/>
                  <w:u w:val="single"/>
                </w:rPr>
                <w:t>Condensed Consolidated Statements of Cash Flows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40">
              <w:r>
                <w:rPr>
                  <w:rStyle w:val="InternetLink"/>
                  <w:rFonts w:ascii="Times New Roman;serif" w:hAnsi="Times New Roman;serif"/>
                  <w:b w:val="false"/>
                  <w:color w:val="0000FF"/>
                  <w:sz w:val="20"/>
                  <w:u w:val="single"/>
                </w:rPr>
                <w:t>11</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43">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43">
              <w:r>
                <w:rPr>
                  <w:rStyle w:val="InternetLink"/>
                  <w:rFonts w:ascii="Times New Roman;serif" w:hAnsi="Times New Roman;serif"/>
                  <w:b w:val="false"/>
                  <w:color w:val="0000FF"/>
                  <w:sz w:val="20"/>
                  <w:u w:val="single"/>
                </w:rPr>
                <w:t>12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88">
              <w:r>
                <w:rPr>
                  <w:rStyle w:val="InternetLink"/>
                  <w:rFonts w:ascii="Times New Roman;serif" w:hAnsi="Times New Roman;serif"/>
                  <w:b w:val="false"/>
                  <w:color w:val="0000FF"/>
                  <w:sz w:val="20"/>
                  <w:u w:val="single"/>
                </w:rPr>
                <w:t>21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18">
              <w:r>
                <w:rPr>
                  <w:rStyle w:val="InternetLink"/>
                  <w:rFonts w:ascii="Times New Roman;serif" w:hAnsi="Times New Roman;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18">
              <w:r>
                <w:rPr>
                  <w:rStyle w:val="InternetLink"/>
                  <w:rFonts w:ascii="Times New Roman;serif" w:hAnsi="Times New Roman;serif"/>
                  <w:b w:val="false"/>
                  <w:color w:val="0000FF"/>
                  <w:sz w:val="20"/>
                  <w:u w:val="single"/>
                </w:rPr>
                <w:t>29</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21">
              <w:r>
                <w:rPr>
                  <w:rStyle w:val="InternetLink"/>
                  <w:rFonts w:ascii="Times New Roman;serif" w:hAnsi="Times New Roman;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21">
              <w:r>
                <w:rPr>
                  <w:rStyle w:val="InternetLink"/>
                  <w:rFonts w:ascii="Times New Roman;serif" w:hAnsi="Times New Roman;serif"/>
                  <w:b w:val="false"/>
                  <w:color w:val="0000FF"/>
                  <w:sz w:val="20"/>
                  <w:u w:val="single"/>
                </w:rPr>
                <w:t>30</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24">
              <w:r>
                <w:rPr>
                  <w:rStyle w:val="InternetLink"/>
                  <w:rFonts w:ascii="Times New Roman;serif" w:hAnsi="Times New Roman;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27">
              <w:r>
                <w:rPr>
                  <w:rStyle w:val="InternetLink"/>
                  <w:rFonts w:ascii="Times New Roman;serif" w:hAnsi="Times New Roman;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27">
              <w:r>
                <w:rPr>
                  <w:rStyle w:val="InternetLink"/>
                  <w:rFonts w:ascii="Times New Roman;serif" w:hAnsi="Times New Roman;serif"/>
                  <w:b w:val="false"/>
                  <w:color w:val="0000FF"/>
                  <w:sz w:val="20"/>
                  <w:u w:val="single"/>
                </w:rPr>
                <w:t>31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R</w:t>
            </w:r>
            <w:hyperlink w:anchor="i3c8b01fa04834ccd846ef4c1f6cf94c1_130">
              <w:r>
                <w:rPr>
                  <w:rStyle w:val="InternetLink"/>
                  <w:rFonts w:ascii="Times New Roman;serif" w:hAnsi="Times New Roman;serif"/>
                  <w:b w:val="false"/>
                  <w:color w:val="000080"/>
                  <w:sz w:val="20"/>
                  <w:u w:val="single"/>
                </w:rPr>
                <w:t>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30">
              <w:r>
                <w:rPr>
                  <w:rStyle w:val="InternetLink"/>
                  <w:rFonts w:ascii="Times New Roman;serif" w:hAnsi="Times New Roman;serif"/>
                  <w:b w:val="false"/>
                  <w:color w:val="0000FF"/>
                  <w:sz w:val="20"/>
                  <w:u w:val="single"/>
                </w:rPr>
                <w:t>31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33">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33">
              <w:r>
                <w:rPr>
                  <w:rStyle w:val="InternetLink"/>
                  <w:rFonts w:ascii="Times New Roman;serif" w:hAnsi="Times New Roman;serif"/>
                  <w:b w:val="false"/>
                  <w:color w:val="0000FF"/>
                  <w:sz w:val="20"/>
                  <w:u w:val="single"/>
                </w:rPr>
                <w:t>64</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36">
              <w:r>
                <w:rPr>
                  <w:rStyle w:val="InternetLink"/>
                  <w:rFonts w:ascii="Times New Roman;serif" w:hAnsi="Times New Roman;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36">
              <w:r>
                <w:rPr>
                  <w:rStyle w:val="InternetLink"/>
                  <w:rFonts w:ascii="Times New Roman;serif" w:hAnsi="Times New Roman;serif"/>
                  <w:b w:val="false"/>
                  <w:color w:val="0000FF"/>
                  <w:sz w:val="20"/>
                  <w:u w:val="single"/>
                </w:rPr>
                <w:t>64</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39">
              <w:r>
                <w:rPr>
                  <w:rStyle w:val="InternetLink"/>
                  <w:rFonts w:ascii="Times New Roman;serif" w:hAnsi="Times New Roman;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39">
              <w:r>
                <w:rPr>
                  <w:rStyle w:val="InternetLink"/>
                  <w:rFonts w:ascii="Times New Roman;serif" w:hAnsi="Times New Roman;serif"/>
                  <w:b w:val="false"/>
                  <w:color w:val="0000FF"/>
                  <w:sz w:val="20"/>
                  <w:u w:val="single"/>
                </w:rPr>
                <w:t>64</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42">
              <w:r>
                <w:rPr>
                  <w:rStyle w:val="InternetLink"/>
                  <w:rFonts w:ascii="Times New Roman;serif" w:hAnsi="Times New Roman;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42">
              <w:r>
                <w:rPr>
                  <w:rStyle w:val="InternetLink"/>
                  <w:rFonts w:ascii="Times New Roman;serif" w:hAnsi="Times New Roman;serif"/>
                  <w:b w:val="false"/>
                  <w:color w:val="0000FF"/>
                  <w:sz w:val="20"/>
                  <w:u w:val="single"/>
                </w:rPr>
                <w:t>65</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48">
              <w:r>
                <w:rPr>
                  <w:rStyle w:val="InternetLink"/>
                  <w:rFonts w:ascii="Times New Roman;serif" w:hAnsi="Times New Roman;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48">
              <w:r>
                <w:rPr>
                  <w:rStyle w:val="InternetLink"/>
                  <w:rFonts w:ascii="Times New Roman;serif" w:hAnsi="Times New Roman;serif"/>
                  <w:b w:val="false"/>
                  <w:color w:val="0000FF"/>
                  <w:sz w:val="20"/>
                  <w:u w:val="single"/>
                </w:rPr>
                <w:t>66</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c8b01fa04834ccd846ef4c1f6cf94c1_151">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8b01fa04834ccd846ef4c1f6cf94c1_151">
              <w:r>
                <w:rPr>
                  <w:rStyle w:val="InternetLink"/>
                  <w:rFonts w:ascii="Times New Roman;serif" w:hAnsi="Times New Roman;serif"/>
                  <w:b w:val="false"/>
                  <w:color w:val="0000FF"/>
                  <w:sz w:val="20"/>
                  <w:u w:val="singl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xbxContent>
                </v:textbox>
                <w10:wrap type="none"/>
              </v:rect>
            </w:pict>
          </mc:Fallback>
        </mc:AlternateContent>
      </w:r>
    </w:p>
    <w:p>
      <w:pPr>
        <w:pStyle w:val="TextBody"/>
        <w:bidi w:val="0"/>
        <w:spacing w:lineRule="auto" w:line="288" w:before="0" w:after="18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ind w:left="0" w:right="0" w:firstLine="720"/>
        <w:jc w:val="both"/>
        <w:rPr/>
      </w:pPr>
      <w:r>
        <w:rPr>
          <w:rFonts w:ascii="Times New Roman;serif" w:hAnsi="Times New Roman;serif"/>
          <w:b w:val="false"/>
          <w:color w:val="000000"/>
          <w:sz w:val="20"/>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 “targets,” and variations of such words and similar expressions are intended to identify forward-looking statements.</w:t>
      </w:r>
      <w:r>
        <w:rPr>
          <w:color w:val="000000"/>
        </w:rPr>
        <w:t xml:space="preserve"> </w:t>
      </w:r>
      <w:r>
        <w:rPr>
          <w:rFonts w:ascii="Times New Roman;serif" w:hAnsi="Times New Roman;serif"/>
          <w:b w:val="false"/>
          <w:color w:val="000000"/>
          <w:sz w:val="20"/>
        </w:rPr>
        <w:t>Forward-looking statements in this Quarterly Report may include, for example, statements about: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anticipated growth, including our ability to scale new neighbor growth, our ability to grow engagement by our existing neighbor base and our ability to increase monetization of our platform;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scale our business and monetization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development of, or investment in, new products or enhancements to our platform, including as part of our new Nextdoor initiative;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political, economic, and macroeconomic climate, whether in the advertising industry in general, or among specific types of advertisers or within particular geographies, including but not limited to the impacts related to significant political, trade, or regulatory developments, turmoil in the global banking system, labor shortages, supply chain disruptions, a potential recession, a potential temporary federal government shutdown, inflation, and changing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expand our business operations abroad by opening new and expanding within existing neighborhoods outside of the United States;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respond to general economic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invest in, and the ultimate success of, technologies, including artificial intelligence, aimed at enhancing our business solutions and delivering additional value to customers on our platform;</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scale our business effectively;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achieve and maintain profitability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access sources of capital to finance operations and growth;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success of strategic relationships with third parties;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maintain the listing of our Class A common stock on the New York Stock Exchange;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changes in applicable laws or regulations, both within and outside of the United States;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impact of the regulatory environment and complexities with compliance related to such environment;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inability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as a result of interruptions, delays, or failures resulting from earthquakes, fires, floods, adverse weather conditions, other natural disasters, power loss, terrorism, pandemics, geopolitical conflict, other physical security threats, cyber-attacks, or other catastrophic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raise financing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financial performance;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lineRule="auto" w:line="288" w:before="0" w:after="18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other factors detailed in Part II, Item 1A, “Risk Factors” in this Quarterly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the terms “Nextdoor,” “we,” “us,” “Registrant,” and “our” mean Nextdoor Holdings,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v:textbox>
                <w10:wrap type="none"/>
              </v:rect>
            </w:pict>
          </mc:Fallback>
        </mc:AlternateContent>
      </w:r>
    </w:p>
    <w:p>
      <w:pPr>
        <w:pStyle w:val="TextBody"/>
        <w:bidi w:val="0"/>
        <w:spacing w:lineRule="auto" w:line="288" w:before="0" w:after="18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still scaling up our monetization efforts, which makes it difficult to evaluate our current business and future prospects, and there is no assurance we will be able to scale our business for future growth.</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Adverse global economic and financial conditions could harm our business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highly competitive. Competition presents an ongoing threat to the success of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If we fail to scale our business effectively, our business, operating results, and financial condition would be adversely affected.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not be successful in our artificial intelligence (“AI”) initiatives, which could adversely affect our business, reputation, or financial results.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dependent on third-party software and service providers, including ads platforms and programmatic advertising partners, for management and delivery of certain advertisements on the Nextdoor platform. Any failure or interruption experienced by such third parties could result in the inability of certain businesses to advertise on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Unauthorized scraping or use of content from our platform, including for AI model training, could diminish the value of our platform and harm our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Security breaches, including improper access to or disclosure of our data or our neighbors’ data, or other hacking and phishing attacks on our or third-party systems, could harm our reputation, adversely affect our business, and result in legal liability.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Certain of our market opportunities and key metric estimates could prove to be inaccurate, and have been inaccurate in the past, and any real or perceived inaccuracies may harm our reputation and negatively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v:textbox>
                <w10:wrap type="none"/>
              </v:rect>
            </w:pict>
          </mc:Fallback>
        </mc:AlternateContent>
      </w:r>
    </w:p>
    <w:p>
      <w:pPr>
        <w:pStyle w:val="TextBody"/>
        <w:bidi w:val="0"/>
        <w:spacing w:lineRule="auto" w:line="288" w:before="0" w:after="18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have greater than anticipated tax liabilities, which could harm our business, revenue and financial results.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liable as a result of content or information that is published or made available on our platform.</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currently, and in the future may be, involved in legal disputes that are expensive and time consuming, and, if resolved adversely, could harm our business, operating results, and financial condition.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price of our Class A common stock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v:textbox>
                <w10:wrap type="none"/>
              </v:rect>
            </w:pict>
          </mc:Fallback>
        </mc:AlternateContent>
      </w:r>
    </w:p>
    <w:p>
      <w:pPr>
        <w:pStyle w:val="TextBody"/>
        <w:bidi w:val="0"/>
        <w:spacing w:lineRule="auto" w:line="288" w:before="0" w:after="18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805"/>
        <w:gridCol w:w="2306"/>
        <w:gridCol w:w="2264"/>
        <w:gridCol w:w="211"/>
        <w:gridCol w:w="826"/>
        <w:gridCol w:w="109"/>
        <w:gridCol w:w="109"/>
        <w:gridCol w:w="109"/>
        <w:gridCol w:w="109"/>
        <w:gridCol w:w="240"/>
        <w:gridCol w:w="940"/>
        <w:gridCol w:w="177"/>
      </w:tblGrid>
      <w:tr>
        <w:trPr/>
        <w:tc>
          <w:tcPr>
            <w:tcW w:w="2805"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$517 and $491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448,239 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486,803 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2,500,000 shares authorized, 255,064 and 262,446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500,000 shares authorized, 127,492 and 127,681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1,347,968 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(918,287)</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431,283 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486,803 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v:textbox>
                <w10:wrap type="none"/>
              </v:rect>
            </w:pict>
          </mc:Fallback>
        </mc:AlternateContent>
      </w:r>
    </w:p>
    <w:p>
      <w:pPr>
        <w:pStyle w:val="TextBody"/>
        <w:bidi w:val="0"/>
        <w:spacing w:lineRule="auto" w:line="288" w:before="0" w:after="18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899"/>
        <w:gridCol w:w="1427"/>
        <w:gridCol w:w="1442"/>
        <w:gridCol w:w="211"/>
        <w:gridCol w:w="721"/>
        <w:gridCol w:w="109"/>
        <w:gridCol w:w="109"/>
        <w:gridCol w:w="109"/>
        <w:gridCol w:w="109"/>
        <w:gridCol w:w="211"/>
        <w:gridCol w:w="756"/>
        <w:gridCol w:w="109"/>
        <w:gridCol w:w="109"/>
        <w:gridCol w:w="109"/>
        <w:gridCol w:w="109"/>
        <w:gridCol w:w="211"/>
        <w:gridCol w:w="826"/>
        <w:gridCol w:w="109"/>
        <w:gridCol w:w="109"/>
        <w:gridCol w:w="109"/>
        <w:gridCol w:w="109"/>
        <w:gridCol w:w="211"/>
        <w:gridCol w:w="826"/>
        <w:gridCol w:w="156"/>
      </w:tblGrid>
      <w:tr>
        <w:trPr/>
        <w:tc>
          <w:tcPr>
            <w:tcW w:w="189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Class A and Class B common stockholders, basic and 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802"/>
        <w:gridCol w:w="1527"/>
        <w:gridCol w:w="1557"/>
        <w:gridCol w:w="211"/>
        <w:gridCol w:w="674"/>
        <w:gridCol w:w="109"/>
        <w:gridCol w:w="109"/>
        <w:gridCol w:w="109"/>
        <w:gridCol w:w="109"/>
        <w:gridCol w:w="211"/>
        <w:gridCol w:w="779"/>
        <w:gridCol w:w="109"/>
        <w:gridCol w:w="109"/>
        <w:gridCol w:w="109"/>
        <w:gridCol w:w="109"/>
        <w:gridCol w:w="211"/>
        <w:gridCol w:w="779"/>
        <w:gridCol w:w="109"/>
        <w:gridCol w:w="109"/>
        <w:gridCol w:w="109"/>
        <w:gridCol w:w="109"/>
        <w:gridCol w:w="211"/>
        <w:gridCol w:w="779"/>
        <w:gridCol w:w="156"/>
      </w:tblGrid>
      <w:tr>
        <w:trPr/>
        <w:tc>
          <w:tcPr>
            <w:tcW w:w="180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available-for-sale marketable securities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1310" w:type="dxa"/>
        <w:jc w:val="center"/>
        <w:tblInd w:w="0" w:type="dxa"/>
        <w:tblLayout w:type="fixed"/>
        <w:tblCellMar>
          <w:top w:w="28" w:type="dxa"/>
          <w:left w:w="28" w:type="dxa"/>
          <w:bottom w:w="28" w:type="dxa"/>
          <w:right w:w="28" w:type="dxa"/>
        </w:tblCellMar>
      </w:tblPr>
      <w:tblGrid>
        <w:gridCol w:w="707"/>
        <w:gridCol w:w="239"/>
        <w:gridCol w:w="240"/>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6"/>
        <w:gridCol w:w="785"/>
        <w:gridCol w:w="155"/>
        <w:gridCol w:w="109"/>
        <w:gridCol w:w="109"/>
        <w:gridCol w:w="109"/>
        <w:gridCol w:w="196"/>
        <w:gridCol w:w="751"/>
        <w:gridCol w:w="109"/>
        <w:gridCol w:w="109"/>
        <w:gridCol w:w="109"/>
        <w:gridCol w:w="109"/>
        <w:gridCol w:w="205"/>
        <w:gridCol w:w="773"/>
        <w:gridCol w:w="163"/>
      </w:tblGrid>
      <w:tr>
        <w:trPr/>
        <w:tc>
          <w:tcPr>
            <w:tcW w:w="7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June 30, 2026</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436,069 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(15,362)</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June 30,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429,533 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tbl>
      <w:tblPr>
        <w:tblW w:w="11310" w:type="dxa"/>
        <w:jc w:val="center"/>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6"/>
        <w:gridCol w:w="785"/>
        <w:gridCol w:w="155"/>
        <w:gridCol w:w="109"/>
        <w:gridCol w:w="109"/>
        <w:gridCol w:w="109"/>
        <w:gridCol w:w="196"/>
        <w:gridCol w:w="751"/>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4" w:type="dxa"/>
            <w:gridSpan w:val="45"/>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(8,470)</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(28,659)</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(13,539)</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June 30,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410,626 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(14,528)</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(37,314)</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June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235,515 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429,533 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728" w:type="dxa"/>
        <w:jc w:val="left"/>
        <w:tblInd w:w="0" w:type="dxa"/>
        <w:tblLayout w:type="fixed"/>
        <w:tblCellMar>
          <w:top w:w="28" w:type="dxa"/>
          <w:left w:w="28" w:type="dxa"/>
          <w:bottom w:w="28" w:type="dxa"/>
          <w:right w:w="28" w:type="dxa"/>
        </w:tblCellMar>
      </w:tblPr>
      <w:tblGrid>
        <w:gridCol w:w="2646"/>
        <w:gridCol w:w="2320"/>
        <w:gridCol w:w="2338"/>
        <w:gridCol w:w="196"/>
        <w:gridCol w:w="721"/>
        <w:gridCol w:w="109"/>
        <w:gridCol w:w="109"/>
        <w:gridCol w:w="109"/>
        <w:gridCol w:w="109"/>
        <w:gridCol w:w="196"/>
        <w:gridCol w:w="721"/>
        <w:gridCol w:w="154"/>
      </w:tblGrid>
      <w:tr>
        <w:trPr/>
        <w:tc>
          <w:tcPr>
            <w:tcW w:w="264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Description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Nextdoor Holdings, Inc. (“Nextdoor” or the “Company”) is headquartered in San Francisco, California. Nextdoor is the essential neighborhood network connecting over 110 million Verified Neighbors to the people, places, and information that matter most in their local communities.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2026 or any other future interim or annual period.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Company’s significant accounting policies disclosed in Note 2 to the consolidated financial statements described in the Company’s Annual Report on Form 10-K as of and for the year ended December 31, 2025 that have had a material impact on the Company’s condensed consolidated financial statements and related notes.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incremental disclosures to disaggregate income statement expense items. ASU 2024-03 is effective for annual periods beginning after December 15, 2026, and interim periods within fiscal years beginning after December 15, 2027 with early adoption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Deferred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certain advertising arrangements the Company requires payment upfront from its customers. The Company records deferred revenue when it collects cash from customers in advance of revenue recognition. As of June 30, 2026 and December 31, 2025, deferred revenue was $6.9 million and $8.0 million, respectively, and included within accrued expenses and other current liabilities on the condensed consolidated balance sheets. For the three months ended June 30, 2026 and 2025, revenue recognized from deferred revenue at the beginning of each period was $3.4 million and $2.1 million, respectively. For the six months ended June 30, 2026 and 2025, revenue recognized from deferred revenue at the beginning of each period was $3.9 million and $2.8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Cash Equivalents and 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amortized costs, unrealized gains and losses, and estimated fair values of the Company’s cash equivalents and marketable securities were as follows (in thousands):</w:t>
      </w:r>
    </w:p>
    <w:tbl>
      <w:tblPr>
        <w:tblW w:w="740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0"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616"/>
        <w:gridCol w:w="109"/>
        <w:gridCol w:w="109"/>
        <w:gridCol w:w="109"/>
        <w:gridCol w:w="109"/>
        <w:gridCol w:w="257"/>
        <w:gridCol w:w="495"/>
        <w:gridCol w:w="134"/>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marketable securities are designated as available-for-sale securities as of June 30, 2026 and December 31, 2025. No investments had been in an unrealized loss position for greater than 12 months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contractual maturities of the Company’s marketable securities (in thousands):</w:t>
      </w:r>
    </w:p>
    <w:tbl>
      <w:tblPr>
        <w:tblW w:w="5636" w:type="dxa"/>
        <w:jc w:val="left"/>
        <w:tblInd w:w="0" w:type="dxa"/>
        <w:tblLayout w:type="fixed"/>
        <w:tblCellMar>
          <w:top w:w="28" w:type="dxa"/>
          <w:left w:w="28" w:type="dxa"/>
          <w:bottom w:w="28" w:type="dxa"/>
          <w:right w:w="28" w:type="dxa"/>
        </w:tblCellMar>
      </w:tblPr>
      <w:tblGrid>
        <w:gridCol w:w="842"/>
        <w:gridCol w:w="738"/>
        <w:gridCol w:w="744"/>
        <w:gridCol w:w="229"/>
        <w:gridCol w:w="898"/>
        <w:gridCol w:w="118"/>
        <w:gridCol w:w="109"/>
        <w:gridCol w:w="109"/>
        <w:gridCol w:w="109"/>
        <w:gridCol w:w="308"/>
        <w:gridCol w:w="1207"/>
        <w:gridCol w:w="225"/>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Estimated Fair Value </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to three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314,758 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314,422 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6" w:type="dxa"/>
        <w:jc w:val="left"/>
        <w:tblInd w:w="0" w:type="dxa"/>
        <w:tblLayout w:type="fixed"/>
        <w:tblCellMar>
          <w:top w:w="28" w:type="dxa"/>
          <w:left w:w="28" w:type="dxa"/>
          <w:bottom w:w="28" w:type="dxa"/>
          <w:right w:w="28" w:type="dxa"/>
        </w:tblCellMar>
      </w:tblPr>
      <w:tblGrid>
        <w:gridCol w:w="842"/>
        <w:gridCol w:w="738"/>
        <w:gridCol w:w="744"/>
        <w:gridCol w:w="229"/>
        <w:gridCol w:w="898"/>
        <w:gridCol w:w="118"/>
        <w:gridCol w:w="109"/>
        <w:gridCol w:w="109"/>
        <w:gridCol w:w="109"/>
        <w:gridCol w:w="308"/>
        <w:gridCol w:w="1207"/>
        <w:gridCol w:w="225"/>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Estimated Fair Value </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113,832 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114,172 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to three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Fair Value Measurements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measured at fair value on a recurring basis are classified by level within the fair value hierarchy. There were no financial assets or liabilities measured using Level 3 inputs as of June 30, 2026 and December 31, 2025. The following tables present information about the Company’s financial assets that are measured at fair value on a recurring basis (in thousands):</w:t>
      </w:r>
    </w:p>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pStyle w:val="TextBody"/>
        <w:bidi w:val="0"/>
        <w:spacing w:lineRule="auto" w:line="288" w:before="0" w:after="180"/>
        <w:jc w:val="both"/>
        <w:rPr/>
      </w:pPr>
      <w:r>
        <w:rPr>
          <w:rFonts w:ascii="Times New Roman;serif" w:hAnsi="Times New Roman;serif"/>
          <w:b w:val="false"/>
          <w:color w:val="000000"/>
          <w:sz w:val="20"/>
        </w:rPr>
        <w:br/>
      </w:r>
      <w:r>
        <w:rPr>
          <w:rFonts w:ascii="Times New Roman;serif" w:hAnsi="Times New Roman;serif"/>
          <w:b/>
          <w:i/>
          <w:color w:val="000000"/>
          <w:sz w:val="20"/>
        </w:rPr>
        <w:t xml:space="preserve">Assets and Liabilities Measured at Fair Value on a Recurring Basis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certain financial instruments, including cash held in banks, accounts receivable, and accounts payable approximate fair value due to their short-term maturities and are excluded from the fair value table above.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 Instruments, Assets, and Liabilities Not Recorded at Fair Value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Opportunity Finance Network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2022, the Company entered into a credit agreement with Opportunity Finance Network (“OFN”) to lend up to an aggregate of $15.0 million, unsecured, over the course of 24 months. As of June 30, 2026, the note receivable from OFN totaled $15.0 million and is recorded under other assets on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hierarchy of assets not recorded at fair value (in thousands):</w:t>
      </w:r>
    </w:p>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were no other financial instruments or liabilities that were not recorded at fair value.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entered into two operating lease agreements for office facilities in New York, New York and Dallas, Texas with aggregate future lease payments of approximately $10.7 million. The leases had not yet commenced as of June 30, 2026, and accordingly, no right-of-use assets or lease liabilities have been recorded on the condensed consolidated balance sheets as of that date. The leases are expected to commence in the second half of 2026, with lease terms ranging from approximately five to eight years. The Company's lease agreements generally do not contain any residual value guarantees or material restrictive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Commitments and Contingencies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matters discussed below summarize the Company’s current significant ongoing pending legal proceedings as of June 30,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Class Action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 merger Khosla Ventures SPAC Sponsor II LLC (the “Sponsor”), and certain entities allegedly related to the Sponsor. The two complaints were consolidated on December 6, 2024 and the plaintiffs filed a consolidated complaint on December 26, 2024. The consolidated complaint is brought on behalf of a class of KVSB stockholders who could have, but did not, choose to redeem their KVSB shares in connection with the November 5, 2021 merger between KVSB and the Company. The consolidated complaint alleges that defendants breached various duties to KVSB stockholders by making false or misleading statements and/or aided and abetted such breaches. The consolidated complaint also alleges claims for unjust enrichment. The consolidated complaint seeks damages, disgorgement, attorneys’ fees, and other costs. Defendants answered the consolidated complaint on February 10, 2025, following which discovery commenced. The Company filed an amended answer on December 12, 2025. On February 17, 2026, the plaintiffs filed an amended complaint, which brings the same claims and seeks the same relief as did the consolidated complaint. The Company filed a motion to dismiss the amended complaint on April 6, 2026. Briefing on the motion to dismiss is complete, and a hearing is scheduled for September 28,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For the three and six months ended June 30, 2026 and 2025, the Company did not incur material costs to defend lawsuits or settle claims related to these indemnifications. At inception of the indemnification arrangements, the Company determined the fair value of the stand ready obligations was not material. The Company continues to evaluate these stand ready obligations, no liabilities are recorded for these agreements as of June 30, 2026 and December 31, 2025. It is not possible to determine the maximum potential amount under these indemnification obligations due to the limited history of prior indemnification claims and the unique facts and circumstances involved in each particular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Incentive Plans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br/>
        <w:br/>
        <w:t xml:space="preserve">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six months ended June 30, 2026 and 2025, 307,511 and 408,404 shares of Class A common stock were purchased under the 2021 ESPP,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2022, the Company’s Board of Directors authorized and approved a share repurchase program to repurchase up to $100.0 million in aggregate of the Company’s Class A common stock, with the authorization to expire on June 30, 2024. The timing of any repurchases depended on market conditions and other investment opportunities, and repurchases were made at the Company’s discretion. The share repurchase program did not obligate the Company to repurchase any dollar amount or number of shares, and the program could be extended, modified, suspended, or discontinued at any time. In February 2024, the Company’s Board of Directors authorized and approved an increase of $150.0 million to the share repurchase program and extended the expiration date to March 31, 2026. In April 2026, the Company’s Board of Directors authorized and approved a new share repurchase program to repurchase up to $100.0 million in aggregate of the Company’s Class A common stock, with the authorization to expire on June 30, 2028.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the Company repurchases shares under share repurchase programs,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did not repurchase or retire any shares of Class A common stock. During the six months ended June 30, 2026, the Company repurchased and retired 16,992,982 shares of Class A common stock at an average purchase price of $1.69 per share for an aggregate repurchase price of $28.7 million. During the three and six months ended June 30, 2025, the Company repurchased and retired 3,688,863 and 8,409,278 shares of Class A common stock at an average purchase price of $1.46 and $1.72 per share for an aggregate repurchase price of $5.4 million and $14.5 million, respectively. As of June 30, 2026, the Company had $100.0 million available for future share repurchases under the share repurchase program.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 and RSUs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for the six months ended June 30, 2026 and related information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860"/>
        <w:gridCol w:w="756"/>
        <w:gridCol w:w="757"/>
        <w:gridCol w:w="494"/>
        <w:gridCol w:w="358"/>
        <w:gridCol w:w="359"/>
        <w:gridCol w:w="109"/>
        <w:gridCol w:w="109"/>
        <w:gridCol w:w="109"/>
        <w:gridCol w:w="415"/>
        <w:gridCol w:w="1006"/>
        <w:gridCol w:w="214"/>
        <w:gridCol w:w="109"/>
        <w:gridCol w:w="109"/>
        <w:gridCol w:w="109"/>
        <w:gridCol w:w="839"/>
        <w:gridCol w:w="839"/>
        <w:gridCol w:w="842"/>
        <w:gridCol w:w="109"/>
        <w:gridCol w:w="109"/>
        <w:gridCol w:w="109"/>
        <w:gridCol w:w="317"/>
        <w:gridCol w:w="928"/>
        <w:gridCol w:w="240"/>
      </w:tblGrid>
      <w:tr>
        <w:trPr/>
        <w:tc>
          <w:tcPr>
            <w:tcW w:w="8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or expected to vest at June 30, 2026</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intrinsic value is calculated as the difference between the exercise price of the underlying common stock option award and the fair value of the Company’s common stock as of the respective balance sheet date. The intrinsic value of the options exercised was $0.3 million and $0.3 million for the six months ended June 30, 2026 and 2025, respectively. No options were granted during the six months ended June 30, 2026 and 2025.</w:t>
        <w:br/>
        <w:br/>
        <w:t>A summary of the Company’s RSU activity for the six months ended June 30, 2026 and related information is as follows (in thousands, except per share data):</w:t>
      </w:r>
    </w:p>
    <w:tbl>
      <w:tblPr>
        <w:tblW w:w="7646" w:type="dxa"/>
        <w:jc w:val="left"/>
        <w:tblInd w:w="0" w:type="dxa"/>
        <w:tblLayout w:type="fixed"/>
        <w:tblCellMar>
          <w:top w:w="28" w:type="dxa"/>
          <w:left w:w="28" w:type="dxa"/>
          <w:bottom w:w="28" w:type="dxa"/>
          <w:right w:w="28" w:type="dxa"/>
        </w:tblCellMar>
      </w:tblPr>
      <w:tblGrid>
        <w:gridCol w:w="979"/>
        <w:gridCol w:w="858"/>
        <w:gridCol w:w="863"/>
        <w:gridCol w:w="469"/>
        <w:gridCol w:w="469"/>
        <w:gridCol w:w="471"/>
        <w:gridCol w:w="109"/>
        <w:gridCol w:w="109"/>
        <w:gridCol w:w="109"/>
        <w:gridCol w:w="773"/>
        <w:gridCol w:w="1873"/>
        <w:gridCol w:w="56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67,672 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Market-based PSUs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granted its executive officers market-based performance stock unit (“PSU”) awards with a target of 5,857,778 shares (“Target Award”) of the Company’s Class A common stock. The number of shares earned will be based on the achievement of stock price targets calculated based on predetermined compound annual growth rate thresholds at any point over a four-year performance period. Grantees may earn from 0% to 200% of the Target Award. Any portion of the PSUs that remains unvested at the end of the applicable performance period will be forfeited. Vesting is subject to the grantee’s continuous employment with the Company through the later of the vesting date and the date achievement is certified, as well as other customary provisions pursuant to the Company’s 2021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granted its Chief Executive Officer a market-based PSU award of 722,005 shares of the Company’s Class A common stock. In August 2025, the Company granted another market-based PSU award of 947,867 shares to an executive officer with the same performance metrics and vesting conditions as the March 2025 PSU. For all awards, the PSUs will vest based on stock price targets achieved over a four-year period, and any PSUs that have not vested at the end of the applicable performance period will be forfeited. Vesting is subject to the grantees’ continuous employment with the Company, as well as other customary provisions pursuant to the Company’s 2021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aggregate grant date fair value of the 2026 and 2025 PSUs was $14.9 million and $2.6 million, respectively, calculated using a Monte Carlo simulation model and recognized over the respective requisite service periods using the graded-vesting method. Compensation cost is not adjusted in future periods for subsequent changes in the expected outcome of market-related conditions. For the three and six months ended June 30, 2026, the Company recognized $1.9 million and $3.3 million of stock-based compensation expense related to PSUs, respectively. For the three and six months ended June 30, 2025, the Company recognized $0.8 million and $2.0 million of stock-based compensation expense related to PSUs,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Valuation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calculate the fair value of market-based PSUs made during the following periods:</w:t>
      </w:r>
    </w:p>
    <w:tbl>
      <w:tblPr>
        <w:tblW w:w="4871" w:type="dxa"/>
        <w:jc w:val="left"/>
        <w:tblInd w:w="0" w:type="dxa"/>
        <w:tblLayout w:type="fixed"/>
        <w:tblCellMar>
          <w:top w:w="28" w:type="dxa"/>
          <w:left w:w="28" w:type="dxa"/>
          <w:bottom w:w="28" w:type="dxa"/>
          <w:right w:w="28" w:type="dxa"/>
        </w:tblCellMar>
      </w:tblPr>
      <w:tblGrid>
        <w:gridCol w:w="772"/>
        <w:gridCol w:w="677"/>
        <w:gridCol w:w="680"/>
        <w:gridCol w:w="435"/>
        <w:gridCol w:w="435"/>
        <w:gridCol w:w="435"/>
        <w:gridCol w:w="224"/>
        <w:gridCol w:w="224"/>
        <w:gridCol w:w="224"/>
        <w:gridCol w:w="224"/>
        <w:gridCol w:w="224"/>
        <w:gridCol w:w="317"/>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63.9% - 65.4%</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3.8 - 3.9</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 - 3.9%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in the condensed consolidated statements of operations as follows (in thousands):</w:t>
      </w:r>
    </w:p>
    <w:tbl>
      <w:tblPr>
        <w:tblW w:w="7500"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$102.0 million of unrecognized stock-based compensation expense, which is expected to be recognized over a weighted average period of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Net Loss Per Share Attributable to Common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attributable to common stockholders (in thousands, except per share data):</w:t>
      </w:r>
    </w:p>
    <w:tbl>
      <w:tblPr>
        <w:tblW w:w="11248" w:type="dxa"/>
        <w:jc w:val="left"/>
        <w:tblInd w:w="0" w:type="dxa"/>
        <w:tblLayout w:type="fixed"/>
        <w:tblCellMar>
          <w:top w:w="28" w:type="dxa"/>
          <w:left w:w="28" w:type="dxa"/>
          <w:bottom w:w="28" w:type="dxa"/>
          <w:right w:w="28" w:type="dxa"/>
        </w:tblCellMar>
      </w:tblPr>
      <w:tblGrid>
        <w:gridCol w:w="464"/>
        <w:gridCol w:w="368"/>
        <w:gridCol w:w="369"/>
        <w:gridCol w:w="211"/>
        <w:gridCol w:w="631"/>
        <w:gridCol w:w="109"/>
        <w:gridCol w:w="109"/>
        <w:gridCol w:w="109"/>
        <w:gridCol w:w="109"/>
        <w:gridCol w:w="211"/>
        <w:gridCol w:w="52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Class A and Class B common stockholders, basic and diluted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outstanding have been excluded from the computations of diluted net loss per share because such securities have an anti-dilutive impact due to losses reported (in thousands):</w:t>
      </w:r>
    </w:p>
    <w:tbl>
      <w:tblPr>
        <w:tblW w:w="5436" w:type="dxa"/>
        <w:jc w:val="left"/>
        <w:tblInd w:w="0" w:type="dxa"/>
        <w:tblLayout w:type="fixed"/>
        <w:tblCellMar>
          <w:top w:w="28" w:type="dxa"/>
          <w:left w:w="28" w:type="dxa"/>
          <w:bottom w:w="28" w:type="dxa"/>
          <w:right w:w="28" w:type="dxa"/>
        </w:tblCellMar>
      </w:tblPr>
      <w:tblGrid>
        <w:gridCol w:w="1120"/>
        <w:gridCol w:w="982"/>
        <w:gridCol w:w="988"/>
        <w:gridCol w:w="360"/>
        <w:gridCol w:w="361"/>
        <w:gridCol w:w="228"/>
        <w:gridCol w:w="125"/>
        <w:gridCol w:w="125"/>
        <w:gridCol w:w="125"/>
        <w:gridCol w:w="360"/>
        <w:gridCol w:w="361"/>
        <w:gridCol w:w="301"/>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Unvested RSUs</w:t>
            </w:r>
            <w:r>
              <w:rPr>
                <w:rFonts w:ascii="Times New Roman;serif" w:hAnsi="Times New Roman;serif"/>
                <w:b w:val="false"/>
                <w:color w:val="000000"/>
                <w:sz w:val="13"/>
              </w:rPr>
              <w:t>(1)</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55,135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70,798 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Excludes 12,537,670 and 5,732,025 shares of Class A common stock related to outstanding market-based PSUs as of June 30, 2026 and 2025, respectively, as the market conditions required for vesting had not been achieved as of such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expense for the three months ended June 30, 2026 and 2025 of $0.3 million and $0.3 million, respectively, both of which were primarily related to foreign taxes. The Company recorded an income tax expense for the six months ended June 30, 2026 and 2025 of $0.4 million and $0.4 million, respectively, both of which were primarily related to foreign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Segment and Geographical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and operating segment. The Company’s Chief Operating Decision Maker is its Chief Executive Officer, who reviews financial information presented on a consolidated basis for purposes of making operating decisions, assessing financial performance, and allocating resources. Net loss is the Company’s primary measure of profit or loss. Cost of revenue, research and development, sales and marketing, and general and administrative expenses are considered significant segment expenses and are reflected in the consolidated statement of operations. Other segment items included in consolidated net loss are interest income, other income (expense), net and the provision for income taxes, which are also reflected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disaggregated by geography based on the customers’ location was as follows (in thousands):</w:t>
      </w:r>
    </w:p>
    <w:tbl>
      <w:tblPr>
        <w:tblW w:w="659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Nextdoor is the essential neighborhood network connecting over 110 million Verified Neighbors to the people, places, and information that matter most in their local communities. Operating in over 350,000 neighborhoods across 11 countries, Nextdoor fosters trusted, real-world utility through locally relevant content and services, including news, real-time safety alerts, neighbor recommendations, for sale and free listings, and events. This focus on practical local value drives genuine, high-intent local engagement and supports a diverse ecosystem of neighbors and partners seeking to connect with neighbors.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Key business metrics and financial results as of and for the three months ended June 30, 2026 are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Platform weekly active users (“Platform WAU”) was 22.9 million, an increase of 5% compared to the three months ended June 30,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Average revenue per platform weekly active user (“Platform ARPU”) was $3.26, an increase of 9% compared to the three months ended June 30,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Revenue was $74.6 million, an increase of 15% compared to the three months ended June 30,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Total costs and expenses were $80.2 million, a decrease of 6% compared to the three months ended June 30,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Net loss decreased 86% to $2.1 million, compared to a net loss of $15.4 million for the three months ended June 30,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Adjusted EBITDA was $9.5 million, compared to a loss of $2.2 million for the three months ended June 30,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cash equivalents, and marketable securities were $378.0 million as of June 30, 2026.</w:t>
      </w:r>
    </w:p>
    <w:p>
      <w:pPr>
        <w:pStyle w:val="TextBody"/>
        <w:bidi w:val="0"/>
        <w:spacing w:lineRule="auto" w:line="276" w:before="0" w:after="180"/>
        <w:jc w:val="both"/>
        <w:rPr/>
      </w:pPr>
      <w:r>
        <w:rPr>
          <w:rFonts w:ascii="Times New Roman;serif" w:hAnsi="Times New Roman;serif"/>
          <w:b w:val="false"/>
          <w:color w:val="000000"/>
          <w:sz w:val="20"/>
        </w:rPr>
        <w:t>See “</w:t>
      </w:r>
      <w:r>
        <w:rPr>
          <w:rFonts w:ascii="Times New Roman;serif" w:hAnsi="Times New Roman;serif"/>
          <w:b w:val="false"/>
          <w:i/>
          <w:color w:val="000000"/>
          <w:sz w:val="20"/>
        </w:rPr>
        <w:t>Non-GAAP Financial Measure</w:t>
      </w:r>
      <w:r>
        <w:rPr>
          <w:color w:val="000000"/>
        </w:rPr>
        <w:t xml:space="preserve">” </w:t>
      </w:r>
      <w:r>
        <w:rPr>
          <w:rFonts w:ascii="Times New Roman;serif" w:hAnsi="Times New Roman;serif"/>
          <w:b w:val="false"/>
          <w:color w:val="000000"/>
          <w:sz w:val="20"/>
        </w:rPr>
        <w:t>below for more information and for a reconciliation of net loss, the most directly comparable financial measure calculated and presented in accordance with U.S. generally accepted accounting principles (“GAAP”),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unaudited condensed consolidated financial statements, we use the following key business metrics to evaluate our business, measure our performance, develop financial forecasts, and make strategic decisions: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Platform Weekly Active Users (Platform WAU)</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 Platform WAU as a Nextdoor user who opens our application or logs on to our website at least once during a defined 7-day period. We calculate average Platform WAU for a particular period by calculating the count of unique users, on a rolling basis for the past seven days, for each day of that period, and dividing that sum by the number of days in that period. We assess the health of our business by measuring Platform WAU because we believe that weekly usage best captures the cadence at which we expect a healthy user base to engage with and derive the most utility from our platform, and by extension their neighborhood.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WAU for the three months ended June 30, 2026 and 2025 was 22.9 million and 21.8 million, respectively, which represents a 5% increase period over period.</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Quarterly Average Platform WAU</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(in millions)</w:t>
      </w:r>
    </w:p>
    <w:p>
      <w:pPr>
        <w:pStyle w:val="TextBody"/>
        <w:bidi w:val="0"/>
        <w:spacing w:before="0" w:after="180"/>
        <w:jc w:val="center"/>
        <w:rPr/>
      </w:pPr>
      <w:r>
        <w:rPr/>
        <w:drawing>
          <wp:inline distT="0" distB="0" distL="0" distR="0">
            <wp:extent cx="5048250" cy="3143250"/>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5048250" cy="3143250"/>
                    </a:xfrm>
                    <a:prstGeom prst="rect">
                      <a:avLst/>
                    </a:prstGeom>
                  </pic:spPr>
                </pic:pic>
              </a:graphicData>
            </a:graphic>
          </wp:inline>
        </w:drawing>
      </w:r>
      <w:bookmarkStart w:id="0" w:name="i-1"/>
      <w:bookmarkEnd w:id="0"/>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Average Revenue per Platform Weekly Active User (Platform ARPU)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advertising. We measure monetization of our platform through our Platform ARPU metric. We define Platform ARPU as our total revenue during a period divided by the average of the number of Platform WAU during the same period.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ARPU for the three months ended June 30, 2026 and 2025 was $3.26 and $2.99, respectively.</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Quarterly Platform ARPU</w:t>
      </w:r>
    </w:p>
    <w:p>
      <w:pPr>
        <w:pStyle w:val="TextBody"/>
        <w:bidi w:val="0"/>
        <w:spacing w:before="0" w:after="180"/>
        <w:jc w:val="center"/>
        <w:rPr/>
      </w:pPr>
      <w:r>
        <w:rPr/>
        <w:drawing>
          <wp:inline distT="0" distB="0" distL="0" distR="0">
            <wp:extent cx="5048250" cy="314325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5048250" cy="314325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generate a majority of our revenue from the delivery of advertising services. We recognize revenue only after transferring control of promised goods or services to the customer. Advertising services are typically sold on a cost per thousand (“CPM”) basis, a cost per click (“CPC”) basis, or on a subscription basis according to the service period. The majority of our revenue is generated in the United States.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expenses associated with the delivery of our revenue generating activities, including the third-party costs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services and credit card transaction fees related to processing customer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personnel-related and other costs which include salaries, commissions, benefits, restructuring costs, and stock-based compensation for employees engaged in sales and marketing activities as well as other costs including third-party consulting, public relations, and allocated overhead costs. Sales and marketing expenses also include brand and performance marketing for both user and local business acquisition, and neighbor services, which includes personnel-related costs for our neighbor support team, our outsourced neighbor support function, and verification costs.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marketing costs related to local business acquisition largely consist of digital advertising and, to a lesser extent, direct mail campaigns. Performance marketing costs related to user acquisition largely consist of digital advertising.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bidi w:val="0"/>
        <w:spacing w:lineRule="auto" w:line="288" w:before="0" w:after="180"/>
        <w:jc w:val="left"/>
        <w:rPr/>
      </w:pPr>
      <w:r>
        <w:rPr>
          <w:rFonts w:ascii="Times New Roman;serif" w:hAnsi="Times New Roman;serif"/>
          <w:b/>
          <w:i/>
          <w:color w:val="000000"/>
          <w:sz w:val="20"/>
        </w:rPr>
        <w:t>Interest Income</w:t>
      </w:r>
      <w:r>
        <w:rPr>
          <w:color w:val="000000"/>
        </w:rPr>
        <w:t xml:space="preserve">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cash equivalents, and marketable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unrealized gains and losses from the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tbl>
      <w:tblPr>
        <w:tblW w:w="7784" w:type="dxa"/>
        <w:jc w:val="center"/>
        <w:tblInd w:w="0" w:type="dxa"/>
        <w:tblLayout w:type="fixed"/>
        <w:tblCellMar>
          <w:top w:w="28" w:type="dxa"/>
          <w:left w:w="28" w:type="dxa"/>
          <w:bottom w:w="28" w:type="dxa"/>
          <w:right w:w="28" w:type="dxa"/>
        </w:tblCellMar>
      </w:tblPr>
      <w:tblGrid>
        <w:gridCol w:w="836"/>
        <w:gridCol w:w="736"/>
        <w:gridCol w:w="737"/>
        <w:gridCol w:w="211"/>
        <w:gridCol w:w="721"/>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and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7500" w:type="dxa"/>
        <w:jc w:val="center"/>
        <w:tblInd w:w="0" w:type="dxa"/>
        <w:tblLayout w:type="fixed"/>
        <w:tblCellMar>
          <w:top w:w="28" w:type="dxa"/>
          <w:left w:w="28" w:type="dxa"/>
          <w:bottom w:w="28" w:type="dxa"/>
          <w:right w:w="28" w:type="dxa"/>
        </w:tblCellMar>
      </w:tblPr>
      <w:tblGrid>
        <w:gridCol w:w="837"/>
        <w:gridCol w:w="736"/>
        <w:gridCol w:w="73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unaudited condensed consolidated statements of operations as a percentage of revenue for each of the periods presented:</w:t>
      </w:r>
    </w:p>
    <w:tbl>
      <w:tblPr>
        <w:tblW w:w="7991" w:type="dxa"/>
        <w:jc w:val="center"/>
        <w:tblInd w:w="0" w:type="dxa"/>
        <w:tblLayout w:type="fixed"/>
        <w:tblCellMar>
          <w:top w:w="28" w:type="dxa"/>
          <w:left w:w="28" w:type="dxa"/>
          <w:bottom w:w="28" w:type="dxa"/>
          <w:right w:w="28" w:type="dxa"/>
        </w:tblCellMar>
      </w:tblPr>
      <w:tblGrid>
        <w:gridCol w:w="1037"/>
        <w:gridCol w:w="912"/>
        <w:gridCol w:w="915"/>
        <w:gridCol w:w="233"/>
        <w:gridCol w:w="233"/>
        <w:gridCol w:w="470"/>
        <w:gridCol w:w="189"/>
        <w:gridCol w:w="189"/>
        <w:gridCol w:w="189"/>
        <w:gridCol w:w="233"/>
        <w:gridCol w:w="233"/>
        <w:gridCol w:w="470"/>
        <w:gridCol w:w="109"/>
        <w:gridCol w:w="109"/>
        <w:gridCol w:w="109"/>
        <w:gridCol w:w="233"/>
        <w:gridCol w:w="233"/>
        <w:gridCol w:w="424"/>
        <w:gridCol w:w="170"/>
        <w:gridCol w:w="170"/>
        <w:gridCol w:w="170"/>
        <w:gridCol w:w="233"/>
        <w:gridCol w:w="233"/>
        <w:gridCol w:w="495"/>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Note: Certain figures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30, 2026 and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tbl>
      <w:tblPr>
        <w:tblW w:w="1089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Revenue increased by $9.5 million, or 15%, for the three months ended June 30, 2026 compared to the three months ended June 30, 2025. The increase was primarily due to increased advertiser spending and an increase in the number of active users, as measured by a 5% increase in Q2 Platform WAU.</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Revenue increased by $17.0 million, or 14%, for the six months ended June 30, 2026 compared to the six months ended June 30, 2025. The increase was primarily due to increased advertiser spending and an increase in the number of active users, as measured by a 5% increase in Q2 Platform WAU.</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1032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28"/>
        <w:gridCol w:w="128"/>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Cost of revenue increased by $0.8 million, or 8%, for the three months ended June 30, 2026 compared to the three months ended June 30, 2025. The increase was primarily due to a $1.3 million increase in third-party hosting costs, partially offset by a $0.4 million decrease in allocated personnel-related costs.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Cost of revenue increased by $2.4 million, or 12%, for the six months ended June 30, 2026 compared to the six months ended June 30, 2025. The increase was primarily due to a $2.7 million increase in third-party hosting costs and a $0.4 million increase in third-party costs associated with delivering and supporting our advertising services, partially offset by a $0.7 million decrease in allocated personnel-related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10670" w:type="dxa"/>
        <w:jc w:val="left"/>
        <w:tblInd w:w="0" w:type="dxa"/>
        <w:tblLayout w:type="fixed"/>
        <w:tblCellMar>
          <w:top w:w="28" w:type="dxa"/>
          <w:left w:w="28" w:type="dxa"/>
          <w:bottom w:w="28" w:type="dxa"/>
          <w:right w:w="28" w:type="dxa"/>
        </w:tblCellMar>
      </w:tblPr>
      <w:tblGrid>
        <w:gridCol w:w="582"/>
        <w:gridCol w:w="301"/>
        <w:gridCol w:w="303"/>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35"/>
        <w:gridCol w:w="136"/>
        <w:gridCol w:w="27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35"/>
        <w:gridCol w:w="136"/>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$1.6 million, or 5%, for the three months ended June 30, 2026 compared to the three months ended June 30, 2025. The decrease was primarily due to a $2.7 million decrease in personnel-related costs driven by a decrease in headcount and a $0.4 million decrease in professional service fees, partially offset by a $1.5 million increase in third-party software costs.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$3.1 million, or 5%, for the six months ended June 30, 2026 compared to the six months ended June 30, 2025. The decrease was primarily due to a $4.9 million decrease in personnel-related costs driven by a decrease in headcount and a $0.8 million decrease in professional service fees, partially offset by a $2.6 million increase in third-party software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11225" w:type="dxa"/>
        <w:jc w:val="left"/>
        <w:tblInd w:w="0" w:type="dxa"/>
        <w:tblLayout w:type="fixed"/>
        <w:tblCellMar>
          <w:top w:w="28" w:type="dxa"/>
          <w:left w:w="28" w:type="dxa"/>
          <w:bottom w:w="28" w:type="dxa"/>
          <w:right w:w="28" w:type="dxa"/>
        </w:tblCellMar>
      </w:tblPr>
      <w:tblGrid>
        <w:gridCol w:w="911"/>
        <w:gridCol w:w="317"/>
        <w:gridCol w:w="303"/>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and performance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Neighbor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and marketing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$3.3 million, or 13%, for the three months ended June 30, 2026 compared to the three months ended June 30, 2025. The decrease was primarily due to a $2.8 million decrease in personnel-related costs driven by a decrease in headcount.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$5.7 million, or 12%, for the six months ended June 30, 2026 compared to the six months ended June 30, 2025. The decrease was primarily due to a $5.1 million decrease in personnel-related costs driven by a decrease in headcount.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775" w:type="dxa"/>
        <w:jc w:val="left"/>
        <w:tblInd w:w="0" w:type="dxa"/>
        <w:tblLayout w:type="fixed"/>
        <w:tblCellMar>
          <w:top w:w="28" w:type="dxa"/>
          <w:left w:w="28" w:type="dxa"/>
          <w:bottom w:w="28" w:type="dxa"/>
          <w:right w:w="28" w:type="dxa"/>
        </w:tblCellMar>
      </w:tblPr>
      <w:tblGrid>
        <w:gridCol w:w="687"/>
        <w:gridCol w:w="301"/>
        <w:gridCol w:w="303"/>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35"/>
        <w:gridCol w:w="136"/>
        <w:gridCol w:w="27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35"/>
        <w:gridCol w:w="136"/>
        <w:gridCol w:w="316"/>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$1.1 million, or 7%, for the three months ended June 30, 2026 compared to the three months ended June 30, 2025. The decrease was primarily due to a $1.0 million decrease in personnel-related costs driven by a decrease in headcount.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$2.9 million, or 9%, for the six months ended June 30, 2026 compared to the six months ended June 30, 2025. The decrease was primarily due to a $2.5 million decrease in personnel-related costs driven by a decrease in headcount and a $0.3 million decrease in professional service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10205" w:type="dxa"/>
        <w:jc w:val="left"/>
        <w:tblInd w:w="0" w:type="dxa"/>
        <w:tblLayout w:type="fixed"/>
        <w:tblCellMar>
          <w:top w:w="28" w:type="dxa"/>
          <w:left w:w="28" w:type="dxa"/>
          <w:bottom w:w="28" w:type="dxa"/>
          <w:right w:w="28" w:type="dxa"/>
        </w:tblCellMar>
      </w:tblPr>
      <w:tblGrid>
        <w:gridCol w:w="382"/>
        <w:gridCol w:w="337"/>
        <w:gridCol w:w="339"/>
        <w:gridCol w:w="211"/>
        <w:gridCol w:w="617"/>
        <w:gridCol w:w="109"/>
        <w:gridCol w:w="109"/>
        <w:gridCol w:w="109"/>
        <w:gridCol w:w="109"/>
        <w:gridCol w:w="211"/>
        <w:gridCol w:w="617"/>
        <w:gridCol w:w="109"/>
        <w:gridCol w:w="109"/>
        <w:gridCol w:w="109"/>
        <w:gridCol w:w="109"/>
        <w:gridCol w:w="211"/>
        <w:gridCol w:w="485"/>
        <w:gridCol w:w="109"/>
        <w:gridCol w:w="109"/>
        <w:gridCol w:w="109"/>
        <w:gridCol w:w="109"/>
        <w:gridCol w:w="190"/>
        <w:gridCol w:w="190"/>
        <w:gridCol w:w="271"/>
        <w:gridCol w:w="109"/>
        <w:gridCol w:w="109"/>
        <w:gridCol w:w="109"/>
        <w:gridCol w:w="211"/>
        <w:gridCol w:w="616"/>
        <w:gridCol w:w="109"/>
        <w:gridCol w:w="109"/>
        <w:gridCol w:w="109"/>
        <w:gridCol w:w="109"/>
        <w:gridCol w:w="211"/>
        <w:gridCol w:w="616"/>
        <w:gridCol w:w="109"/>
        <w:gridCol w:w="109"/>
        <w:gridCol w:w="109"/>
        <w:gridCol w:w="109"/>
        <w:gridCol w:w="211"/>
        <w:gridCol w:w="635"/>
        <w:gridCol w:w="109"/>
        <w:gridCol w:w="109"/>
        <w:gridCol w:w="109"/>
        <w:gridCol w:w="109"/>
        <w:gridCol w:w="190"/>
        <w:gridCol w:w="190"/>
        <w:gridCol w:w="321"/>
      </w:tblGrid>
      <w:tr>
        <w:trPr/>
        <w:tc>
          <w:tcPr>
            <w:tcW w:w="3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$0.9 million, or 20%, for the three months ended June 30, 2026 compared to the three months ended June 30, 2025. The decrease was driven by lower returns on marketable securities as a result of lower invested balances and lower interest rates.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$1.9 million, or 19%, for the six months ended June 30, 2026 compared to the six months ended June 30, 2025. The decrease was driven by lower returns on marketable securities as a result of lower invested balances and lower interest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598"/>
        <w:gridCol w:w="527"/>
        <w:gridCol w:w="530"/>
        <w:gridCol w:w="243"/>
        <w:gridCol w:w="295"/>
        <w:gridCol w:w="125"/>
        <w:gridCol w:w="125"/>
        <w:gridCol w:w="125"/>
        <w:gridCol w:w="125"/>
        <w:gridCol w:w="243"/>
        <w:gridCol w:w="537"/>
        <w:gridCol w:w="125"/>
        <w:gridCol w:w="109"/>
        <w:gridCol w:w="109"/>
        <w:gridCol w:w="109"/>
        <w:gridCol w:w="211"/>
        <w:gridCol w:w="508"/>
        <w:gridCol w:w="109"/>
        <w:gridCol w:w="109"/>
        <w:gridCol w:w="109"/>
        <w:gridCol w:w="109"/>
        <w:gridCol w:w="201"/>
        <w:gridCol w:w="201"/>
        <w:gridCol w:w="271"/>
        <w:gridCol w:w="109"/>
        <w:gridCol w:w="109"/>
        <w:gridCol w:w="109"/>
        <w:gridCol w:w="225"/>
        <w:gridCol w:w="385"/>
        <w:gridCol w:w="116"/>
        <w:gridCol w:w="116"/>
        <w:gridCol w:w="116"/>
        <w:gridCol w:w="116"/>
        <w:gridCol w:w="225"/>
        <w:gridCol w:w="498"/>
        <w:gridCol w:w="116"/>
        <w:gridCol w:w="109"/>
        <w:gridCol w:w="109"/>
        <w:gridCol w:w="109"/>
        <w:gridCol w:w="211"/>
        <w:gridCol w:w="508"/>
        <w:gridCol w:w="109"/>
        <w:gridCol w:w="109"/>
        <w:gridCol w:w="109"/>
        <w:gridCol w:w="109"/>
        <w:gridCol w:w="201"/>
        <w:gridCol w:w="201"/>
        <w:gridCol w:w="328"/>
      </w:tblGrid>
      <w:tr>
        <w:trPr/>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$0.4 million, or 99%, for the three months ended June 30, 2026 compared to the three months ended June 30, 2025. The decrease was primarily due to the periodic re-measurement of monetary assets and liabilities denominated in non-functional currencies and gains and losses on marketable securities and foreign currency transactions.</w:t>
      </w:r>
    </w:p>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$0.6 million, or 97%, for the six months ended June 30, 2026 compared to the six months ended June 30, 2025. The decrease was primarily due to the periodic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682"/>
        <w:gridCol w:w="600"/>
        <w:gridCol w:w="604"/>
        <w:gridCol w:w="234"/>
        <w:gridCol w:w="519"/>
        <w:gridCol w:w="121"/>
        <w:gridCol w:w="121"/>
        <w:gridCol w:w="121"/>
        <w:gridCol w:w="121"/>
        <w:gridCol w:w="234"/>
        <w:gridCol w:w="519"/>
        <w:gridCol w:w="121"/>
        <w:gridCol w:w="109"/>
        <w:gridCol w:w="109"/>
        <w:gridCol w:w="109"/>
        <w:gridCol w:w="211"/>
        <w:gridCol w:w="361"/>
        <w:gridCol w:w="109"/>
        <w:gridCol w:w="109"/>
        <w:gridCol w:w="109"/>
        <w:gridCol w:w="109"/>
        <w:gridCol w:w="180"/>
        <w:gridCol w:w="181"/>
        <w:gridCol w:w="271"/>
        <w:gridCol w:w="109"/>
        <w:gridCol w:w="109"/>
        <w:gridCol w:w="109"/>
        <w:gridCol w:w="222"/>
        <w:gridCol w:w="491"/>
        <w:gridCol w:w="114"/>
        <w:gridCol w:w="114"/>
        <w:gridCol w:w="114"/>
        <w:gridCol w:w="114"/>
        <w:gridCol w:w="222"/>
        <w:gridCol w:w="491"/>
        <w:gridCol w:w="114"/>
        <w:gridCol w:w="109"/>
        <w:gridCol w:w="109"/>
        <w:gridCol w:w="109"/>
        <w:gridCol w:w="211"/>
        <w:gridCol w:w="361"/>
        <w:gridCol w:w="109"/>
        <w:gridCol w:w="109"/>
        <w:gridCol w:w="109"/>
        <w:gridCol w:w="109"/>
        <w:gridCol w:w="128"/>
        <w:gridCol w:w="128"/>
        <w:gridCol w:w="327"/>
      </w:tblGrid>
      <w:tr>
        <w:trPr/>
        <w:tc>
          <w:tcPr>
            <w:tcW w:w="68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by less than $0.1 million, or 10%, for the three months ended June 30, 2026 compared to the three months ended June 30, 2025. The increase was primarily due to an increase in foreign income tax expenses.</w:t>
      </w:r>
    </w:p>
    <w:p>
      <w:pPr>
        <w:pStyle w:val="TextBody"/>
        <w:bidi w:val="0"/>
        <w:spacing w:before="0" w:after="18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by less than $0.1 million, or 5%, for the six months ended June 30, 2026 compared to the six months ended June 30, 2025. The increase was primarily due to an increase in foreign income tax expenses.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historically generated negative cash flows from operations until recent periods, and have primarily financed our operations from net proceeds received from the sale of equity securities, proceeds from our business combination with Khosla Ventures Acquisition Co. II, and payments received from our customers. We currently have no debt outstanding.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generated losses from our operations, as reflected in our accumulated deficit of $931.8 million as of June 30, 2026. These losses are attributable to investments made in supporting the growth of our business, and we expect them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$378.0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any repurchase of shares we may make from time to time, and our ability to obtain equity or debt financing. Moreover, any actual or perceived instability in the U.S. or international banking systems may impact liquidity both in the short term and long term.</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2022, our Board of Directors authorized and approved a share repurchase program to repurchase up to $100.0 million in aggregate of our Class A common stock, with the authorization to expire on June 30, 2024. The timing of any repurchases depended on market conditions and other investment opportunities, and repurchases were made at our discretion. This share repurchase program did not obligate us to repurchase any dollar amount or number of shares, and the program could be extended, modified, suspended, or discontinued at any time. In February 2024, our Board of Directors authorized and approved an increase of $150.0 million to the share repurchase program and extended the expiration date to March 31, 2026. In April 2026, our Board of Directors authorized and approved a new share repurchase program to repurchase up to $100.0 million in aggregate of our Class A common stock,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authorization to expire on June 30, 2028. During the three months ended June 30, 2026, we did not repurchase or retire any shares of Class A common stock. During the six months ended June 30, 2026, we repurchased and retired 16,992,982 shares of Class A common stock at an average purchase price of $1.69 per share for an aggregate repurchase price of $28.7 million. As of June 30, 2026, we had $100.0 million available for future share repurchases under the share repurchase program. </w:t>
      </w:r>
    </w:p>
    <w:p>
      <w:pPr>
        <w:pStyle w:val="TextBody"/>
        <w:bidi w:val="0"/>
        <w:spacing w:before="0" w:after="0"/>
        <w:jc w:val="both"/>
        <w:rPr/>
      </w:pPr>
      <w:r>
        <w:rPr/>
      </w:r>
    </w:p>
    <w:p>
      <w:pPr>
        <w:pStyle w:val="TextBody"/>
        <w:bidi w:val="0"/>
        <w:spacing w:lineRule="auto" w:line="268" w:before="0" w:after="240"/>
        <w:jc w:val="both"/>
        <w:rPr/>
      </w:pPr>
      <w:r>
        <w:rPr>
          <w:rFonts w:ascii="Times New Roman;serif" w:hAnsi="Times New Roman;serif"/>
          <w:b w:val="false"/>
          <w:color w:val="000000"/>
          <w:sz w:val="20"/>
        </w:rPr>
        <w:t>For more information regarding our commitments related to executed leases that have not yet commenced, refer to</w:t>
      </w:r>
      <w:r>
        <w:rPr>
          <w:color w:val="000000"/>
        </w:rPr>
        <w:t xml:space="preserve"> </w:t>
      </w:r>
      <w:r>
        <w:rPr>
          <w:rFonts w:ascii="Times New Roman;serif" w:hAnsi="Times New Roman;serif"/>
          <w:b w:val="false"/>
          <w:color w:val="000000"/>
          <w:sz w:val="20"/>
        </w:rPr>
        <w:t>Note 6, Leases,</w:t>
      </w:r>
      <w:r>
        <w:rPr>
          <w:color w:val="000000"/>
        </w:rPr>
        <w:t xml:space="preserve"> </w:t>
      </w:r>
      <w:r>
        <w:rPr>
          <w:rFonts w:ascii="Times New Roman;serif" w:hAnsi="Times New Roman;serif"/>
          <w:b w:val="false"/>
          <w:color w:val="000000"/>
          <w:sz w:val="20"/>
        </w:rPr>
        <w:t>to our unaudited condensed consolidated financial statements in this Quarterly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069" w:type="dxa"/>
        <w:jc w:val="center"/>
        <w:tblInd w:w="0" w:type="dxa"/>
        <w:tblLayout w:type="fixed"/>
        <w:tblCellMar>
          <w:top w:w="28" w:type="dxa"/>
          <w:left w:w="28" w:type="dxa"/>
          <w:bottom w:w="28" w:type="dxa"/>
          <w:right w:w="28" w:type="dxa"/>
        </w:tblCellMar>
      </w:tblPr>
      <w:tblGrid>
        <w:gridCol w:w="1255"/>
        <w:gridCol w:w="1103"/>
        <w:gridCol w:w="1107"/>
        <w:gridCol w:w="211"/>
        <w:gridCol w:w="796"/>
        <w:gridCol w:w="109"/>
        <w:gridCol w:w="109"/>
        <w:gridCol w:w="109"/>
        <w:gridCol w:w="109"/>
        <w:gridCol w:w="211"/>
        <w:gridCol w:w="79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six months ended June 30, 2026 was $9.6 million which resulted from a net loss of $13.5 million, adjusted for non-cash charges of $30.0 million and net cash outflows of $6.8 million from changes in operating assets and liabilities. Non-cash charges primarily consisted of $29.6 million of stock-based compensation expense and $0.7 million of depreciation and amortization expense, partially offset by $0.4 million of accretion on investments. The net cash outflows from changes in operating assets and liabilities were primarily due to a $4.6 million decrease in operating lease liabilities due to lease payments, a $3.6 million increase in accounts receivable, a $0.4 million increase in prepaid expenses and other assets, and a $0.3 million decrease in accounts payable. These amounts were partially offset by a $1.5 million decrease in operating lease right-of-use assets due to normal amortization and a $0.5 million increase in accrued expenses and other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six months ended June 30, 2025 was $3.3 million which resulted from a net loss of $37.3 million, adjusted for non-cash charges of $33.7 million and net cash inflows of $6.9 million from changes in operating assets and liabilities. Non-cash charges primarily consisted of $34.2 million of stock-based compensation expense and $1.1 million of depreciation and amortization expense, partially offset by $1.4 million of accretion on investments. The net cash inflows from changes in operating assets and liabilities were primarily due to a $4.2 million decrease in accounts receivable, a $3.9 million increase in accounts payable, a $1.4 million decrease in operating lease right-of-use assets due to normal amortization, a $1.0 million decrease in prepaid expenses and other assets, and a $0.5 million increase in accrued expenses and other liabilities. These amounts were partially offset by a $4.1 million decrease in operating lease liabilities due to lease payments.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six months ended June 30, 2026 was $25.6 million, which consisted of proceeds from maturities of marketable securities of $78.4 million and proceeds from sales of marketable securities of $69.5 million. This was partially offset by purchases of marketable securities of $122.1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six months ended June 30, 2025 was $31.7 million, which consisted of proceeds from maturities of marketable securities of $98.5 million and proceeds from sales of marketable securities of $88.5 million. This was partially offset by purchases of marketable securities of $155.0 million and purchases of property and equipment of $0.3 million.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six months ended June 30, 2026 was $35.1 million, which consisted of repurchases of common stock of $28.7 million and tax withholdings on release of restricted stock units of $8.5 million. This was partially offset by proceeds from the issuance of common stock upon exercise of stock options of $1.6 million and proceeds from the issuance of common stock under the employee stock purchase plan of $0.4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six months ended June 30, 2025 was $21.2 million, which consisted of repurchases of common stock of $14.5 million and tax withholdings on release of restricted stock units of $9.2 million. This was partially offset by proceeds from the exercise of stock options of $1.8 million and proceeds from the issuance of common stock under the employee stock purchase plan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represents our net loss adjusted for depreciation and amortization, stock-based compensation, net interest income, provision for income taxes, and any restructuring charges or acquisition-related costs.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loss, the most comparable GAAP measure, to Adjusted EBITDA:</w:t>
      </w:r>
    </w:p>
    <w:tbl>
      <w:tblPr>
        <w:tblW w:w="7979" w:type="dxa"/>
        <w:jc w:val="center"/>
        <w:tblInd w:w="0" w:type="dxa"/>
        <w:tblLayout w:type="fixed"/>
        <w:tblCellMar>
          <w:top w:w="28" w:type="dxa"/>
          <w:left w:w="28" w:type="dxa"/>
          <w:bottom w:w="28" w:type="dxa"/>
          <w:right w:w="28" w:type="dxa"/>
        </w:tblCellMar>
      </w:tblPr>
      <w:tblGrid>
        <w:gridCol w:w="937"/>
        <w:gridCol w:w="824"/>
        <w:gridCol w:w="833"/>
        <w:gridCol w:w="211"/>
        <w:gridCol w:w="69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requiring estimates, assumptions, and judgments as compared to the critical accounting policies and estimates as described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288" w:before="0" w:after="180"/>
        <w:jc w:val="both"/>
        <w:rPr/>
      </w:pPr>
      <w:r>
        <w:rPr>
          <w:rFonts w:ascii="Times New Roman;serif" w:hAnsi="Times New Roman;serif"/>
          <w:b w:val="false"/>
          <w:color w:val="000000"/>
          <w:sz w:val="20"/>
        </w:rPr>
        <w:t>Refer to</w:t>
      </w:r>
      <w:r>
        <w:rPr>
          <w:color w:val="000000"/>
        </w:rPr>
        <w:t xml:space="preserve"> </w:t>
      </w:r>
      <w:r>
        <w:rPr>
          <w:rFonts w:ascii="Times New Roman;serif" w:hAnsi="Times New Roman;serif"/>
          <w:b w:val="false"/>
          <w:color w:val="000000"/>
          <w:sz w:val="20"/>
        </w:rPr>
        <w:t>Note 2</w:t>
      </w:r>
      <w:r>
        <w:rPr>
          <w:color w:val="000000"/>
        </w:rPr>
        <w:t xml:space="preserve"> </w:t>
      </w:r>
      <w:r>
        <w:rPr>
          <w:rFonts w:ascii="Times New Roman;serif" w:hAnsi="Times New Roman;serif"/>
          <w:b w:val="false"/>
          <w:color w:val="000000"/>
          <w:sz w:val="20"/>
        </w:rPr>
        <w:t>to our unaudited condensed consolidated financial statements included elsewhere in this Quarterly Report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cash equivalents, and marketable securities of $378.0 million. Our cash and cash equivalents consist of cash held in banks, demand deposits, money market funds, corporate bonds, and commercial paper. The primary objectives of our investment activities are to preserve principal and provide liquidity without significantly increasing risk. We do not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the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June 30, 2026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Limitations on the Effectiveness of Disclosure Controls and Procedures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7, Commitments and Contingencies, to our unaudited condensed consolidated financial statements included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still scaling up our monetization efforts, which makes it difficult to evaluate our current business and future prospects, and there is no assurance we will be able to scale our business for future growth.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commenced operating the Nextdoor platform in 2011 and began supporting the platform with advertising in 2016. In 2025, we launched our new Nextdoor initiative, the first phase of a multi-phase product transformation with the goal of making our platform more robust and engaging for users, as well as more compelling for advertisers. This initiative remains ongoing as we continue to implement additional features and enhancements. These changes may not be favorably received by users or advertisers, may not result in increased engagement or monetization, and may disrupt established usage patterns or alienate existing users. Our ability to evaluate future prospects depends in part on the success of this ongoing transformation.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we continue to scale our monetization efforts.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participating in rapidly evolving industries.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Adverse global economic and financial conditions could harm our business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Adverse global economic and financial events and the effects thereof, such as health epidemics or pandemics, geopolitical conflicts, inflation, changing interest rates, potential recessions, the implementation of tariffs by the United States, China, or other governments,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U.S. trade policies, including tariffs on imported goods, may adversely affect economic conditions and consumer spending patterns. Current and potential U.S. tariffs, and any new or additional retaliatory tariffs that may be imposed by other countries in response to such U.S. tariffs, may adversely affect spending by advertisers and, consequently, our operating results. Trade policy uncertainty and tariff implementations may continue to contribute to market volatility and economic uncertainty. We are closely monitoring this evolving situation and there can be no assurance that we will be able to mitigate the impacts of any trade measures on our business, which could adversely impact our business, operating results, financial condition, and our stock price.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our revenue is currently generated from the sales of advertising on our platform in the form of online display advertisements.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decreases in neighbor or advertiser engagement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slower than anticipated growth in, or lack of growth or decreases in, the number of neighbors active on the platform;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and changing interest rates;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platform changes (such as the migration to our proprietary ad server) or inventory management decisions that change the size, format, frequency, or relative prominence of advertisements displayed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competitors offering more attractive pricing for advertisements that we are unable or unwilling to match;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decrease in the quantity or quality of advertisements shown to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laws,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demographics of our neighbors that make us less attractive to advertisers;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increase in neighbors who exercise opt-out rights under privacy laws to restrict the advertisements they receive;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that upload content or take other actions that are deemed to be hostile, inappropriate, illicit, objectionable, illegal, or otherwise not consistent with the brand of our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government actions or legislative, regulatory, or other legal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or changes to the platform that may affect, among other things, the safety and security of other neighbors or the cultivation of a positive and inclusive online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media reports or other negative publicity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implementing or enforcing policies, such as advertising policies, community guidelines, and other terms of service that are perceived negatively by advertisers;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improve our products for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rapid evolution of advertising formats driven by AI, which may change how advertisements are delivered, targeted, and measured, and reduce demand for our current advertising products if we are unable to adapt our offerings competitively;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advertiser uncertainty regarding their own legal and compliance obligations, including with respect to AI, which may cause such advertisers to reduce or eliminate spending on AI-enhanced or algorithmically-targeted advertising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limitations in, or reductions to, the availability, accuracy, utility, and security of analytics and measurement solutions offered by us or third parties that are intended to demonstrate the value of our advertisements to advertisers;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our data privacy practices that affect the type or manner of advertising that we are able to provide, including as a result of changes to laws, regulations or regulatory actions, such as the European Union’s Regulation (EU) 2016/679 (General Data Protection Regulation) (“EU GDPR”) and the United Kingdom’s Data Protection Act 2018 and UK General Data Protection Regulation (“UK GDPR” and the foregoing, collectively, “GDPR”), the European Union’s AI Act, European Directive 2002/58/EC (the “ePrivacy Directive”), the Canadian Personal Information Protection and Electronic Documents Act (“PIPEDA”), Australia’s Privacy Act 1988 along with the 2024 reforms thereto and the Australian Privacy Principles (“APPs”), the California Consumer Privacy Act of 2018 (as amended, the “CCPA”) in California, and comparable U.S. state privacy laws in over a third of all other states, or changes to third-party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attract and retain advertisers depends on our ability to collect and use data and develop products to enable us to effectively deliver and accurately measure advertisements on the Nextdoor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implemented features in Safari and iOS, including Intelligent Tracking Prevention, App Tracking Transparency, and more recent fingerprinting protections and link tracking restrictions, that block or limit tracking technologies, restrict access to device advertising identifiers, and affect our ability to track neighbors’ actions, measure attribution, and connect their interactions with on-platform advertising. Google and other browser developers have similarly implemented or may implement privacy controls which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fail to add new neighbors or retain current neighbors, or if current neighbors engage less with the Nextdoor platform, our business, operating results, and financial condition would be adversely impacted.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new Nextdoor initiative, the first phase of a multi-phase product transformation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many factors that could negatively impact our ability to grow, retain and engage current and prospective neighbors,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increasing their engagement with competitors’ platforms, products or services instead of, or more frequently than,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amount of time neighbors spend across all applications and platforms, including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failing to introduce platform enhancements that neighbors find engaging or if we introduce new features, terms, policies or procedures, or make changes to our platform, including changes we are implementing with our new Nextdoor initiative, that are not favorably received by current or prospective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technical or other problems frustrating the neighbor experience, such as problems that prevent us from delivering our service in a fast and reliable manner;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having difficulty installing, updating or otherwise accessing the Nextdoor platform on mobile devices through the app or web browsers;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on the Nextdoor platform changing, including a decrease in the quality and frequency of content shares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decreases in neighbor or advertiser sentiment due to questions about the quality or usefulness of our platform, concerns about the nature of content made available on the platform, concerns related to privacy, safety, security, well-being or other factors;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mandated by legislation, government and regulatory authorities, or litigation that adversely impact our platform or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failing to obtain or attract engaging third-party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 parties preventing their content from being displayed on the Nextdoor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we may make to how we promote different features on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initiatives designed to attract and retain neighbors and engagement are unsuccessful or discontinued, whether as a result of actions by us, third parties,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other partners and companies in the industry are the subject of adverse media reports or other negative publicity;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unable to combat spam, harassment, cyberbullying or other hostile, inappropriate, abusive or offensive content or usage on our platform;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cannot preserve and enhance our brand and reputation as a trusted neighborhood networking community.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highly competitive. Competition presents an ongoing threat to the success of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has introduced and continues to expand features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ability to compete depends upon many factors both within and beyond our control,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popularity, usefulness, ease of use, performance, and reliability of our platform compared to our competitors’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and composition of our neighbor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engagement of neighbors with our platform and competing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first- and third-party data available to us relative to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advertisers who use our free or paid advertisements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and market acceptance of developments and enhancements to our platform or our competitors’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safety and security efforts and our ability to protect neighbor data and to provide neighbors with control over their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distribute our platform to new and existing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monetize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successful implementation of platform changes, such as the migration to our proprietary ad server and introduction of AI technologies into our platform, and our new Nextdoor initiative;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frequency, size, format, quality, and relative prominence of the advertisements displayed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 service and support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marketing and selling efforts, including our ability to measure the effectiveness of our advertisements and to provide advertisers with a compelling return on their investments;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and maintain publisher interest in integrating their content with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mandated by legislation, regulatory authorities, or litigation, some of which may have a disproportionate effect on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acquisitions or consolidation within our industry, which may result in more formidable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retain, and motivate talented employees, particularly software engineers, designers, and product managers;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cost-effectively manage and grow our operations;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reputation and brand strength relative to those of our competitors.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not able to compete effectively, our neighbor base and level of neighbor engagement may decrease, we may become less attractive to advertisers and our business, operating results, and financial condition may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ongoing and future geopolitical conflicts (including the conflict involving Iran), other physical security threats, cyber-attacks, or other catastrophic events. If such an event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occur, neighbors may be subject to service disruptions or outages and we may not be able to recover our technical infrastructure and neighbor data in a timely manner to restart or provide our services, which may adversely affect our financial results. In addition, a substantial number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integrate third-party AI models and tools into our platform and internal systems, which may expose us to risks including supply-chain compromise, model poisoning, prompt injection attacks and vulnerabilities inherent in large-language-model-integrated application attack surfaces. The increasing deployment of agentic AI systems, which can autonomously execute multi-step tasks and interact with external services, may introduce additional risks, including the potential for AI agents to be exploited by bad actors to facilitate cyberattacks, vulnerability discovery, and other malicious activities at greater speed and scale than previously possible. If the third-party AI models we rely upon are compromised or behave unexpectedly, our platform features could be degraded or exploited for malicious purposes, and we could face operational disruption, reputational harm, or regulatory liability.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we fail to scale our business effectively, our business, operating results, and financial condition would be adversely affected.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we may not be able to do so cost-effectively. Effectively managing our growth may also be more difficult to accomplish the longer that our employees, our advertisers, neighbors and the overall economy are impacted due to macroeconomic conditions and factors, including but not limited to the impacts related to the actual or perceived instability in the global banking system, labor shortages, supply chain disruptions, a potential recession, the implementation of tariffs by the United States, China, or other governments, changing interest rates and inflation, and ongoing and future geopolitical conflicts (including the conflict involving Iran).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from time to time, we realign our resources and talent to implement stage-appropriate business strategies, which could include furloughs, layoffs and reductions in force. For example, in 2023, 2024 and 2025, in response to changing economic conditions and in an effort to support our growth, scale and profitability objectives,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with the needs of our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or our industry generally are unable to provide a high-quality and secure customer experience in the various locales in which we operate, our brand could suffer reputational damage and our business results could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not be successful in our AI initiatives, which could adversely affect our business, reputation, or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make investments in AI initiatives, including AI solutions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confidentiality or privacy and security risks, or other complications that could adversely affect our business, operating results and financial condition. Our use of datasets to develop AI models, the content generated by AI systems, or the application of AI systems may be found to be insufficient, offensive, biased, or harmful, or violate current or future laws and regulations. For example, as part of the new Nextdoor initiative, we are testing AI-powered experiences (such as an “Ask” surface) that can draw insights from users’ posts and comments about businesses and services in their neighborhoods and provide summarized recommendations in response to neighbor prompts. The reliance of these features on user-generated conversations exposes us to risks related to the accuracy of the data, potential bias in the generated recommendations, and the lack of transparency for AI-derived summaries of discussions within the community. If AI-generated recommendations are perceived as inaccurate, biased, or unfair, or if they surface inappropriate or outdated content, we could face reputational harm, regulatory scrutiny, or legal claims from users or businesses. Moreover, AI may give rise to litigation risk, including potential intellectual property or privacy liability. The recent releases of more advanced general-purpose AI models by major providers also may enable bad actors to more effectively evade our content detection and classification systems, undermine trust and safety measures, or create harmful content at scale, including spam, synthetic media, deepfakes, and coordinated manipulation campaigns. Responding to these threats may increase our content moderation, safety, and enforcement costs and require ongoing investment in detection and provenance technologies. We have begun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deploying AI-based tools to assist with content moderation on our platform. These tools may not identify all policy-violating content and may incorrectly flag or remove content that does not violate our policies, which could frustrate neighbors, remove non-violative content, reduce engagement, or attract regulatory scrutiny. If our AI content moderation tools are perceived as censoring legitimate expression, we could face regulatory action or reputational harm that reduces neighbor trust and engagement. Furthermore, the integration of third-party AI models with our products and services relies on certain safeguards implemented by the third-party developers of the underlying AI models, including those related to accuracy, bias, training data, quality of output, and other matters, and these safeguards may be insufficient. In addition, the quality, accuracy, availability, or efficacy of third-party AI models may degrade over time, which could negatively impact the performance of our AI-powered features and expose us to additional risks. If our offerings draw controversy due to their perceived or actual impact on society, such as AI solutions that have unintended consequences or are controversial because of unintended impacts to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other companies may develop AI features and technologies that are similar or superior to our technologies or are more cost-effective to develop and deploy. Given the long history of development in the AI sector, other parties may have (or in the future may obtain) patents or other proprietary rights that would prevent, limit, or interfere with our ability to make, use, or sell our own AI features. Existing laws and regulations may be interpreted, or new laws and regulations regarding AI have been and may in the future be adopted and interpreted, in ways which could negatively affect the way we use AI in our products. For example, the EU Artificial Intelligence Act prohibits certain AI practices deemed to pose unacceptable risks, such as manipulative techniques and social scoring, and imposes transparency and compliance requirements on high-risk AI systems and general-purpose AI models, which may require us to implement additional controls, documentation, or disclosures for certain AI applications. In the United States, there is no comprehensive federal AI law, but a growing number of states have enacted or proposed AI legislation. The U.S. federal government has also signaled interest in developing a federal AI framework that could potentially preempt certain state AI laws. The regulatory landscape for AI is fragmented and rapidly evolving, with ongoing legal challenges and uncertainty around applicable obligations, implementation, and enforcement. As a result, we may need to devote significant resources to adapt our offerings to comply with requirements that vary over time and across jurisdictions, and unresolved issues around AI-related laws may expose us to legal or regulatory risk. Finally, intellectual property ownership issues, licensing and privacy rights surrounding AI technologies are evolving and have not been fully addressed by U.S. federal or state courts or foreign jurisdictions, which may expose us to claims of intellectual property infringement or misappropriation or privacy rights violations, or result in inquiries by government bodies or agencies. Such issues may also undermine the availability or functionality of third party-AI tools or services that we deploy in order to operate our business or services that we offer to consumers. Any of these factors could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the “Nextdoor” brand and reputation, including through the new Nextdoor initiative,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The increasing availability and sophistication of generative AI tools may enable bad actors to create and distribute, at scale, AI-generated content on our platform, including fake posts, fabricated reviews of local businesses, deepfakes, and other misleading or manipulative content that is more difficult to detect and moderate than traditional spam or misinformation. This content may include the creation of fraudulent or misleading advertisements, or business profiles designed to deceive neighbors. Such AI-generated content could be particularly damaging to trust in our hyperlocal communities, where neighbors rely on the authenticity of content and advertisements shared on or through our platform. If we are unable to effectively detect and prevent such content, we could face reputational harm, reduced neighbor engagement, loss of advertiser confidence, regulatory scrutiny, or legal claims, any of which could adversely affect our business, operating results, and financial condition. We also may fail to respond expeditiously to the sharing of illegal, illicit or objectionable content on our service or objectionable practices by advertisers, or to otherwise address our neighbors’ concerns, which could erode confidence in our brand and damage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Unfavorable media coverage negatively affects our business from time to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product and investment decisions may conflict with the short-term financial results and may not produce the long-term benefits that we expect.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make product and investment decisions, which we believe are essential to the success of our platform and in serving the best, long-term interests of Nextdoor and our stockholders. In the past, including with the introduction of the new Nextdoor initiative, we have forgone, and may in the future forgo, certain expansion or revenue opportunities or other opportunities that have positive short-term financial impacts that we do not believe are aligned with the long-term success of our platform, even if our decision may negatively impact our operating results in the short term. In addition, in connection with implementing our new Nextdoor initiative, we anticipate shifts in usage and available ad impressions which may adversely impact our business, operating results, and financial condition. Our decisions may not result in the long-term benefits that we expect, in which case our neighbor engagement, business, operating results, and financial condition could be harmed.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expand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to further expand our business operations abroad by opening new and expanding within existing neighborhoods outside of the United States, though our primary focus remains on improving our product experience and aligning our operations to best serve users and advertisers in our existing markets. As of June 30, 2026, the Nextdoor platform was accessible in 11 countries (including the United States).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international operations and sales to advertisers continue to grow, we will be subject to a variety of risks inherent in doing business internationally,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political, social and economic instability, including as a result of geopolitical conflicts, acts of war or terrorism;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the legal and regulatory environment in foreign jurisdictions, including with respect to privacy and data protection, and unexpected changes in laws, regulatory requirements, and enforcement;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damage to our brand and reputation due to compliance with local laws, including potential censorship and requirements to provide neighbor information to local authorities;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enhanced difficulty in reviewing content on the Nextdoor platform and enforcing community standards across different languages and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multiple U.S. and international tax jurisdictions and management of tax impact of global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potentially higher levels of credit risk and payment fraud;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integrating any foreign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burdens of complying with a variety of foreign laws, including laws related to taxation, content removal, data localization, data transfer, consents, payments, and regulatory oversight, as well as laws relating to online safety, intermediary liability, or content moderation;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protection for intellectual property rights in some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staffing and managing global operations and the increased travel, infrastructure, and legal compliance costs associated with multiple international 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need additional capital in the future, it may not be available on favorable terms, if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make acquisitions, which could harm our financial condition or operating results and may adversely affect the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2023, 2024, and 2025, in response to changing economic conditions and in an effort to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options that they hold is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Security and Technology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dependent on third-party software and service providers, including ads platforms and programmatic advertising partners, for management and delivery of certain advertisements on the Nextdoor platform. Any failure or interruption experienced by such third parties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Currently, we are dependent on third-party software and service providers, including ads platforms and programmatic advertising partners, for management and delivery of certain advertisements on the Nextdoor platform. As such, the continued use of third-party software and service providers, including these ads platforms and programmatic advertising partners,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third-party software, cloud infrastructure, and communications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third-party software and service providers, including AWS, to provide systems, storage and services, including neighbor login authentication, for our website and third-party communications and email delivery services to send notifications and other messages to neighbors and advertisers. Any technical problem with, cyber-attack on or loss of access to such third parties’ systems, servers, or technologies could result in the inability of neighbors to access the Nextdoor platform or receive timely communications from us or result in the theft of neighbors’ personal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rely on third-party technology providers in our business, including cloud infrastructure, communications, and other software services, we rely on the cybersecurity practices and policies adopted by these third parties. Our ability to monitor our third-party technology providers’ cybersecurity practices is limited.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Similarly, outages, service limitations, or deliverability issues affecting the third</w:t>
        <w:noBreakHyphen/>
        <w:t>party communications and email services we use could impair our ability to send notifications and other messages to neighbors and advertisers in a reliable and timely manner. If neighbors or advertisers are not able to access our platform or encounter difficulties in doing so, or if they do not reliably receive communications from us, we may lose neighbors or advertisers, which could harm our reputation,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utilize data center hosting facilities operated by AWS in various locations.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third parties, including email providers, mobile data networks, and identity verification service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to verify our neighbors’ accounts through several methods, including but not limited to email, SMS text message, geolocation and mailed invitations. For example, we utilize email providers, mobile data networks, and identity verification service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interruptions, whether as a result of a cyber-attack, security breach, weather or other events, or delays in their operations. Additionally, alternative email providers, mobile data networks, identity verification service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Unauthorized scraping or use of content from our platform, including for AI model training, could diminish the value of our platform and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content generated by our neighbors, including neighborhood discussions, local business reviews, recommendations, and community insights, is a valuable element of our platform. Third parties, including developers of artificial intelligence and large language models, may attempt to scrape, collect, or otherwise access and use this content without our authorization, including to train AI models that may then compete with our platform or diminish the value of the unique local information available on our service. The increasing prevalence of AI-powered products has exacerbated the risk of unauthorized data scraping, as web scraping is a common method for gathering data used to train AI models, and several high-profile lawsuits involving unauthorized use of content for AI training are currently pending in U.S. courts. If third parties successfully extract and use our platform content, the proprietary value of our local content could be diminished, our neighbors' privacy expectations could be violated, and competitors or AI-powered search and discovery tools could provide substantially similar local information without directing users to our platform. Although we employ technical and contractual measures to restrict unauthorized access to our platform data, including restrictions in our terms of service and technical controls such as rate limiting and bot detection, these measures may not be fully effective, and recent case law has created uncertainty regarding the enforceability of terms of service restrictions on scraping publicly accessible data. In addition, emerging legal frameworks may affect the risks and remedies associated with unauthorized use of our content, and we may need to invest additional resources to monitor, detect and respond to scraping activity. Any unauthorized use of our platform content could result in litigation costs, harm our competitive position, and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Security breaches, including improper access to or disclosure of our data or our neighbors’ data, or other hacking and phishing attacks on our or third-party systems, could harm our reputation, adversely affect our business, and result in legal liability.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collect, store and otherwise process personal data relating to a significant number of individuals such as our neighbors, employees and partners, including, but not limited to, neighbor contact details, network details, and location data. The evolution of information technology systems introduces unknown and complex security risks that can be unpredictable and difficult to defend against. Cyber-attacks continue to evolve in sophistication and volume, and inherently may be difficult to detect for long periods of time. More capable general-purpose AI models released by major providers that are or may soon become widely accessible to developers and end users have amplified, and will continue to amplify, the capabilities of threat actors, enabling more targeted and convincing phishing and social engineering campaigns, automated identification and exploitation of software vulnerabilities, the generation of novel malware and attack vectors, prompt injection attacks, automated reconnaissance, and the ability to conduct attacks at greater speed and scale than previously possible. These AI-enhanced threats may be more difficult to detect using traditional security measures and may require us to invest in additional defensive capabilities. In particular, social media companies, like us, are prone to cyber-attacks by third parties seeking unauthorized access to company or user data or to disrupt their ability to provide access to their products and services.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take a variety of technical and organizational security measures and other measures to protect our data. Although we have implemented systems and processes that are designed to protect our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(such as spear phishing attacks), ransomware, and general hacking have become more prevalent in the industry, have occurred on our systems in the past, and are 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occur on our systems in the future. In addition, we regularly encounter attempts to create false or undesirable accounts or take other actions on our platform for purposes such as spamming, spreading misinformation, or other objectionable ends. Our efforts to protect our data may also be unsuccessful due to software bugs or other technical malfunctions; employee, contractor, or vendor error or malfeasance; threat actors, nation-states and nation-state supported actors engaging in cyber-attacks; or other threats that evolve.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third parties, including advertisers, vendors and service providers, may store information that we share with them on their networks. If these third parties fail to implement adequate data-security practices or fail to comply with their contractual obligations and/or, where applicable, our applicable terms and policies, our data may be improperly accessed, used or disclosed. Even if these third parties take all the necessary precautions and comply with their applicable obligations, their networks may still suffer a security incident, which could compromise our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Security incidents may cause interruptions to our platform, degrade the neighbor experience, cause neighbors or advertisers to lose confidence and trust in our platform, impair our internal systems, or result in financial harm to our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material cybersecurity incidents and cybersecurity risk management, strategy, and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maintain insurance policies, our coverage may be insufficient to compensate us for all losses caused by security incidents, and any such security incidents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 Furthermore, our insurance coverage may not extend to all risks we face, including all AI-related risks, and may not cover us for all losses for errors or omissions caused by AI.</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 data protection violation or security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 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changes made by third-party publishers and distribution channels.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platform and internal systems rely on software and hardware that is highly technical, and any errors, bugs, or vulnerabilities in these systems, or failures to address or mitigate technical limitations in our systems,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Social and ethical issues may result in reputational harm and liability.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public disclosures, and any standards we may set for ourselves or a failure to meet these standards, may influence our reputation and the value of our brand. For example, we have elected to share publicly certain information about our sustainability initiatives. Moreover, laws and regulations may require us to provide sustainability-related disclosure.</w:t>
      </w:r>
      <w:r>
        <w:rPr>
          <w:color w:val="000000"/>
        </w:rPr>
        <w:t xml:space="preserve"> </w:t>
      </w:r>
      <w:r>
        <w:rPr>
          <w:rFonts w:ascii="Times New Roman;serif" w:hAnsi="Times New Roman;serif"/>
          <w:b w:val="false"/>
          <w:color w:val="000000"/>
          <w:sz w:val="20"/>
        </w:rPr>
        <w:t>For example, California has adopted two climate-related bills, which require companies doing business in California that meet certain revenue thresholds to publicly disclose certain greenhouse gas emissions data and climate-related financial risk reports. California also</w:t>
      </w:r>
      <w:r>
        <w:rPr>
          <w:color w:val="000000"/>
        </w:rPr>
        <w:t xml:space="preserve"> </w:t>
      </w:r>
      <w:r>
        <w:rPr>
          <w:rFonts w:ascii="Times New Roman;serif" w:hAnsi="Times New Roman;serif"/>
          <w:b w:val="false"/>
          <w:color w:val="000000"/>
          <w:sz w:val="20"/>
        </w:rPr>
        <w:t>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In connection with any legal or regulatory requirements, we may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results difficult to predict.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have fluctuated in the past and may fluctuate in the future. Additionally, we are continuing to scale our monetization efforts,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generate revenues from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acquire, retain, and grow our neighbors and neighbor engagement on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recognize revenue or collect payments from advertisers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spending by our advertisers due to macroeconomic conditions, seasonality, episodic regional or global events, or other factors;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domestic and global business and macroeconomic conditions, including the implementation of tariffs by the United States, China, or other governments, actual or perceived instability in the global banking system, potential recession, local and national elections, inflation, changing</w:t>
      </w:r>
      <w:r>
        <w:rPr>
          <w:color w:val="000000"/>
        </w:rPr>
        <w:t xml:space="preserve"> </w:t>
      </w:r>
      <w:r>
        <w:rPr>
          <w:rFonts w:ascii="Times New Roman;serif" w:hAnsi="Times New Roman;serif"/>
          <w:b w:val="false"/>
          <w:color w:val="000000"/>
          <w:sz w:val="20"/>
        </w:rPr>
        <w:t xml:space="preserve">interest rates, and geopolitical conflicts; </w:t>
      </w:r>
    </w:p>
    <w:p>
      <w:pPr>
        <w:pStyle w:val="TextBody"/>
        <w:bidi w:val="0"/>
        <w:spacing w:before="0" w:after="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internet usage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prominence, size, format, quality and relevancy of advertisements shown to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technologies designed to block the display of advertisements;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pricing of our advertisements;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cost of and mix of new and existing sales and marketing and promotional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our platform and app on mobile devices and other third-party platforms;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our platform or the development and introduction of new products or services by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advertising industry association rules and standards that limit our ability to deliver, target or measure the effectiveness of advertising, such as the Network Advertising Initiative, and Interactive Advertising Bureau;</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or platform changes that may reduce traffic to features of the platform that we monetize;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disruptions, breaches of security or privacy, whether on our platform or on those of third parties, and the costs associated with any such breaches and remediation;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publicity associated with our platform, including as a result of content on our platform, security breaches and neighbor privacy concerns that may result in advertisers reducing or eliminating their spend with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health epidemics, such as pandemics, influenza, and other highly communicable diseases or viruses;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use of our cash, cash equivalents, and marketable securities, including to repurchase shares of our outstanding Class A common stock or to make acquisitions or investments;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incurring additional expenses, such as increases in sales and marketing or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litigation judgments, settlements, or other litigation-related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with respect to privacy and cybersecurity, or actions by governments or regulators, including fines, orders, or consent decrees;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U.S. generally accepted accounting principles.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Certain of our market opportunities and key metric estimates could prove to be inaccurate, and have been inaccurate in the past, and any real or perceived inaccuracies may harm our reputation and negatively affect our business.</w:t>
      </w:r>
    </w:p>
    <w:p>
      <w:pPr>
        <w:pStyle w:val="TextBody"/>
        <w:bidi w:val="0"/>
        <w:spacing w:lineRule="auto" w:line="288" w:before="0" w:after="180"/>
        <w:jc w:val="both"/>
        <w:rPr/>
      </w:pPr>
      <w:r>
        <w:rPr>
          <w:rFonts w:ascii="Times New Roman;serif" w:hAnsi="Times New Roman;serif"/>
          <w:b w:val="false"/>
          <w:color w:val="000000"/>
          <w:sz w:val="20"/>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review key business and other metrics, including Platform WAU, Verified Neighbors, Platform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If we fail to maintain an effective analytics platform, or if there are undetected errors in our systems, our key metrics calculations could be inaccurate. Any such inaccuracies, which may have occurred in the past or may occur in the future, may be difficult to identify in a timely manner. For example, in Q2 2025, we identified an issue related to iOS push notifications in the calculation of our Platform WAU metric which resulted in an immaterial overstatement of the Platform WAU figures previously disclosed for Q1 2024 through Q1 2025. Accordingly, the Platform WAU metric for Q1 2024 through Q1 2025 was revised in the Quarterly Report on Form 10-Q for Q2 2025 with the corrected figures.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change our key business metrics from time to time, including as a result of changes to our platform. We regularly evaluate whether our key business metrics remain meaningful indicators of the performance of our business. As a result of these evaluations, we may make changes to our key business metrics, including eliminating or replacing existing metrics. For example, in May 2025,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announced that we had made changes to the business that made Platform WAU a more important business metric for us and, in the second quarter of 2025, began reporting Platform WAU instead of WAU (previously defined as a Nextdoor user who opens our application, logs onto our website or engages with an email with monetizable content). In addition, we continue to present Platform ARPU with the denominator based on the average number of Platform WAU instead of WAU. If these changes make it more difficult for investors or analysts to compare our performance over time or to other companies, or if investors perceive any changes to our key business metrics disclosures negatively,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net losses each year since we began operations in 2007, including net losses of $13.5 million and $37.3 million for the six months ended June 30, 2026 and 2025, respectively. We have an accumulated deficit of $931.8 million as of June 30, 2026.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2023, 2024, and 2025,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use our U.S. federal and state net operating losses to offset future taxable income may be subject to certain limitations which could subject our business to higher tax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U.S. federal net operating loss (“NOL”) carryforwards of approximately $583.9 million and state NOL carryforwards of approximately $365.5 million, which if not utilized, will begin to expire beginning in 2028 and 2026, respectively. To the extent that we continue to generate taxable losses, unused losses will carry forward to offset future taxable income, if any. Under the 2017 Tax Cuts and Jobs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Section 382 of the Code, if a corporation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may experience an ownership change in the future as a result of subsequent shifts in our stock ownership, some of which may be outside our control. Therefore, it is possible that an ownership change could limit the amount of NOLs we can use to offset future taxable income. Any NOL carryforwards of companies we have acquired may be subject to limitations, thereby increasing our overall tax liability. Our NOL carryforwards may also be limited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financial results may be adversely affected by changes in accounting principles generally accepted in the United States and our financial estimates may be different from our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currency exchange rates fluctuate substantially in the future, our operating results, which are reported in U.S. dollars,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if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have greater than anticipated tax liabilities, which could harm our business, revenue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number of tax jurisdictions globally, including in the United States at the federal, state and local levels, and in foreign countries, and may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 Evolving economic nexus and digital platform tax rules may expand our obligations in jurisdictions based on user activity, revenue, or other factors. Certain U.S. states and municipalities have enacted or are considering legislation that would impose new taxes on revenue derived from digital advertising services or social media platforms, which may be based on gross revenues and determined by user location or other allocation methodologies. For example, the City of Chicago enacted a Social Media Amusement Tax effective January 2026 imposing a per-user monthly charge on social media companies, which is currently under legal challenge. During the second quarter of 2026, Illinois enacted a targeted advertising service tax and a social media platform fee, both effective January 2027, which apply in addition to the Chicago municipal tax described above; both taxes may be subject to constitutional challenge. Utah similarly enacted a targeted advertising tax effective January 2027. The application of these and other similar rules that have been or may be enacted in the future to our business is uncertain and may result in increased operating costs and significant compliance costs. Because substantially all of our revenue is derived from advertising, these taxes may disproportionately affect our business, and the operational complexity of establishing verifiable user-count and revenue-allocation data for multiple tax jurisdictions will require additional resources. The adoption of similar measures by additional jurisdictions could increase our overall tax burden and compliance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Changes in the valuation of our deferred tax assets, and the resolution of uncertain tax positions could materially impact our effective tax rate. Such changes could result in an increase in the effective tax rate applicable to all or a portion of our income, which would negatively affect our financial results.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our Board of Directors authorized and approved a share repurchase program pursuant to which we may repurchase up to $100.0 million in aggregate of shares of our Class A common stock, with the authorization to expire on June 30, 2028, or such shorter period if $100.0 million in aggregate of shares of our Class A common stock have been repurchased. Although our Board of Directors has authorized this share repurchase program, the program does not obligate us to repurchase any specific dollar amount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liable as a result of content or information that is published or made available on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Lawmakers in the United States and in other countries may introduce new regulatory regimes that increase potential liability for content available on our platform. There are a number of new laws and legislative proposals in the United States and globally aimed at limiting the scope of protections available to online services and/or that further impose new obligations affecting our business, such as liability for copyright infringement, illegal or harmful content moderation, addictive or defective design, health warning labels on social media platforms, distributing targeted and other advertisements to teens, and other forms of unlawful content and/or online harm. These legislative and/or regulatory requirements may increase our costs of operations, our liability for content posted by users on our platform, our litigation costs, and/or may expose us to regulatory sanctions such as fines or penalties. If these or other additional statutory or regulatory changes reduce liability protections for content published on our platform, we may be required to make significant changes to our business model, including increasing our content moderation operations and building in additional product features or tools that may not be favorable to our business, add payment obligations or compliance costs. In addition, the integration of third-party news or alert content, introduced as part of the new Nextdoor initiative, may increase our exposure to inaccurate, misleading, or objectionable content, and may create additional challenges for content moderation. If we fail to adequately moderate or address problematic content, we could face reputational, legal, or regulatory risk. We may also receive statutory or regulatory scrutiny for our policies governing content and advertising on our platform. Responding to such scrutiny could require significant resources and any required changes to our operations may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AI-based moderation tools may produce errors, false positives, or inconsistent results that are difficult to detect or correct at scale. In many cases, this content will appear on the Nextdoor platform. This risk may increase as we develop and increase the use of certain features, such as video, for which identifying such content and obtaining appropriate consents is challenging, and as we continue to roll out our new Nextdoor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we rely on a variety of statutory and common-law frameworks and defenses, including those provided by the Digital Millennium Copyright Act (the “DMCA”), the Communications Decency Act (“CDA”), the fair-use doctrine in the United States and the Electronic Commerce Directive (the “E-Commerce Directive”) in the European Union, differences between statutes, limitations on immunity, requirements to maintain immunity, and moderation efforts in the many jurisdictions in which we operate may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ability to rely on these frameworks and defenses, or create uncertainty regarding liability for information or content uploaded by neighbors and advertisers or otherwise contributed by third parties to our platform. In the European Union, the Russmedia decision by the Court of Justice of the European Union has created uncertainty regarding the status of longstanding intermediary liability provisions under EU law, which may result in additional obligations for online platforms, increased litigation, and liability. The adoption of similar liability frameworks in other jurisdictions could require us to expend additional resources on content moderation, alter our content removal processes, or expose us to increased legal liability.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Actions by governments that restrict access to the Nextdoor platform in their countries, or that otherwise impair our ability to sell advertising in their countries, could substantially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many U.S. federal and state and foreign laws, regulations and industry standards that involve matters central to our business, including laws and regulations that involve data privacy, security and protection, online safety (including children’s online safety), intellectual property (including trademark, copyright, and patent laws), content, rights of publicity, advertising, marketing, health and safety, competition, protection of minors, age verification, consumer protection, automatic renewal and subscription cancellation practices, taxation, telecommunications, anti-bribery, anti-censorship, anti-money laundering and corruption, AI and machine learning, and securities. These laws and regulations are constantly evolving and may be interpreted, implemented, applied, created, suspended, or amended, in a manner that could require burdensome or inconsistent compliance efforts, introduce legal or regulatory liability, or otherwise harm our business. In addition, the introduction of new products, expansion of our activities in certain jurisdictions, or other actions that we may take may subject the company to additional laws, regulations, or other governmental scrutiny.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statutory and common-law frameworks and defenses relevant to the content available on the Nextdoor platform, including the DMCA, the CDA and the fair-use doctrine in the United States, and the E-Commerce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such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harms resulting from third-party content in the United States could decrease or change. Although the U.S. Supreme Court declined to narrow the scope of Section 230 in its Gonzalez v. Google decision, courts have increasingly permitted negligence, product liability, failure-to-warn, and consumer protection claims against social media platforms to proceed on theories that target platform design choices and alleged misrepresentations about platform safety rather than user-generated content, and therefore may fall outside Section 230's protections. In March 2026, juries in separate proceedings found major social media platforms liable for negligently designing products alleged to be addictive to minors and for misleading consumers about child safety risks, with a substantial number of similar cases pending in federal multidistrict litigation. Although we are not a defendant in those proceedings, the underlying legal theories could be applied to any social media platform, and similar claims against us could result in significant litigation costs, damages, or required changes to our platform design. In addition, federal appellate courts have reached differing conclusions regarding whether algorithmic content recommendations constitute protected publisher activity under Section 230 or first-party speech outside its protections, creating uncertainty as to the scope of immunity available to platforms that use algorithmic recommendations, including ours. There are also legislative efforts to amend or sunset Section 230 of the CDA, with bipartisan support in Congress for legislation introduced in December 2025 that would sunset Section 230 as early as January 1, 2027, which if enacted could expose us to additional lawsuits and potential judgments that could significantly harm our business. We could incur significant costs investigating,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defending, or otherwise responding to such claims and inquiries, and, if we are found liable, we may be subject to significant damages or the suspension of services or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Services Act (the “DSA”), signed into law in the European Union on October 19, 2022, is a package of legislation intended to update the liability, safety, and transparency rules for online platforms, search engines, and other digital products and services. The DSA, which started to apply to our business in February 2024, has negatively impacted and may continue to negatively impact the scope of the limited immunity provided by the E-Commerce Directive, limit targeted advertising, impose burdensome reporting obligations, and require us to expend resources to try to comply with the new regulations or incur liability. The DSA also includes significant penalties for non-compliance. On October 26, 2023, similarly, the United Kingdom’s Online Safety Act (the “OSA”) became law. The OSA creates requirements around content moderation and handling illegal and harmful content and has required and will continue to require us to expend resources to try to comply with the new regulations or incur liability. Additionally, Australia’s Online Safety Act 2021, which went into effect in January 2022, and its accompanying Social Media Services Code, which went into effect in December 2023, impose new obligations and liabilities on platforms with respect to certain types of harmful content and prohibitions on access by minors. In addition, several U.S. states and foreign countries have passed age verification laws to protect minors from harmful online content, especially adult material. These laws generally require websites and platforms to verify users' ages, or to verify parental consent, subject to methodological requirements that vary across jurisdictions, before allowing users to access our platforms or to access certain content. Many of these U.S. state laws have been subject to legal challenge; however, in June 2025, the U.S. Supreme Court in Free Speech Coalition, Inc. v. Paxton upheld a Texas law requiring age verification for websites hosting material deemed harmful to minors, which may make similar laws more likely to withstand constitutional challenge and increase our compliance obligations. Consequently, we may now be required in some U.S. states and are now required in some foreign countries to exclude current users from the platform based on age, to apply specified protections or features to user accounts associated with minors, or to include mandatory age verification in our user onboarding process, which may impede user growth or increase attrition. These existing and proposed laws, together with any changes to the existing laws and regulations within the jurisdictions in which we operate, could require us to expend additional resources to maintain compliance with new or evolving regulations. As a result, we may incur additional liability, and our business, operating results, and financial condition could be harmed.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collect, store, use, share, and otherwise process data, some of which contains personal information about individuals including, but not limited to, our neighbors, employees and partners, where such personal information includes, but is not limited to, contact details, demographic information, network details, and location data. We are therefore subject to U.S. (federal, state, and local) and foreign laws and regulations regarding data privacy, security and protection, which apply to the processing of personal information. The regulatory frameworks for data privacy, security, and protection worldwide and interpretations of existing laws and regulations is likely to continue to be uncertain, as current or future legislation or regulations in the United States and other jurisdictions, or new interpretations of existing laws and regulations, could significantly restrict or impose conditions on our ability to process data, for example through more burdensome notice or consent requirements, or more stringent use restrictions, that impact our use of advertising technologies or platform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internal and publicly posted policies, statements and notices regarding our collection, processing, use, disclosure, deletion and security of personal and non-personal information, as well as individuals’ rights with respect to personal information, and in the event that a court or regulator finds these statements to be deceptive, unfair, inaccurate, inadequate, or misrepresentative of our actual practices, we could be exposed to legal or regulatory liability. Any such proceedings or violations could force us to spend money in investigation, mitigation, defense, or settlement, result in the imposition of monetary liability or demands for injunctive relief, divert management's time and attention, increase our costs of doing business, and adversely affect our reputation. Furthermore, the uncertain and shifting regulatory environment and trust climate may cause concerns regarding privacy and data protection and may cause our customers to resist providing the data necessary to allow them to use our services effectively. Although we endeavor to comply with our public statements and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we are subject to numerous federal, state and local data privacy, security, and protection laws and regulations governing the processing of information about individuals, including over a third of U.S. states that have enacted comprehensive consumer privacy laws, with additional states expected to follow. In California, for example, the CCPA establishes certain transparency obligations and creates data privacy rights for users, including rights to access and delete their personal information as well as opt-out of the sale or sharing of their personal information (as those terms are understood under the CCPA). Additionally, California’s Opt Me Out Act, effective January 1, 2027, requires all browsers operating in California to include built-in functionality that enables users to send opt-out preference signals to websites, communicating their preferences not to sell or share personal information. This law may substantially increase the volume of opt-out requests we receive, which may impact our advertising revenue and data collection capabilities for targeted marketing and personalized advertising. Furthermore, the California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Protection Agency, which administers and enforces the CCPA, has leveraged its rulemaking authority to impose new regulations impacting covered businesses, with additional obligations coming into effect over the next several years, including independent cybersecurity audits, comprehensive risk assessments for certain personal information processing activities, and requirements for the use of automated decision making technologies (“ADMT”) for significant decisions affecting individuals. The CCPA also prohibits covered businesses from discriminating against consumers for exercising any rights established under the CCPA, for example prohibiting unjustified increased fees for individuals who opt out of the sale of their personal information. The CCPA imposes statutory damages for certain violations of the law as well as a private right of action for certain data breaches that result in the loss of personal information, which increases the likelihood of, and risks associated with, data breach litigation. Several of these state laws impose unique privacy and data security compliance requirements relevant to our business. We anticipate that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state privacy regulators have begun coordinating cross-jurisdictional enforcement efforts, which may increase the likelihood that a compliance finding in one state triggers scrutiny across multiple jurisdictions. There have been numerous attempts to introduce privacy legislation at the federal level. Compliance with existing laws, any newly enacted privacy, security, and data protection laws or regulations, browser-level opt out requirements, cybersecurity audit obligations, risk assessment mandates, and ADMT requirements may be challenging and cost- and time-intensive, and may require us to modify our data processing practices and policies, incur substantial costs and potential liability, and make significant modifications to our advertising technologies and business model in an effort to comply with such legislation.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further concern in the United States, regulatory attention to AI systems, including generative AI, continues to increase. Many U.S. states have introduced or enacted legislation addressing the development and use of AI. For example, the Texas Responsible AI Governance Act, which became effective January 1, 2026, prohibits the use of AI systems for specified purposes, such as incitement of violence, self-harm, or criminality, unlawful discrimination, and violation of constitutional rights. Further, California has enacted several laws, some of which are currently being challenged, requiring transparency in the development of AI systems or addressing potential harms from AI technologies, such as the creation and distribution of deepfakes. As these laws are proposed, enacted, challenged, interpreted, and implemented, compliance with AI laws and regulations may be challenging and cost- and time-intensive, or such compliance efforts may require us to modify our data processing practices and policies, or impact our access to and permitted uses of large language models, training data, or other AI technologies, and to incur substantial costs and potential liability in an effort to comply with such legislation.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Outside the United States, we are subject to an increasing number of laws, regulations and industry standards that apply to data privacy and security. In Canada, we are subject to PIPEDA, which governs the collection, use and disclosure of Canadian residents’ personal information in the course of commercial activities. Further, Canada’s legislature proposed amendments to PIPEDA, but the adoption of those amendments remains uncertain since the election of a new Canadian government in April 2025. In Australia, we are also subject to, among other laws, Australia’s Privacy Act 1988 and the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Since 2025, the Australian Government has committed to a second set of privacy reforms, which have not yet been introduced as legislation, and the Office of the Australian Information Commissioner published updated APP Guidelines and enforcement guidance. In the European Union, we are subject to the EU GDPR, and in the United Kingdom we are subject to the UK GDPR. The GDPR and UK GDPR each imposes a strict data protection compliance regime, grants rights to data subjects in regard to their personal data (including the right to be “forgotten” and the right to data portability) and enhances current rights (e.g., data subject access requests). The UK GDPR was modified by the Data (Use and Access) Act, adopted June 19, 2025, with provisions coming into effect over time, including enhanced enforcement powers granted to the UK Information Commissioner’s Office as of February 5,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GDPR prohibits transfers of personal information from the European Economic Area (“EEA”) or United Kingdom to countries not formally deemed adequate by the European Commission or the UK Information Commissioner’s Office, respectively, including the United States, unless a particular compliance mechanism (and, if necessary, certain safeguards) is implemented. The mechanisms that we and many other companies rely upon for EEA and United Kingdom data transfers (for example, standard contractual clauses or the EU-US Data Privacy Framework) are subject to legal challenge, regulatory interpretation, and judicial decisions. While the United States and the European Union reached agreement on the EU-US Data Privacy Framework (and similar agreements were reached with respect to the United Kingdom and Switzerland), and we currently self-certify to the EU-US Data Privacy Framework and the UK Extension thereto, there are legal challenges to this data transfer mechanism as well, which could affect the manner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which we provide our services, the geographical location or segregation of our relevant systems and operations and could adversely affect our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global expansion of artificial intelligence laws has the potential to restrict or impose supplementary obligations on our utilization of this technology. For example, the EU AI Act, which entered into force on August 1, 2024, establishes obligations for entities engaged in the development and deployment of AI systems, certain of which have already taken effect, including prohibitions on specified AI practices and requirements for general-purpose AI models, with additional obligations, including requirements for high-risk AI systems and transparency obligations. The transparency obligations under Article 50 of the EU AI Act take effect in August 2026, while high-risk AI system obligations have been deferred to December 2027 under the Digital Omnibus on AI, which was formally adopted by the European Parliament and the Council in June 2026 and is expected to enter into force upon its publication in the Official Journal. The legislation employs a risk-based methodology, prohibits specified high-risk AI practices, and mandates requirements for the deployment of general-purpose AI with respect to transparency, data governance, and human oversight. Our compliance efforts may require us to modify our use of AI technologies, and to incur substantial costs and potential liability in an effort to comply with such legislation.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subject to evolving laws on cookies and e-marketing. In the European Union and the United Kingdom, informed consent is required for the placement of certain cookies or similar technologies on a user’s device as well as for direct electronic marketing communications. Further, under the GDPR, valid consent is tightly defined, including a prohibition on pre-checked consents, and the European Union and United Kingdom require organizations to obtain separate consents for each type of cookie or similar technology, or for particularized uses of personal data. In the EU, modifications to these rules have been proposed under the Digital Omnibus Package, published November 19, 2025, the data-related portions of which remain under consideration. U.S. regulators are also increasingly focused on the use of cookies for targeted advertising. If regulators start to enforce strict approaches regarding the use of cookies,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neighbors. In addition, our use of cookies, tracking pixels, and similar technologies may be challenged under state wiretap and electronic surveillance statutes, which have become the basis for a significant volume of private litigation against technology companies, and we may receive demand letters or be subject to lawsuits based on these theories.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have put in efforts to comply with these regulations, the uncertainty surrounding enforcement and evolving legal landscapes could change our compliance status. Similarly, there are a number of legislative proposals in the jurisdictions where we operate that could impose new obligations or limitations in areas affecting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costs of complying with these laws and regulations, which in some cases can be enforced by private parties in addition to government entities, are high and likely to increase in the future, particularly as the degree, variety, and enforcement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currently, and in the future may be, involved in legal disputes that are expensive and time consuming, and, if resolved adversely, could harm our business, operating results, and financial condition.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 involved in, actual and threatened legal proceedings, claims, investigations and government inquiries arising in the ordinary course of our business, including intellectual property, data privacy, cybersecurity, our use of AI, consumer protection,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7, Commitments and Contingencies, to the consolidated financial statements elsewhere in this report for a description of certain litigation matters that we are involved in.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obligations associated with operating as a public company require significant resources and management attention and have, and will continue to, cause us to incur additional expenses, which will adversely affect our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incur and expect to continue to incur significant accounting, legal and various other expenses.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will continue to increase our legal and financial compliance costs, make some activities more difficult, time-consuming or costly and increase demand on our systems and resources. As a public company, we have and will continue to,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prepare and distribute periodic public reports and other stockholder communications in compliance with our obligations under the federal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create or expand the roles and duties of our Board of Directors and committees of the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institute and maintain comprehensive financial reporting and disclosure compliance functions;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new and enhance existing internal policies, including those relating to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actions and the additional involvement of accountants and legal advisors, requires a significant commitment of our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we have incurred significant costs with respect to our directors’ and officers’ insurance coverage.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Being a public company requires significant resources and management oversight. As a result, management’s attention may be diverted from other business concerns, which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to maintain effective systems of internal controls and disclosure controls could have a material adverse effect on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and disclosure controls are necessary for us to provide reliable financial reports and effectively prevent fraud and to operate successfully as a public company. We are required by the Sarbanes-Oxley Act to design and maintain a system of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control over financial reporting and disclosure controls and procedures. If we cannot provide reliable financial reports or prevent fraud, our reputation and operating results would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Under currently applicable rules and regulations,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expenses and devote substantial management effort toward ensuring compliance with the requirements of Section 404 of the Sarbanes-Oxley Act. However, the SEC has proposed amendments to its filer status framework that, if adopted, could relieve accelerated filers such as us from the auditor’s attestation requirement under Section 404(b) of the Sarbanes-Oxley Act, although we would remain subject to management’s assessment of our internal control over financial reporting under Section 404(a). This proposal is subject to public comment and may be modified or not adopted.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to obtain, maintain, protect or enforce our intellectual property and proprietary rights could enable others to copy or use aspects of our platform without compensating us, which could harm our brand,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As such, policing unauthorized use of our technology or platform is difficult.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Confidentiality agreements with employees and others may not adequately prevent disclosure of trade secrets and proprietary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 As such, we cannot guarantee that the steps taken by us will prevent infringement, violation or misappropriation of our technology.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 parties may claim that the Nextdoor platform infringes their intellectual property rights, and such claims may result in legal claims against us and our technology partners and customers. These claims may damage our brand and reputation and create liability for us. Furthermore,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the number of such claims to increase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source license. Some open source software may include generative AI software or other software that incorporates or relies on generative AI. The use of such software may expose us to risks as the intellectual property ownership and license rights, including copyright, of generative AI software and tools have not been fully interpreted by U.S. courts or addressed by federal or state regulations. Authors of open source software we use may also update the terms of open source licenses governing such software to commercial license terms that may require us to pay fees in order to continue using such software.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Such use, under certain circumstances, could materially adversely affect our business, operating results, financial condition and future prospects, as well as our reputation, including if we are required to take remedial action that may divert resources away from our development efforts.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 As such,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could harm our intellectual property position and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Some open source licenses contain requirements that we make available as source code for modifications or derivative works we create based upon our use and distribution of the open source software. If we combine and distribute our proprietary software with open source software in a certain manner, we could, under certain open source licenses, be required to release the combined source code of our proprietary software to the public, including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This would allow our competitors to create similar offerings with lower development effort and time and ultimately could result in a loss of sales for us.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license technology from third parties for the development of our products, and our inability to maintain those licenses could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Any impairment of the technologies or of our relationship with these third parties could harm our business, operating results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price of our Class A common stock has been and may continue to be volatile.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user growth, retention, engagement, revenue, or other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involving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variations between our actual operating results and the expectations of securities analysts, investors, and the financial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publication of research reports by securities analysts about us, our competitors or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our other public announcements and our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shares of our Class A common stock being sold into the market by us or our existing stockholders, or the anticipation of such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and departures of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volume of shares of our Class A common stock available for public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estimates by third parties of actual or anticipated changes in the size of our user base or the level of user engagement;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operating performance and stock market valuations of technology companies in our industry, including our partners and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interest rate increases on the overall stock market and the market for technology company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including as a result of trends in the economy as a whole;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 new legislation and pending lawsuits or regulatory actions, including interim or final rulings by judicial or regulatory bodies;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events or factors, including those resulting from recessions, the implementation of tariffs by the United States, China, or other governments, inflation, changing interest rates, local and national elections, actual or perceived instability in the global banking system, international currency fluctuations, corruption, political instability, acts of war or terrorism, and general global conflicts.</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may adversely affect the trading market for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June 30, 2026.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do not intend to pay cash dividends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analysts do not publish research about our business or if they publish inaccurate or unfavorable research, our stock price and trading volume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management attention.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Future resales of our Class A common stock may cause the market price of our securities to drop significantly, even if our business is doing 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June 30, 2026, we had 255,063,899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super-majority voting to amend some provisions in our Certificate of Incorporation and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only our chairperson of the Board of Directors, our chief executive officer, the lead independent director or a majority of our Board of Directors will be authorized to call a special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expressly authorized to make, alter, or repeal our Bylaws;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advance notice requirements for nominations for election to our Board of Directors or for proposing matters that can be acted upon by stockholders at annual stockholder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Certificate of Incorporation contains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Sales of Unregistered Securities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our Board of Directors authorized and approved a new share repurchase program to repurchase up to $100.0 million in aggregate of our Company’s Class A common stock, with the authorization to expire on June 30, 2028. During the three months ended June 30, 2026, the Company did not repurchase or retire any shares of Class A common stock. As of June 30, 2026, the Company had $100.0 million available for future share repurchases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other than as described below, none of our directors or officers (as defined in Rule 16a-1(f) under the Exchange Act) adopted, modified, or terminated a “Rule 10b5-1 trading arrangement” or “non-Rule 10b5-1 trading arrangement,” as each term is defined in Item 408(a) of Regulation S-K (a “Rule 10b-51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May 22, 2026, Michael Kiernan, our Chief Revenue Officer, entered into a Rule 10b5-1 Plan (the “Kiernan Plan”) providing for the potential sale of up to 211,559 shares of Class A common stock owned by Mr. Kiernan, between an estimated start date of August 21, 2026 through December 31, 2026, or earlier, upon the completion of all transactions subject to the trading arrangements specified in the Kiernan Plan or the occurrence of certain events set forth therein.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3, 2026, Antoinette How, our Chief Accounting Officer, entered into a Rule 10b5-1 Plan (the “How Plan”) providing for the potential sale of up to 583,189 shares of Class A common stock owned by Ms. How, including upon the vesting and settlement of RSUs for shares of Class A common stock and the exercise of vested stock options for shares of Class A common stock, so long as the market price of the Class A common stock satisfies certain threshold prices specified in the How Plan, between an estimated start date of September 2, 2026 through August 31, 2027, or earlier, upon the completion of all transactions subject to the trading arrangements specified in the How Plan or the occurrence of certain events set forth therein. The How Plan provides for the sale of shares of Class A common stock to be received upon the future vesting and settlement of certain outstanding RSUs, net of any shares withheld by us to satisfy applicable tax obligations. The number of shares to be withheld, and therefore the exact number of shares to be sold pursuant to the How Plan, can only be determined upon the occurrence of the future vesting events. For purposes of this disclosure, we have included the maximum aggregate number of shares to be sold without subtracting any shares to be withheld upon future vesting events.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6"/>
        <w:gridCol w:w="288"/>
        <w:gridCol w:w="289"/>
        <w:gridCol w:w="109"/>
        <w:gridCol w:w="109"/>
        <w:gridCol w:w="109"/>
        <w:gridCol w:w="2022"/>
        <w:gridCol w:w="2022"/>
        <w:gridCol w:w="2039"/>
        <w:gridCol w:w="109"/>
        <w:gridCol w:w="109"/>
        <w:gridCol w:w="109"/>
        <w:gridCol w:w="170"/>
        <w:gridCol w:w="170"/>
        <w:gridCol w:w="171"/>
        <w:gridCol w:w="118"/>
        <w:gridCol w:w="118"/>
        <w:gridCol w:w="118"/>
        <w:gridCol w:w="210"/>
        <w:gridCol w:w="210"/>
        <w:gridCol w:w="211"/>
        <w:gridCol w:w="118"/>
        <w:gridCol w:w="118"/>
        <w:gridCol w:w="118"/>
        <w:gridCol w:w="207"/>
        <w:gridCol w:w="207"/>
        <w:gridCol w:w="301"/>
      </w:tblGrid>
      <w:tr>
        <w:trPr/>
        <w:tc>
          <w:tcPr>
            <w:tcW w:w="3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311ceo302certification-q2.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fo302certification-q2.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32.1</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eo906certification-q2.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32.2</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fo906certification-q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both"/>
        <w:rPr/>
      </w:pPr>
      <w:hyperlink w:anchor="i3c8b01fa04834ccd846ef4c1f6cf94c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4, 2026</w:t>
      </w:r>
    </w:p>
    <w:tbl>
      <w:tblPr>
        <w:tblW w:w="4562" w:type="dxa"/>
        <w:jc w:val="right"/>
        <w:tblInd w:w="0" w:type="dxa"/>
        <w:tblLayout w:type="fixed"/>
        <w:tblCellMar>
          <w:top w:w="28" w:type="dxa"/>
          <w:left w:w="28" w:type="dxa"/>
          <w:bottom w:w="28" w:type="dxa"/>
          <w:right w:w="28" w:type="dxa"/>
        </w:tblCellMar>
      </w:tblPr>
      <w:tblGrid>
        <w:gridCol w:w="491"/>
        <w:gridCol w:w="431"/>
        <w:gridCol w:w="431"/>
        <w:gridCol w:w="933"/>
        <w:gridCol w:w="933"/>
        <w:gridCol w:w="1343"/>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4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NEXTDOOR HOLDINGS, INC.</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tbl>
      <w:tblPr>
        <w:tblW w:w="3904" w:type="dxa"/>
        <w:jc w:val="right"/>
        <w:tblInd w:w="0" w:type="dxa"/>
        <w:tblLayout w:type="fixed"/>
        <w:tblCellMar>
          <w:top w:w="28" w:type="dxa"/>
          <w:left w:w="28" w:type="dxa"/>
          <w:bottom w:w="28" w:type="dxa"/>
          <w:right w:w="28" w:type="dxa"/>
        </w:tblCellMar>
      </w:tblPr>
      <w:tblGrid>
        <w:gridCol w:w="232"/>
        <w:gridCol w:w="205"/>
        <w:gridCol w:w="208"/>
        <w:gridCol w:w="1034"/>
        <w:gridCol w:w="1034"/>
        <w:gridCol w:w="1037"/>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Indrajit Ponnambalam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Indrajit Ponnambalam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6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AND 15D-14(A) UNDER THE EXCHANGE ACT,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Nirav Tolia,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controls over financial reporting. </w:t>
      </w:r>
    </w:p>
    <w:tbl>
      <w:tblPr>
        <w:tblW w:w="855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487"/>
        <w:gridCol w:w="487"/>
        <w:gridCol w:w="495"/>
        <w:gridCol w:w="1419"/>
        <w:gridCol w:w="1419"/>
        <w:gridCol w:w="20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AND 15D-14(A) UNDER THE EXCHANGE ACT,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Indrajit Ponnambalam,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538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59"/>
        <w:gridCol w:w="159"/>
        <w:gridCol w:w="161"/>
        <w:gridCol w:w="781"/>
        <w:gridCol w:w="781"/>
        <w:gridCol w:w="11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01F1E"/>
                <w:sz w:val="20"/>
              </w:rPr>
            </w:pPr>
            <w:r>
              <w:rPr>
                <w:rFonts w:ascii="Times New Roman;serif" w:hAnsi="Times New Roman;serif"/>
                <w:b w:val="false"/>
                <w:color w:val="201F1E"/>
                <w:sz w:val="20"/>
              </w:rPr>
              <w:t>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Nextdoor Holdings, Inc. (the “Company”) on Form 10-Q for the quarter ended June 30, 2026,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33"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855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479"/>
        <w:gridCol w:w="479"/>
        <w:gridCol w:w="486"/>
        <w:gridCol w:w="1427"/>
        <w:gridCol w:w="1427"/>
        <w:gridCol w:w="20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24"/>
              </w:rPr>
              <w:t>/s/</w:t>
            </w:r>
            <w:r>
              <w:rPr>
                <w:color w:val="000000"/>
              </w:rPr>
              <w:t xml:space="preserve"> </w:t>
            </w:r>
            <w:r>
              <w:rPr>
                <w:rFonts w:ascii="Times New Roman;serif" w:hAnsi="Times New Roman;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86"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Nextdoor Holdings, Inc. (the “Company”) on Form 10-Q for the quarter ended June 30, 2026,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86"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8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38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59"/>
        <w:gridCol w:w="159"/>
        <w:gridCol w:w="161"/>
        <w:gridCol w:w="781"/>
        <w:gridCol w:w="781"/>
        <w:gridCol w:w="11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45852</Words>
  <Characters>256409</Characters>
  <CharactersWithSpaces>300581</CharactersWithSpaces>
  <Paragraphs>2851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