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408940</wp:posOffset>
            </wp:positionH>
            <wp:positionV relativeFrom="page">
              <wp:posOffset>1090295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1106805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0"/>
          <w:szCs w:val="30"/>
          <w:b w:val="1"/>
          <w:bCs w:val="1"/>
          <w:color w:val="auto"/>
        </w:rPr>
        <w:t>UNITED STATES</w:t>
      </w:r>
    </w:p>
    <w:p>
      <w:pPr>
        <w:jc w:val="center"/>
        <w:ind w:right="-39"/>
        <w:spacing w:after="0" w:line="216" w:lineRule="auto"/>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82550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98425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35" w:lineRule="exact"/>
        <w:rPr>
          <w:sz w:val="24"/>
          <w:szCs w:val="24"/>
          <w:color w:val="auto"/>
        </w:rPr>
      </w:pPr>
    </w:p>
    <w:p>
      <w:pPr>
        <w:ind w:left="1260" w:hanging="596"/>
        <w:spacing w:after="0"/>
        <w:tabs>
          <w:tab w:leader="none" w:pos="12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For the fiscal year ended December 31, 2021</w:t>
      </w:r>
    </w:p>
    <w:p>
      <w:pPr>
        <w:jc w:val="center"/>
        <w:ind w:right="-39"/>
        <w:spacing w:after="0"/>
        <w:rPr>
          <w:sz w:val="20"/>
          <w:szCs w:val="20"/>
          <w:color w:val="auto"/>
        </w:rPr>
      </w:pPr>
      <w:r>
        <w:rPr>
          <w:rFonts w:ascii="Arial" w:cs="Arial" w:eastAsia="Arial" w:hAnsi="Arial"/>
          <w:sz w:val="12"/>
          <w:szCs w:val="12"/>
          <w:b w:val="1"/>
          <w:bCs w:val="1"/>
          <w:color w:val="auto"/>
        </w:rPr>
        <w:t>OR</w:t>
      </w:r>
    </w:p>
    <w:p>
      <w:pPr>
        <w:ind w:left="1260" w:hanging="596"/>
        <w:spacing w:after="0" w:line="235" w:lineRule="auto"/>
        <w:tabs>
          <w:tab w:leader="none" w:pos="1260" w:val="left"/>
        </w:tabs>
        <w:numPr>
          <w:ilvl w:val="0"/>
          <w:numId w:val="2"/>
        </w:numPr>
        <w:rPr>
          <w:rFonts w:ascii="MS PGothic" w:cs="MS PGothic" w:eastAsia="MS PGothic" w:hAnsi="MS PGothic"/>
          <w:sz w:val="30"/>
          <w:szCs w:val="30"/>
          <w:color w:val="auto"/>
          <w:vertAlign w:val="superscript"/>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8" w:lineRule="exact"/>
        <w:rPr>
          <w:rFonts w:ascii="MS PGothic" w:cs="MS PGothic" w:eastAsia="MS PGothic" w:hAnsi="MS PGothic"/>
          <w:sz w:val="30"/>
          <w:szCs w:val="30"/>
          <w:color w:val="auto"/>
          <w:vertAlign w:val="superscript"/>
        </w:rPr>
      </w:pPr>
    </w:p>
    <w:p>
      <w:pPr>
        <w:ind w:left="940"/>
        <w:spacing w:after="0"/>
        <w:rPr>
          <w:rFonts w:ascii="MS PGothic" w:cs="MS PGothic" w:eastAsia="MS PGothic" w:hAnsi="MS PGothic"/>
          <w:sz w:val="30"/>
          <w:szCs w:val="30"/>
          <w:color w:val="auto"/>
          <w:vertAlign w:val="superscript"/>
        </w:rPr>
      </w:pPr>
      <w:r>
        <w:rPr>
          <w:rFonts w:ascii="Arial" w:cs="Arial" w:eastAsia="Arial" w:hAnsi="Arial"/>
          <w:sz w:val="15"/>
          <w:szCs w:val="15"/>
          <w:b w:val="1"/>
          <w:bCs w:val="1"/>
          <w:color w:val="auto"/>
        </w:rPr>
        <w:t>FROM</w:t>
      </w:r>
      <w:r>
        <w:rPr>
          <w:rFonts w:ascii="Arial" w:cs="Arial" w:eastAsia="Arial" w:hAnsi="Arial"/>
          <w:sz w:val="14"/>
          <w:szCs w:val="14"/>
          <w:b w:val="1"/>
          <w:bCs w:val="1"/>
          <w:color w:val="auto"/>
        </w:rPr>
        <w:t>TO</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Commission File Number 001-40246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100330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4"/>
          <w:szCs w:val="24"/>
          <w:color w:val="auto"/>
        </w:rPr>
      </w:pPr>
    </w:p>
    <w:p>
      <w:pPr>
        <w:jc w:val="center"/>
        <w:ind w:right="-39"/>
        <w:spacing w:after="0"/>
        <w:rPr>
          <w:sz w:val="20"/>
          <w:szCs w:val="20"/>
          <w:color w:val="auto"/>
        </w:rPr>
      </w:pPr>
      <w:r>
        <w:rPr>
          <w:rFonts w:ascii="Arial" w:cs="Arial" w:eastAsia="Arial" w:hAnsi="Arial"/>
          <w:sz w:val="39"/>
          <w:szCs w:val="39"/>
          <w:b w:val="1"/>
          <w:bCs w:val="1"/>
          <w:color w:val="auto"/>
        </w:rPr>
        <w:t>Nextdoor Holdings, Inc.</w:t>
      </w: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86995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60" w:lineRule="exact"/>
        <w:rPr>
          <w:sz w:val="24"/>
          <w:szCs w:val="24"/>
          <w:color w:val="auto"/>
        </w:rPr>
      </w:pPr>
    </w:p>
    <w:p>
      <w:pPr>
        <w:ind w:left="29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86-1776836</w:t>
      </w:r>
    </w:p>
    <w:p>
      <w:pPr>
        <w:spacing w:after="0" w:line="56" w:lineRule="exact"/>
        <w:rPr>
          <w:sz w:val="24"/>
          <w:szCs w:val="24"/>
          <w:color w:val="auto"/>
        </w:rPr>
      </w:pPr>
    </w:p>
    <w:p>
      <w:pPr>
        <w:sectPr>
          <w:pgSz w:w="11900" w:h="16838" w:orient="portrait"/>
          <w:cols w:equalWidth="0" w:num="2">
            <w:col w:w="7940" w:space="720"/>
            <w:col w:w="2560"/>
          </w:cols>
          <w:pgMar w:left="320" w:top="1440" w:right="359" w:bottom="1440" w:gutter="0" w:footer="0" w:header="0"/>
          <w:type w:val="continuous"/>
        </w:sectPr>
      </w:pPr>
    </w:p>
    <w:p>
      <w:pPr>
        <w:ind w:left="2500"/>
        <w:spacing w:after="0"/>
        <w:rPr>
          <w:sz w:val="20"/>
          <w:szCs w:val="20"/>
          <w:color w:val="auto"/>
        </w:rPr>
      </w:pPr>
      <w:r>
        <w:rPr>
          <w:rFonts w:ascii="Arial" w:cs="Arial" w:eastAsia="Arial" w:hAnsi="Arial"/>
          <w:sz w:val="8"/>
          <w:szCs w:val="8"/>
          <w:b w:val="1"/>
          <w:bCs w:val="1"/>
          <w:color w:val="auto"/>
        </w:rPr>
        <w:t>(State or Other Jurisdiction of</w:t>
      </w:r>
    </w:p>
    <w:p>
      <w:pPr>
        <w:spacing w:after="0" w:line="26" w:lineRule="exact"/>
        <w:rPr>
          <w:sz w:val="24"/>
          <w:szCs w:val="24"/>
          <w:color w:val="auto"/>
        </w:rPr>
      </w:pPr>
    </w:p>
    <w:p>
      <w:pPr>
        <w:ind w:left="2480"/>
        <w:spacing w:after="0"/>
        <w:rPr>
          <w:sz w:val="20"/>
          <w:szCs w:val="20"/>
          <w:color w:val="auto"/>
        </w:rPr>
      </w:pPr>
      <w:r>
        <w:rPr>
          <w:rFonts w:ascii="Arial" w:cs="Arial" w:eastAsia="Arial" w:hAnsi="Arial"/>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Arial" w:cs="Arial" w:eastAsia="Arial" w:hAnsi="Arial"/>
          <w:sz w:val="8"/>
          <w:szCs w:val="8"/>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144" w:lineRule="exact"/>
        <w:rPr>
          <w:sz w:val="24"/>
          <w:szCs w:val="24"/>
          <w:color w:val="auto"/>
        </w:rPr>
      </w:pPr>
    </w:p>
    <w:p>
      <w:pPr>
        <w:sectPr>
          <w:pgSz w:w="11900" w:h="16838" w:orient="portrait"/>
          <w:cols w:equalWidth="0" w:num="2">
            <w:col w:w="7700" w:space="720"/>
            <w:col w:w="2800"/>
          </w:cols>
          <w:pgMar w:left="320" w:top="1440" w:right="359" w:bottom="1440" w:gutter="0" w:footer="0" w:header="0"/>
          <w:type w:val="continuous"/>
        </w:sectPr>
      </w:pPr>
    </w:p>
    <w:p>
      <w:pPr>
        <w:jc w:val="center"/>
        <w:ind w:left="920"/>
        <w:spacing w:after="0"/>
        <w:rPr>
          <w:sz w:val="20"/>
          <w:szCs w:val="20"/>
          <w:color w:val="auto"/>
        </w:rPr>
      </w:pPr>
      <w:r>
        <w:rPr>
          <w:rFonts w:ascii="Arial" w:cs="Arial" w:eastAsia="Arial" w:hAnsi="Arial"/>
          <w:sz w:val="14"/>
          <w:szCs w:val="14"/>
          <w:b w:val="1"/>
          <w:bCs w:val="1"/>
          <w:color w:val="auto"/>
        </w:rPr>
        <w:t>420 Taylor Street</w:t>
      </w:r>
    </w:p>
    <w:p>
      <w:pPr>
        <w:spacing w:after="0" w:line="51" w:lineRule="exact"/>
        <w:rPr>
          <w:sz w:val="24"/>
          <w:szCs w:val="24"/>
          <w:color w:val="auto"/>
        </w:rPr>
      </w:pPr>
    </w:p>
    <w:p>
      <w:pPr>
        <w:jc w:val="center"/>
        <w:ind w:left="920"/>
        <w:spacing w:after="0"/>
        <w:rPr>
          <w:sz w:val="20"/>
          <w:szCs w:val="20"/>
          <w:color w:val="auto"/>
        </w:rPr>
      </w:pPr>
      <w:r>
        <w:rPr>
          <w:rFonts w:ascii="Arial" w:cs="Arial" w:eastAsia="Arial" w:hAnsi="Arial"/>
          <w:sz w:val="14"/>
          <w:szCs w:val="14"/>
          <w:b w:val="1"/>
          <w:bCs w:val="1"/>
          <w:color w:val="auto"/>
        </w:rPr>
        <w:t>San Francisco, California 94102</w:t>
      </w:r>
    </w:p>
    <w:p>
      <w:pPr>
        <w:spacing w:after="0" w:line="51" w:lineRule="exact"/>
        <w:rPr>
          <w:sz w:val="24"/>
          <w:szCs w:val="24"/>
          <w:color w:val="auto"/>
        </w:rPr>
      </w:pPr>
    </w:p>
    <w:p>
      <w:pPr>
        <w:jc w:val="center"/>
        <w:ind w:left="920"/>
        <w:spacing w:after="0"/>
        <w:rPr>
          <w:sz w:val="20"/>
          <w:szCs w:val="20"/>
          <w:color w:val="auto"/>
        </w:rPr>
      </w:pPr>
      <w:r>
        <w:rPr>
          <w:rFonts w:ascii="Arial" w:cs="Arial" w:eastAsia="Arial" w:hAnsi="Arial"/>
          <w:sz w:val="14"/>
          <w:szCs w:val="14"/>
          <w:b w:val="1"/>
          <w:bCs w:val="1"/>
          <w:color w:val="auto"/>
        </w:rPr>
        <w:t>(415) 344-0333</w:t>
      </w:r>
    </w:p>
    <w:p>
      <w:pPr>
        <w:spacing w:after="0" w:line="117" w:lineRule="exact"/>
        <w:rPr>
          <w:sz w:val="24"/>
          <w:szCs w:val="24"/>
          <w:color w:val="auto"/>
        </w:rPr>
      </w:pPr>
    </w:p>
    <w:p>
      <w:pPr>
        <w:ind w:left="3520"/>
        <w:spacing w:after="0"/>
        <w:rPr>
          <w:sz w:val="20"/>
          <w:szCs w:val="20"/>
          <w:color w:val="auto"/>
        </w:rPr>
      </w:pPr>
      <w:r>
        <w:rPr>
          <w:rFonts w:ascii="Arial" w:cs="Arial" w:eastAsia="Arial" w:hAnsi="Arial"/>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262255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tbl>
      <w:tblPr>
        <w:tblLayout w:type="fixed"/>
        <w:tblInd w:w="1540" w:type="dxa"/>
        <w:tblCellMar>
          <w:top w:w="0" w:type="dxa"/>
          <w:left w:w="0" w:type="dxa"/>
          <w:bottom w:w="0" w:type="dxa"/>
          <w:right w:w="0" w:type="dxa"/>
        </w:tblCellMar>
      </w:tblPr>
      <w:tr>
        <w:trPr>
          <w:trHeight w:val="126"/>
        </w:trPr>
        <w:tc>
          <w:tcPr>
            <w:tcW w:w="3720" w:type="dxa"/>
            <w:vAlign w:val="bottom"/>
            <w:vMerge w:val="restart"/>
          </w:tcPr>
          <w:p>
            <w:pPr>
              <w:jc w:val="center"/>
              <w:ind w:right="578"/>
              <w:spacing w:after="0"/>
              <w:rPr>
                <w:sz w:val="20"/>
                <w:szCs w:val="20"/>
                <w:color w:val="auto"/>
              </w:rPr>
            </w:pPr>
            <w:r>
              <w:rPr>
                <w:rFonts w:ascii="Arial" w:cs="Arial" w:eastAsia="Arial" w:hAnsi="Arial"/>
                <w:sz w:val="11"/>
                <w:szCs w:val="11"/>
                <w:b w:val="1"/>
                <w:bCs w:val="1"/>
                <w:color w:val="auto"/>
                <w:w w:val="85"/>
              </w:rPr>
              <w:t>Title of Each Class</w:t>
            </w:r>
          </w:p>
        </w:tc>
        <w:tc>
          <w:tcPr>
            <w:tcW w:w="2100" w:type="dxa"/>
            <w:vAlign w:val="bottom"/>
          </w:tcPr>
          <w:p>
            <w:pPr>
              <w:ind w:left="780"/>
              <w:spacing w:after="0"/>
              <w:rPr>
                <w:sz w:val="20"/>
                <w:szCs w:val="20"/>
                <w:color w:val="auto"/>
              </w:rPr>
            </w:pPr>
            <w:r>
              <w:rPr>
                <w:rFonts w:ascii="Arial" w:cs="Arial" w:eastAsia="Arial" w:hAnsi="Arial"/>
                <w:sz w:val="11"/>
                <w:szCs w:val="11"/>
                <w:b w:val="1"/>
                <w:bCs w:val="1"/>
                <w:color w:val="auto"/>
              </w:rPr>
              <w:t>Trading</w:t>
            </w:r>
          </w:p>
        </w:tc>
        <w:tc>
          <w:tcPr>
            <w:tcW w:w="2780" w:type="dxa"/>
            <w:vAlign w:val="bottom"/>
            <w:vMerge w:val="restart"/>
          </w:tcPr>
          <w:p>
            <w:pPr>
              <w:jc w:val="center"/>
              <w:ind w:left="898"/>
              <w:spacing w:after="0"/>
              <w:rPr>
                <w:sz w:val="20"/>
                <w:szCs w:val="20"/>
                <w:color w:val="auto"/>
              </w:rPr>
            </w:pPr>
            <w:r>
              <w:rPr>
                <w:rFonts w:ascii="Arial" w:cs="Arial" w:eastAsia="Arial" w:hAnsi="Arial"/>
                <w:sz w:val="11"/>
                <w:szCs w:val="11"/>
                <w:b w:val="1"/>
                <w:bCs w:val="1"/>
                <w:color w:val="auto"/>
                <w:w w:val="86"/>
              </w:rPr>
              <w:t>Name of Exchange on Which Registered</w:t>
            </w:r>
          </w:p>
        </w:tc>
        <w:tc>
          <w:tcPr>
            <w:tcW w:w="0" w:type="dxa"/>
            <w:vAlign w:val="bottom"/>
          </w:tcPr>
          <w:p>
            <w:pPr>
              <w:spacing w:after="0"/>
              <w:rPr>
                <w:sz w:val="1"/>
                <w:szCs w:val="1"/>
                <w:color w:val="auto"/>
              </w:rPr>
            </w:pPr>
          </w:p>
        </w:tc>
      </w:tr>
      <w:tr>
        <w:trPr>
          <w:trHeight w:val="138"/>
        </w:trPr>
        <w:tc>
          <w:tcPr>
            <w:tcW w:w="3720" w:type="dxa"/>
            <w:vAlign w:val="bottom"/>
            <w:vMerge w:val="continue"/>
          </w:tcPr>
          <w:p>
            <w:pPr>
              <w:spacing w:after="0"/>
              <w:rPr>
                <w:sz w:val="12"/>
                <w:szCs w:val="12"/>
                <w:color w:val="auto"/>
              </w:rPr>
            </w:pPr>
          </w:p>
        </w:tc>
        <w:tc>
          <w:tcPr>
            <w:tcW w:w="2100" w:type="dxa"/>
            <w:vAlign w:val="bottom"/>
          </w:tcPr>
          <w:p>
            <w:pPr>
              <w:ind w:left="620"/>
              <w:spacing w:after="0"/>
              <w:rPr>
                <w:sz w:val="20"/>
                <w:szCs w:val="20"/>
                <w:color w:val="auto"/>
              </w:rPr>
            </w:pPr>
            <w:r>
              <w:rPr>
                <w:rFonts w:ascii="Arial" w:cs="Arial" w:eastAsia="Arial" w:hAnsi="Arial"/>
                <w:sz w:val="11"/>
                <w:szCs w:val="11"/>
                <w:b w:val="1"/>
                <w:bCs w:val="1"/>
                <w:color w:val="auto"/>
              </w:rPr>
              <w:t>Symbol</w:t>
            </w: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20" w:type="dxa"/>
            <w:vAlign w:val="bottom"/>
          </w:tcPr>
          <w:p>
            <w:pPr>
              <w:jc w:val="center"/>
              <w:ind w:right="578"/>
              <w:spacing w:after="0"/>
              <w:rPr>
                <w:sz w:val="20"/>
                <w:szCs w:val="20"/>
                <w:color w:val="auto"/>
              </w:rPr>
            </w:pPr>
            <w:r>
              <w:rPr>
                <w:rFonts w:ascii="Arial" w:cs="Arial" w:eastAsia="Arial" w:hAnsi="Arial"/>
                <w:sz w:val="14"/>
                <w:szCs w:val="14"/>
                <w:b w:val="1"/>
                <w:bCs w:val="1"/>
                <w:color w:val="auto"/>
                <w:w w:val="89"/>
              </w:rPr>
              <w:t>Class A common stock, par value $0.0001 per share</w:t>
            </w:r>
          </w:p>
        </w:tc>
        <w:tc>
          <w:tcPr>
            <w:tcW w:w="2100" w:type="dxa"/>
            <w:vAlign w:val="bottom"/>
          </w:tcPr>
          <w:p>
            <w:pPr>
              <w:ind w:left="760"/>
              <w:spacing w:after="0"/>
              <w:rPr>
                <w:sz w:val="20"/>
                <w:szCs w:val="20"/>
                <w:color w:val="auto"/>
              </w:rPr>
            </w:pPr>
            <w:r>
              <w:rPr>
                <w:rFonts w:ascii="Arial" w:cs="Arial" w:eastAsia="Arial" w:hAnsi="Arial"/>
                <w:sz w:val="14"/>
                <w:szCs w:val="14"/>
                <w:b w:val="1"/>
                <w:bCs w:val="1"/>
                <w:color w:val="auto"/>
              </w:rPr>
              <w:t>KIND</w:t>
            </w:r>
          </w:p>
        </w:tc>
        <w:tc>
          <w:tcPr>
            <w:tcW w:w="2780" w:type="dxa"/>
            <w:vAlign w:val="bottom"/>
          </w:tcPr>
          <w:p>
            <w:pPr>
              <w:jc w:val="center"/>
              <w:ind w:left="898"/>
              <w:spacing w:after="0"/>
              <w:rPr>
                <w:sz w:val="20"/>
                <w:szCs w:val="20"/>
                <w:color w:val="auto"/>
              </w:rPr>
            </w:pPr>
            <w:r>
              <w:rPr>
                <w:rFonts w:ascii="Arial" w:cs="Arial" w:eastAsia="Arial" w:hAnsi="Arial"/>
                <w:sz w:val="14"/>
                <w:szCs w:val="14"/>
                <w:b w:val="1"/>
                <w:bCs w:val="1"/>
                <w:color w:val="auto"/>
                <w:w w:val="89"/>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3960"/>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pacing w:after="0" w:line="42" w:lineRule="exact"/>
        <w:rPr>
          <w:sz w:val="24"/>
          <w:szCs w:val="24"/>
          <w:color w:val="auto"/>
        </w:rPr>
      </w:pPr>
    </w:p>
    <w:p>
      <w:pPr>
        <w:ind w:right="4700"/>
        <w:spacing w:after="0" w:line="196"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9" w:lineRule="exact"/>
        <w:rPr>
          <w:sz w:val="24"/>
          <w:szCs w:val="24"/>
          <w:color w:val="auto"/>
        </w:rPr>
      </w:pPr>
    </w:p>
    <w:p>
      <w:pPr>
        <w:ind w:right="300"/>
        <w:spacing w:after="0" w:line="14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40"/>
        <w:spacing w:after="0" w:line="145"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100"/>
        <w:spacing w:after="0" w:line="23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1220"/>
          </w:cols>
          <w:pgMar w:left="320" w:top="1440" w:right="359" w:bottom="1440" w:gutter="0" w:footer="0" w:header="0"/>
          <w:type w:val="continuous"/>
        </w:sectPr>
      </w:pPr>
    </w:p>
    <w:p>
      <w:pPr>
        <w:spacing w:after="0" w:line="83" w:lineRule="exact"/>
        <w:rPr>
          <w:sz w:val="24"/>
          <w:szCs w:val="24"/>
          <w:color w:val="auto"/>
        </w:rPr>
      </w:pPr>
    </w:p>
    <w:p>
      <w:pPr>
        <w:ind w:left="660"/>
        <w:spacing w:after="0"/>
        <w:rPr>
          <w:sz w:val="20"/>
          <w:szCs w:val="20"/>
          <w:color w:val="auto"/>
        </w:rPr>
      </w:pPr>
      <w:r>
        <w:rPr>
          <w:rFonts w:ascii="Arial" w:cs="Arial" w:eastAsia="Arial" w:hAnsi="Arial"/>
          <w:sz w:val="11"/>
          <w:szCs w:val="11"/>
          <w:color w:val="auto"/>
        </w:rPr>
        <w:t>Large accelerated filer</w:t>
      </w:r>
    </w:p>
    <w:p>
      <w:pPr>
        <w:spacing w:after="0" w:line="46" w:lineRule="exact"/>
        <w:rPr>
          <w:sz w:val="24"/>
          <w:szCs w:val="24"/>
          <w:color w:val="auto"/>
        </w:rPr>
      </w:pPr>
    </w:p>
    <w:p>
      <w:pPr>
        <w:ind w:left="660"/>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34"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46" w:lineRule="exact"/>
        <w:rPr>
          <w:sz w:val="24"/>
          <w:szCs w:val="24"/>
          <w:color w:val="auto"/>
        </w:rPr>
      </w:pPr>
    </w:p>
    <w:p>
      <w:pPr>
        <w:sectPr>
          <w:pgSz w:w="11900" w:h="16838" w:orient="portrait"/>
          <w:cols w:equalWidth="0" w:num="3">
            <w:col w:w="2440" w:space="720"/>
            <w:col w:w="4880" w:space="720"/>
            <w:col w:w="2460"/>
          </w:cols>
          <w:pgMar w:left="320" w:top="1440" w:right="359" w:bottom="1440" w:gutter="0" w:footer="0" w:header="0"/>
          <w:type w:val="continuous"/>
        </w:sectPr>
      </w:pPr>
    </w:p>
    <w:p>
      <w:pPr>
        <w:ind w:left="8760"/>
        <w:spacing w:after="0"/>
        <w:rPr>
          <w:sz w:val="20"/>
          <w:szCs w:val="20"/>
          <w:color w:val="auto"/>
        </w:rPr>
      </w:pPr>
      <w:r>
        <w:rPr>
          <w:rFonts w:ascii="Arial" w:cs="Arial" w:eastAsia="Arial" w:hAnsi="Arial"/>
          <w:sz w:val="11"/>
          <w:szCs w:val="11"/>
          <w:color w:val="auto"/>
        </w:rPr>
        <w:t>Emerging growth company</w:t>
      </w:r>
    </w:p>
    <w:p>
      <w:pPr>
        <w:sectPr>
          <w:pgSz w:w="11900" w:h="16838" w:orient="portrait"/>
          <w:cols w:equalWidth="0" w:num="1">
            <w:col w:w="11220"/>
          </w:cols>
          <w:pgMar w:left="320" w:top="1440" w:right="359" w:bottom="1440" w:gutter="0" w:footer="0" w:header="0"/>
          <w:type w:val="continuous"/>
        </w:sectPr>
      </w:pPr>
    </w:p>
    <w:p>
      <w:pPr>
        <w:spacing w:after="0" w:line="99" w:lineRule="exact"/>
        <w:rPr>
          <w:sz w:val="24"/>
          <w:szCs w:val="24"/>
          <w:color w:val="auto"/>
        </w:rPr>
      </w:pPr>
    </w:p>
    <w:p>
      <w:pPr>
        <w:ind w:right="100"/>
        <w:spacing w:after="0" w:line="14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43" w:lineRule="exact"/>
        <w:rPr>
          <w:sz w:val="24"/>
          <w:szCs w:val="24"/>
          <w:color w:val="auto"/>
        </w:rPr>
      </w:pPr>
    </w:p>
    <w:p>
      <w:pPr>
        <w:ind w:right="120"/>
        <w:spacing w:after="0" w:line="145"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97" w:lineRule="exact"/>
        <w:rPr>
          <w:sz w:val="24"/>
          <w:szCs w:val="24"/>
          <w:color w:val="auto"/>
        </w:rPr>
      </w:pPr>
    </w:p>
    <w:p>
      <w:pPr>
        <w:ind w:right="160"/>
        <w:spacing w:after="0" w:line="228" w:lineRule="auto"/>
        <w:rPr>
          <w:sz w:val="20"/>
          <w:szCs w:val="20"/>
          <w:color w:val="auto"/>
        </w:rPr>
      </w:pPr>
      <w:r>
        <w:rPr>
          <w:rFonts w:ascii="Arial" w:cs="Arial" w:eastAsia="Arial" w:hAnsi="Arial"/>
          <w:sz w:val="12"/>
          <w:szCs w:val="12"/>
          <w:color w:val="auto"/>
        </w:rPr>
        <w:t>The aggregate market value of the voting and non-voting stock held by non-affiliates of Khosla Ventures Acquisition Co. II (“KVSB”), our predecessor, on June 30, 2021, the last business day of the registrant's most recently completed second fiscal quarter, based on the closing price of $9.94 for shares of KVSB’s Class A common stock then listed on the Nasdaq Stock Market LLC, was approximately $413.9 million. Shares of common stock beneficially owned by each executive officer, director and holder of more than 10% of common stock have been excluded in that such persons may be deemed to be affiliates.</w:t>
      </w:r>
    </w:p>
    <w:p>
      <w:pPr>
        <w:spacing w:after="0" w:line="57" w:lineRule="exact"/>
        <w:rPr>
          <w:sz w:val="24"/>
          <w:szCs w:val="24"/>
          <w:color w:val="auto"/>
        </w:rPr>
      </w:pPr>
    </w:p>
    <w:p>
      <w:pPr>
        <w:spacing w:after="0"/>
        <w:rPr>
          <w:sz w:val="20"/>
          <w:szCs w:val="20"/>
          <w:color w:val="auto"/>
        </w:rPr>
      </w:pPr>
      <w:r>
        <w:rPr>
          <w:rFonts w:ascii="Arial" w:cs="Arial" w:eastAsia="Arial" w:hAnsi="Arial"/>
          <w:sz w:val="12"/>
          <w:szCs w:val="12"/>
          <w:color w:val="auto"/>
        </w:rPr>
        <w:t>As of March 11, 2022, there were 79,007,124 shares of the registrant’s Class A common stock outstanding and 307,024,318 shares of the registrant’s Class B common stock outstanding.</w:t>
      </w:r>
    </w:p>
    <w:p>
      <w:pPr>
        <w:spacing w:after="0" w:line="57" w:lineRule="exact"/>
        <w:rPr>
          <w:sz w:val="24"/>
          <w:szCs w:val="24"/>
          <w:color w:val="auto"/>
        </w:rPr>
      </w:pPr>
    </w:p>
    <w:p>
      <w:pPr>
        <w:ind w:left="4200"/>
        <w:spacing w:after="0"/>
        <w:rPr>
          <w:sz w:val="20"/>
          <w:szCs w:val="20"/>
          <w:color w:val="auto"/>
        </w:rPr>
      </w:pPr>
      <w:r>
        <w:rPr>
          <w:rFonts w:ascii="Arial" w:cs="Arial" w:eastAsia="Arial" w:hAnsi="Arial"/>
          <w:sz w:val="12"/>
          <w:szCs w:val="12"/>
          <w:b w:val="1"/>
          <w:bCs w:val="1"/>
          <w:color w:val="auto"/>
        </w:rPr>
        <w:t>DOCUMENTS INCORPORATED BY REFERENCE</w:t>
      </w:r>
    </w:p>
    <w:p>
      <w:pPr>
        <w:spacing w:after="0" w:line="65" w:lineRule="exact"/>
        <w:rPr>
          <w:sz w:val="24"/>
          <w:szCs w:val="24"/>
          <w:color w:val="auto"/>
        </w:rPr>
      </w:pPr>
    </w:p>
    <w:p>
      <w:pPr>
        <w:ind w:right="140"/>
        <w:spacing w:after="0" w:line="239" w:lineRule="auto"/>
        <w:rPr>
          <w:sz w:val="20"/>
          <w:szCs w:val="20"/>
          <w:color w:val="auto"/>
        </w:rPr>
      </w:pPr>
      <w:r>
        <w:rPr>
          <w:rFonts w:ascii="Arial" w:cs="Arial" w:eastAsia="Arial" w:hAnsi="Arial"/>
          <w:sz w:val="12"/>
          <w:szCs w:val="12"/>
          <w:color w:val="auto"/>
        </w:rPr>
        <w:t>Information required in responses to Part III of Form 10-K is hereby incorporated by reference to portions of the Registrant’s Proxy Statement for the Annual Meeting of Stockholders to be held in 2022. The Proxy Statement will be filed by the Registrant with the Securities and Exchange Commission no later than 120 days after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856615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2289175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1056640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1073150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90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300" w:type="dxa"/>
            <w:vAlign w:val="bottom"/>
          </w:tcPr>
          <w:p>
            <w:pPr>
              <w:spacing w:after="0"/>
              <w:rPr>
                <w:sz w:val="19"/>
                <w:szCs w:val="19"/>
                <w:color w:val="auto"/>
              </w:rPr>
            </w:pPr>
          </w:p>
        </w:tc>
      </w:tr>
      <w:tr>
        <w:trPr>
          <w:trHeight w:val="411"/>
        </w:trPr>
        <w:tc>
          <w:tcPr>
            <w:tcW w:w="99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25"/>
        </w:trPr>
        <w:tc>
          <w:tcPr>
            <w:tcW w:w="990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Special Note Regarding Forward-Looking Statements</w:t>
              </w:r>
            </w:hyperlink>
          </w:p>
        </w:tc>
        <w:tc>
          <w:tcPr>
            <w:tcW w:w="13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25"/>
        </w:trPr>
        <w:tc>
          <w:tcPr>
            <w:tcW w:w="990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Risk Factor Summary</w:t>
              </w:r>
            </w:hyperlink>
          </w:p>
        </w:tc>
        <w:tc>
          <w:tcPr>
            <w:tcW w:w="13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25"/>
        </w:trPr>
        <w:tc>
          <w:tcPr>
            <w:tcW w:w="9900" w:type="dxa"/>
            <w:vAlign w:val="bottom"/>
          </w:tcPr>
          <w:p>
            <w:pPr>
              <w:spacing w:after="0"/>
              <w:rPr>
                <w:rFonts w:ascii="Arial" w:cs="Arial" w:eastAsia="Arial" w:hAnsi="Arial"/>
                <w:sz w:val="18"/>
                <w:szCs w:val="18"/>
                <w:color w:val="auto"/>
              </w:rPr>
            </w:pPr>
            <w:hyperlink w:anchor="page7">
              <w:r>
                <w:rPr>
                  <w:rFonts w:ascii="Arial" w:cs="Arial" w:eastAsia="Arial" w:hAnsi="Arial"/>
                  <w:sz w:val="18"/>
                  <w:szCs w:val="18"/>
                  <w:color w:val="auto"/>
                </w:rPr>
                <w:t>Part I</w:t>
              </w:r>
            </w:hyperlink>
          </w:p>
        </w:tc>
        <w:tc>
          <w:tcPr>
            <w:tcW w:w="1300" w:type="dxa"/>
            <w:vAlign w:val="bottom"/>
          </w:tcPr>
          <w:p>
            <w:pPr>
              <w:spacing w:after="0"/>
              <w:rPr>
                <w:sz w:val="19"/>
                <w:szCs w:val="19"/>
                <w:color w:val="auto"/>
              </w:rPr>
            </w:pPr>
          </w:p>
        </w:tc>
      </w:tr>
      <w:tr>
        <w:trPr>
          <w:trHeight w:val="225"/>
        </w:trPr>
        <w:tc>
          <w:tcPr>
            <w:tcW w:w="9900" w:type="dxa"/>
            <w:vAlign w:val="bottom"/>
          </w:tcPr>
          <w:p>
            <w:pPr>
              <w:ind w:left="480"/>
              <w:spacing w:after="0"/>
              <w:rPr>
                <w:rFonts w:ascii="Arial" w:cs="Arial" w:eastAsia="Arial" w:hAnsi="Arial"/>
                <w:sz w:val="18"/>
                <w:szCs w:val="18"/>
                <w:color w:val="auto"/>
              </w:rPr>
            </w:pPr>
            <w:hyperlink w:anchor="page8">
              <w:r>
                <w:rPr>
                  <w:rFonts w:ascii="Arial" w:cs="Arial" w:eastAsia="Arial" w:hAnsi="Arial"/>
                  <w:sz w:val="18"/>
                  <w:szCs w:val="18"/>
                  <w:color w:val="auto"/>
                </w:rPr>
                <w:t>Item 1. Business</w:t>
              </w:r>
            </w:hyperlink>
          </w:p>
        </w:tc>
        <w:tc>
          <w:tcPr>
            <w:tcW w:w="13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16">
              <w:r>
                <w:rPr>
                  <w:rFonts w:ascii="Arial" w:cs="Arial" w:eastAsia="Arial" w:hAnsi="Arial"/>
                  <w:sz w:val="18"/>
                  <w:szCs w:val="18"/>
                  <w:color w:val="auto"/>
                </w:rPr>
                <w:t>Item 1A. Risk Factors</w:t>
              </w:r>
            </w:hyperlink>
          </w:p>
        </w:tc>
        <w:tc>
          <w:tcPr>
            <w:tcW w:w="130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14</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53">
              <w:r>
                <w:rPr>
                  <w:rFonts w:ascii="Arial" w:cs="Arial" w:eastAsia="Arial" w:hAnsi="Arial"/>
                  <w:sz w:val="18"/>
                  <w:szCs w:val="18"/>
                  <w:color w:val="auto"/>
                </w:rPr>
                <w:t>Item 1B. Unresolved Staff Comments</w:t>
              </w:r>
            </w:hyperlink>
          </w:p>
        </w:tc>
        <w:tc>
          <w:tcPr>
            <w:tcW w:w="13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53">
              <w:r>
                <w:rPr>
                  <w:rFonts w:ascii="Arial" w:cs="Arial" w:eastAsia="Arial" w:hAnsi="Arial"/>
                  <w:sz w:val="18"/>
                  <w:szCs w:val="18"/>
                  <w:color w:val="auto"/>
                </w:rPr>
                <w:t>Item 2. Properties</w:t>
              </w:r>
            </w:hyperlink>
          </w:p>
        </w:tc>
        <w:tc>
          <w:tcPr>
            <w:tcW w:w="13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53">
              <w:r>
                <w:rPr>
                  <w:rFonts w:ascii="Arial" w:cs="Arial" w:eastAsia="Arial" w:hAnsi="Arial"/>
                  <w:sz w:val="18"/>
                  <w:szCs w:val="18"/>
                  <w:color w:val="auto"/>
                </w:rPr>
                <w:t>Item 3. Legal Proceedings</w:t>
              </w:r>
            </w:hyperlink>
          </w:p>
        </w:tc>
        <w:tc>
          <w:tcPr>
            <w:tcW w:w="13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53">
              <w:r>
                <w:rPr>
                  <w:rFonts w:ascii="Arial" w:cs="Arial" w:eastAsia="Arial" w:hAnsi="Arial"/>
                  <w:sz w:val="18"/>
                  <w:szCs w:val="18"/>
                  <w:color w:val="auto"/>
                </w:rPr>
                <w:t>Item 4. Mine Safety Disclosures</w:t>
              </w:r>
            </w:hyperlink>
          </w:p>
        </w:tc>
        <w:tc>
          <w:tcPr>
            <w:tcW w:w="13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r>
      <w:tr>
        <w:trPr>
          <w:trHeight w:val="225"/>
        </w:trPr>
        <w:tc>
          <w:tcPr>
            <w:tcW w:w="9900" w:type="dxa"/>
            <w:vAlign w:val="bottom"/>
          </w:tcPr>
          <w:p>
            <w:pPr>
              <w:spacing w:after="0"/>
              <w:rPr>
                <w:rFonts w:ascii="Arial" w:cs="Arial" w:eastAsia="Arial" w:hAnsi="Arial"/>
                <w:sz w:val="18"/>
                <w:szCs w:val="18"/>
                <w:color w:val="auto"/>
              </w:rPr>
            </w:pPr>
            <w:hyperlink w:anchor="page53">
              <w:r>
                <w:rPr>
                  <w:rFonts w:ascii="Arial" w:cs="Arial" w:eastAsia="Arial" w:hAnsi="Arial"/>
                  <w:sz w:val="18"/>
                  <w:szCs w:val="18"/>
                  <w:color w:val="auto"/>
                </w:rPr>
                <w:t>Part II</w:t>
              </w:r>
            </w:hyperlink>
          </w:p>
        </w:tc>
        <w:tc>
          <w:tcPr>
            <w:tcW w:w="1300" w:type="dxa"/>
            <w:vAlign w:val="bottom"/>
          </w:tcPr>
          <w:p>
            <w:pPr>
              <w:spacing w:after="0"/>
              <w:rPr>
                <w:sz w:val="19"/>
                <w:szCs w:val="19"/>
                <w:color w:val="auto"/>
              </w:rPr>
            </w:pPr>
          </w:p>
        </w:tc>
      </w:tr>
      <w:tr>
        <w:trPr>
          <w:trHeight w:val="225"/>
        </w:trPr>
        <w:tc>
          <w:tcPr>
            <w:tcW w:w="9900" w:type="dxa"/>
            <w:vAlign w:val="bottom"/>
          </w:tcPr>
          <w:p>
            <w:pPr>
              <w:ind w:left="480"/>
              <w:spacing w:after="0"/>
              <w:rPr>
                <w:rFonts w:ascii="Arial" w:cs="Arial" w:eastAsia="Arial" w:hAnsi="Arial"/>
                <w:sz w:val="18"/>
                <w:szCs w:val="18"/>
                <w:color w:val="auto"/>
                <w:w w:val="99"/>
              </w:rPr>
            </w:pPr>
            <w:hyperlink w:anchor="page54">
              <w:r>
                <w:rPr>
                  <w:rFonts w:ascii="Arial" w:cs="Arial" w:eastAsia="Arial" w:hAnsi="Arial"/>
                  <w:sz w:val="18"/>
                  <w:szCs w:val="18"/>
                  <w:color w:val="auto"/>
                  <w:w w:val="99"/>
                </w:rPr>
                <w:t>Item 5. Market for Registrant’s Common Equity, Related Stockholder Matters and Issuer Purchases of Equity Securities</w:t>
              </w:r>
            </w:hyperlink>
          </w:p>
        </w:tc>
        <w:tc>
          <w:tcPr>
            <w:tcW w:w="13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51</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55">
              <w:r>
                <w:rPr>
                  <w:rFonts w:ascii="Arial" w:cs="Arial" w:eastAsia="Arial" w:hAnsi="Arial"/>
                  <w:sz w:val="18"/>
                  <w:szCs w:val="18"/>
                  <w:color w:val="auto"/>
                </w:rPr>
                <w:t>Item 6. [Reserved]</w:t>
              </w:r>
            </w:hyperlink>
          </w:p>
        </w:tc>
        <w:tc>
          <w:tcPr>
            <w:tcW w:w="130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52</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55">
              <w:r>
                <w:rPr>
                  <w:rFonts w:ascii="Arial" w:cs="Arial" w:eastAsia="Arial" w:hAnsi="Arial"/>
                  <w:sz w:val="18"/>
                  <w:szCs w:val="18"/>
                  <w:color w:val="auto"/>
                </w:rPr>
                <w:t>Item 7. Management’s Discussion and Analysis of Financial Condition and Results of Operations</w:t>
              </w:r>
            </w:hyperlink>
          </w:p>
        </w:tc>
        <w:tc>
          <w:tcPr>
            <w:tcW w:w="130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53</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70">
              <w:r>
                <w:rPr>
                  <w:rFonts w:ascii="Arial" w:cs="Arial" w:eastAsia="Arial" w:hAnsi="Arial"/>
                  <w:sz w:val="18"/>
                  <w:szCs w:val="18"/>
                  <w:color w:val="auto"/>
                </w:rPr>
                <w:t>Item 7A. Quantitative and Qualitative Disclosures About Market Risk</w:t>
              </w:r>
            </w:hyperlink>
          </w:p>
        </w:tc>
        <w:tc>
          <w:tcPr>
            <w:tcW w:w="130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67</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70">
              <w:r>
                <w:rPr>
                  <w:rFonts w:ascii="Arial" w:cs="Arial" w:eastAsia="Arial" w:hAnsi="Arial"/>
                  <w:sz w:val="18"/>
                  <w:szCs w:val="18"/>
                  <w:color w:val="auto"/>
                </w:rPr>
                <w:t>Item 8. Financial Statements and Supplementary Data</w:t>
              </w:r>
            </w:hyperlink>
          </w:p>
        </w:tc>
        <w:tc>
          <w:tcPr>
            <w:tcW w:w="130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68</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101">
              <w:r>
                <w:rPr>
                  <w:rFonts w:ascii="Arial" w:cs="Arial" w:eastAsia="Arial" w:hAnsi="Arial"/>
                  <w:sz w:val="18"/>
                  <w:szCs w:val="18"/>
                  <w:color w:val="auto"/>
                </w:rPr>
                <w:t>Item 9. Changes in and Disagreements With Accountants on Accounting and Financial Disclosure</w:t>
              </w:r>
            </w:hyperlink>
          </w:p>
        </w:tc>
        <w:tc>
          <w:tcPr>
            <w:tcW w:w="130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99</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102">
              <w:r>
                <w:rPr>
                  <w:rFonts w:ascii="Arial" w:cs="Arial" w:eastAsia="Arial" w:hAnsi="Arial"/>
                  <w:sz w:val="18"/>
                  <w:szCs w:val="18"/>
                  <w:color w:val="auto"/>
                </w:rPr>
                <w:t>Item 9A. Controls and Procedures</w:t>
              </w:r>
            </w:hyperlink>
          </w:p>
        </w:tc>
        <w:tc>
          <w:tcPr>
            <w:tcW w:w="130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99</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103">
              <w:r>
                <w:rPr>
                  <w:rFonts w:ascii="Arial" w:cs="Arial" w:eastAsia="Arial" w:hAnsi="Arial"/>
                  <w:sz w:val="18"/>
                  <w:szCs w:val="18"/>
                  <w:color w:val="auto"/>
                </w:rPr>
                <w:t>Item 9B. Other Information</w:t>
              </w:r>
            </w:hyperlink>
          </w:p>
        </w:tc>
        <w:tc>
          <w:tcPr>
            <w:tcW w:w="130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100</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103">
              <w:r>
                <w:rPr>
                  <w:rFonts w:ascii="Arial" w:cs="Arial" w:eastAsia="Arial" w:hAnsi="Arial"/>
                  <w:sz w:val="18"/>
                  <w:szCs w:val="18"/>
                  <w:color w:val="auto"/>
                </w:rPr>
                <w:t>Item 9C. Disclosure Regarding Foreign Jurisdictions that Prevent Inspections</w:t>
              </w:r>
            </w:hyperlink>
          </w:p>
        </w:tc>
        <w:tc>
          <w:tcPr>
            <w:tcW w:w="130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101</w:t>
              </w:r>
            </w:hyperlink>
          </w:p>
        </w:tc>
      </w:tr>
      <w:tr>
        <w:trPr>
          <w:trHeight w:val="225"/>
        </w:trPr>
        <w:tc>
          <w:tcPr>
            <w:tcW w:w="9900" w:type="dxa"/>
            <w:vAlign w:val="bottom"/>
          </w:tcPr>
          <w:p>
            <w:pPr>
              <w:spacing w:after="0"/>
              <w:rPr>
                <w:rFonts w:ascii="Arial" w:cs="Arial" w:eastAsia="Arial" w:hAnsi="Arial"/>
                <w:sz w:val="18"/>
                <w:szCs w:val="18"/>
                <w:color w:val="auto"/>
              </w:rPr>
            </w:pPr>
            <w:hyperlink w:anchor="page104">
              <w:r>
                <w:rPr>
                  <w:rFonts w:ascii="Arial" w:cs="Arial" w:eastAsia="Arial" w:hAnsi="Arial"/>
                  <w:sz w:val="18"/>
                  <w:szCs w:val="18"/>
                  <w:color w:val="auto"/>
                </w:rPr>
                <w:t>Part III</w:t>
              </w:r>
            </w:hyperlink>
          </w:p>
        </w:tc>
        <w:tc>
          <w:tcPr>
            <w:tcW w:w="1300" w:type="dxa"/>
            <w:vAlign w:val="bottom"/>
          </w:tcPr>
          <w:p>
            <w:pPr>
              <w:spacing w:after="0"/>
              <w:rPr>
                <w:sz w:val="19"/>
                <w:szCs w:val="19"/>
                <w:color w:val="auto"/>
              </w:rPr>
            </w:pPr>
          </w:p>
        </w:tc>
      </w:tr>
      <w:tr>
        <w:trPr>
          <w:trHeight w:val="225"/>
        </w:trPr>
        <w:tc>
          <w:tcPr>
            <w:tcW w:w="9900" w:type="dxa"/>
            <w:vAlign w:val="bottom"/>
          </w:tcPr>
          <w:p>
            <w:pPr>
              <w:ind w:left="480"/>
              <w:spacing w:after="0"/>
              <w:rPr>
                <w:rFonts w:ascii="Arial" w:cs="Arial" w:eastAsia="Arial" w:hAnsi="Arial"/>
                <w:sz w:val="18"/>
                <w:szCs w:val="18"/>
                <w:color w:val="auto"/>
              </w:rPr>
            </w:pPr>
            <w:hyperlink w:anchor="page104">
              <w:r>
                <w:rPr>
                  <w:rFonts w:ascii="Arial" w:cs="Arial" w:eastAsia="Arial" w:hAnsi="Arial"/>
                  <w:sz w:val="18"/>
                  <w:szCs w:val="18"/>
                  <w:color w:val="auto"/>
                </w:rPr>
                <w:t>Item 10. Directors, Executive Officers and Corporate Governance</w:t>
              </w:r>
            </w:hyperlink>
          </w:p>
        </w:tc>
        <w:tc>
          <w:tcPr>
            <w:tcW w:w="1300" w:type="dxa"/>
            <w:vAlign w:val="bottom"/>
          </w:tcPr>
          <w:p>
            <w:pPr>
              <w:jc w:val="right"/>
              <w:spacing w:after="0"/>
              <w:rPr>
                <w:rFonts w:ascii="Arial" w:cs="Arial" w:eastAsia="Arial" w:hAnsi="Arial"/>
                <w:sz w:val="18"/>
                <w:szCs w:val="18"/>
                <w:color w:val="auto"/>
              </w:rPr>
            </w:pPr>
            <w:hyperlink w:anchor="page104">
              <w:r>
                <w:rPr>
                  <w:rFonts w:ascii="Arial" w:cs="Arial" w:eastAsia="Arial" w:hAnsi="Arial"/>
                  <w:sz w:val="18"/>
                  <w:szCs w:val="18"/>
                  <w:color w:val="auto"/>
                </w:rPr>
                <w:t>101</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104">
              <w:r>
                <w:rPr>
                  <w:rFonts w:ascii="Arial" w:cs="Arial" w:eastAsia="Arial" w:hAnsi="Arial"/>
                  <w:sz w:val="18"/>
                  <w:szCs w:val="18"/>
                  <w:color w:val="auto"/>
                </w:rPr>
                <w:t>Item 11. Executive Compensation</w:t>
              </w:r>
            </w:hyperlink>
          </w:p>
        </w:tc>
        <w:tc>
          <w:tcPr>
            <w:tcW w:w="1300" w:type="dxa"/>
            <w:vAlign w:val="bottom"/>
          </w:tcPr>
          <w:p>
            <w:pPr>
              <w:jc w:val="right"/>
              <w:spacing w:after="0"/>
              <w:rPr>
                <w:rFonts w:ascii="Arial" w:cs="Arial" w:eastAsia="Arial" w:hAnsi="Arial"/>
                <w:sz w:val="18"/>
                <w:szCs w:val="18"/>
                <w:color w:val="auto"/>
              </w:rPr>
            </w:pPr>
            <w:hyperlink w:anchor="page104">
              <w:r>
                <w:rPr>
                  <w:rFonts w:ascii="Arial" w:cs="Arial" w:eastAsia="Arial" w:hAnsi="Arial"/>
                  <w:sz w:val="18"/>
                  <w:szCs w:val="18"/>
                  <w:color w:val="auto"/>
                </w:rPr>
                <w:t>101</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104">
              <w:r>
                <w:rPr>
                  <w:rFonts w:ascii="Arial" w:cs="Arial" w:eastAsia="Arial" w:hAnsi="Arial"/>
                  <w:sz w:val="18"/>
                  <w:szCs w:val="18"/>
                  <w:color w:val="auto"/>
                </w:rPr>
                <w:t>Item 12. Security Ownership of Certain Beneficial Owners and Management and Related Stockholder Matters</w:t>
              </w:r>
            </w:hyperlink>
          </w:p>
        </w:tc>
        <w:tc>
          <w:tcPr>
            <w:tcW w:w="1300" w:type="dxa"/>
            <w:vAlign w:val="bottom"/>
          </w:tcPr>
          <w:p>
            <w:pPr>
              <w:jc w:val="right"/>
              <w:spacing w:after="0"/>
              <w:rPr>
                <w:rFonts w:ascii="Arial" w:cs="Arial" w:eastAsia="Arial" w:hAnsi="Arial"/>
                <w:sz w:val="18"/>
                <w:szCs w:val="18"/>
                <w:color w:val="auto"/>
              </w:rPr>
            </w:pPr>
            <w:hyperlink w:anchor="page104">
              <w:r>
                <w:rPr>
                  <w:rFonts w:ascii="Arial" w:cs="Arial" w:eastAsia="Arial" w:hAnsi="Arial"/>
                  <w:sz w:val="18"/>
                  <w:szCs w:val="18"/>
                  <w:color w:val="auto"/>
                </w:rPr>
                <w:t>101</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104">
              <w:r>
                <w:rPr>
                  <w:rFonts w:ascii="Arial" w:cs="Arial" w:eastAsia="Arial" w:hAnsi="Arial"/>
                  <w:sz w:val="18"/>
                  <w:szCs w:val="18"/>
                  <w:color w:val="auto"/>
                </w:rPr>
                <w:t>Item 13. Certain Relationships and Related Transactions, and Director Independence</w:t>
              </w:r>
            </w:hyperlink>
          </w:p>
        </w:tc>
        <w:tc>
          <w:tcPr>
            <w:tcW w:w="1300" w:type="dxa"/>
            <w:vAlign w:val="bottom"/>
          </w:tcPr>
          <w:p>
            <w:pPr>
              <w:jc w:val="right"/>
              <w:spacing w:after="0"/>
              <w:rPr>
                <w:rFonts w:ascii="Arial" w:cs="Arial" w:eastAsia="Arial" w:hAnsi="Arial"/>
                <w:sz w:val="18"/>
                <w:szCs w:val="18"/>
                <w:color w:val="auto"/>
              </w:rPr>
            </w:pPr>
            <w:hyperlink w:anchor="page104">
              <w:r>
                <w:rPr>
                  <w:rFonts w:ascii="Arial" w:cs="Arial" w:eastAsia="Arial" w:hAnsi="Arial"/>
                  <w:sz w:val="18"/>
                  <w:szCs w:val="18"/>
                  <w:color w:val="auto"/>
                </w:rPr>
                <w:t>101</w:t>
              </w:r>
            </w:hyperlink>
          </w:p>
        </w:tc>
      </w:tr>
      <w:tr>
        <w:trPr>
          <w:trHeight w:val="225"/>
        </w:trPr>
        <w:tc>
          <w:tcPr>
            <w:tcW w:w="9900" w:type="dxa"/>
            <w:vAlign w:val="bottom"/>
          </w:tcPr>
          <w:p>
            <w:pPr>
              <w:ind w:left="480"/>
              <w:spacing w:after="0"/>
              <w:rPr>
                <w:rFonts w:ascii="Arial" w:cs="Arial" w:eastAsia="Arial" w:hAnsi="Arial"/>
                <w:sz w:val="18"/>
                <w:szCs w:val="18"/>
                <w:color w:val="auto"/>
              </w:rPr>
            </w:pPr>
            <w:hyperlink w:anchor="page104">
              <w:r>
                <w:rPr>
                  <w:rFonts w:ascii="Arial" w:cs="Arial" w:eastAsia="Arial" w:hAnsi="Arial"/>
                  <w:sz w:val="18"/>
                  <w:szCs w:val="18"/>
                  <w:color w:val="auto"/>
                </w:rPr>
                <w:t>Item 14. Principal Accountant Fees and Services</w:t>
              </w:r>
            </w:hyperlink>
          </w:p>
        </w:tc>
        <w:tc>
          <w:tcPr>
            <w:tcW w:w="1300" w:type="dxa"/>
            <w:vAlign w:val="bottom"/>
          </w:tcPr>
          <w:p>
            <w:pPr>
              <w:jc w:val="right"/>
              <w:spacing w:after="0"/>
              <w:rPr>
                <w:rFonts w:ascii="Arial" w:cs="Arial" w:eastAsia="Arial" w:hAnsi="Arial"/>
                <w:sz w:val="18"/>
                <w:szCs w:val="18"/>
                <w:color w:val="auto"/>
              </w:rPr>
            </w:pPr>
            <w:hyperlink w:anchor="page104">
              <w:r>
                <w:rPr>
                  <w:rFonts w:ascii="Arial" w:cs="Arial" w:eastAsia="Arial" w:hAnsi="Arial"/>
                  <w:sz w:val="18"/>
                  <w:szCs w:val="18"/>
                  <w:color w:val="auto"/>
                </w:rPr>
                <w:t>101</w:t>
              </w:r>
            </w:hyperlink>
          </w:p>
        </w:tc>
      </w:tr>
      <w:tr>
        <w:trPr>
          <w:trHeight w:val="225"/>
        </w:trPr>
        <w:tc>
          <w:tcPr>
            <w:tcW w:w="9900" w:type="dxa"/>
            <w:vAlign w:val="bottom"/>
          </w:tcPr>
          <w:p>
            <w:pPr>
              <w:spacing w:after="0"/>
              <w:rPr>
                <w:rFonts w:ascii="Arial" w:cs="Arial" w:eastAsia="Arial" w:hAnsi="Arial"/>
                <w:sz w:val="18"/>
                <w:szCs w:val="18"/>
                <w:color w:val="auto"/>
              </w:rPr>
            </w:pPr>
            <w:hyperlink w:anchor="page104">
              <w:r>
                <w:rPr>
                  <w:rFonts w:ascii="Arial" w:cs="Arial" w:eastAsia="Arial" w:hAnsi="Arial"/>
                  <w:sz w:val="18"/>
                  <w:szCs w:val="18"/>
                  <w:color w:val="auto"/>
                </w:rPr>
                <w:t>Part IV</w:t>
              </w:r>
            </w:hyperlink>
          </w:p>
        </w:tc>
        <w:tc>
          <w:tcPr>
            <w:tcW w:w="1300" w:type="dxa"/>
            <w:vAlign w:val="bottom"/>
          </w:tcPr>
          <w:p>
            <w:pPr>
              <w:spacing w:after="0"/>
              <w:rPr>
                <w:sz w:val="19"/>
                <w:szCs w:val="19"/>
                <w:color w:val="auto"/>
              </w:rPr>
            </w:pPr>
          </w:p>
        </w:tc>
      </w:tr>
      <w:tr>
        <w:trPr>
          <w:trHeight w:val="225"/>
        </w:trPr>
        <w:tc>
          <w:tcPr>
            <w:tcW w:w="9900" w:type="dxa"/>
            <w:vAlign w:val="bottom"/>
          </w:tcPr>
          <w:p>
            <w:pPr>
              <w:ind w:left="480"/>
              <w:spacing w:after="0"/>
              <w:rPr>
                <w:rFonts w:ascii="Arial" w:cs="Arial" w:eastAsia="Arial" w:hAnsi="Arial"/>
                <w:sz w:val="18"/>
                <w:szCs w:val="18"/>
                <w:color w:val="auto"/>
              </w:rPr>
            </w:pPr>
            <w:hyperlink w:anchor="page105">
              <w:r>
                <w:rPr>
                  <w:rFonts w:ascii="Arial" w:cs="Arial" w:eastAsia="Arial" w:hAnsi="Arial"/>
                  <w:sz w:val="18"/>
                  <w:szCs w:val="18"/>
                  <w:color w:val="auto"/>
                </w:rPr>
                <w:t>Item 15. Exhibits, Financial Statement Schedules</w:t>
              </w:r>
            </w:hyperlink>
          </w:p>
        </w:tc>
        <w:tc>
          <w:tcPr>
            <w:tcW w:w="1300" w:type="dxa"/>
            <w:vAlign w:val="bottom"/>
          </w:tcPr>
          <w:p>
            <w:pPr>
              <w:jc w:val="right"/>
              <w:spacing w:after="0"/>
              <w:rPr>
                <w:rFonts w:ascii="Arial" w:cs="Arial" w:eastAsia="Arial" w:hAnsi="Arial"/>
                <w:sz w:val="18"/>
                <w:szCs w:val="18"/>
                <w:color w:val="auto"/>
              </w:rPr>
            </w:pPr>
            <w:hyperlink w:anchor="page105">
              <w:r>
                <w:rPr>
                  <w:rFonts w:ascii="Arial" w:cs="Arial" w:eastAsia="Arial" w:hAnsi="Arial"/>
                  <w:sz w:val="18"/>
                  <w:szCs w:val="18"/>
                  <w:color w:val="auto"/>
                </w:rPr>
                <w:t>102</w:t>
              </w:r>
            </w:hyperlink>
          </w:p>
        </w:tc>
      </w:tr>
      <w:tr>
        <w:trPr>
          <w:trHeight w:val="225"/>
        </w:trPr>
        <w:tc>
          <w:tcPr>
            <w:tcW w:w="9900" w:type="dxa"/>
            <w:vAlign w:val="bottom"/>
          </w:tcPr>
          <w:p>
            <w:pPr>
              <w:ind w:left="480"/>
              <w:spacing w:after="0"/>
              <w:rPr>
                <w:rFonts w:ascii="Arial" w:cs="Arial" w:eastAsia="Arial" w:hAnsi="Arial"/>
                <w:sz w:val="18"/>
                <w:szCs w:val="18"/>
                <w:color w:val="auto"/>
              </w:rPr>
            </w:pPr>
            <w:r>
              <w:rPr>
                <w:rFonts w:ascii="Arial" w:cs="Arial" w:eastAsia="Arial" w:hAnsi="Arial"/>
                <w:sz w:val="18"/>
                <w:szCs w:val="18"/>
                <w:color w:val="auto"/>
              </w:rPr>
              <w:t xml:space="preserve">Item 16. </w:t>
            </w:r>
            <w:hyperlink w:anchor="page107">
              <w:r>
                <w:rPr>
                  <w:rFonts w:ascii="Arial" w:cs="Arial" w:eastAsia="Arial" w:hAnsi="Arial"/>
                  <w:sz w:val="18"/>
                  <w:szCs w:val="18"/>
                  <w:color w:val="auto"/>
                </w:rPr>
                <w:t>Form 10-K Summary</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5"/>
        </w:trPr>
        <w:tc>
          <w:tcPr>
            <w:tcW w:w="9900" w:type="dxa"/>
            <w:vAlign w:val="bottom"/>
          </w:tcPr>
          <w:p>
            <w:pPr>
              <w:spacing w:after="0"/>
              <w:rPr>
                <w:rFonts w:ascii="Arial" w:cs="Arial" w:eastAsia="Arial" w:hAnsi="Arial"/>
                <w:sz w:val="18"/>
                <w:szCs w:val="18"/>
                <w:color w:val="auto"/>
              </w:rPr>
            </w:pPr>
            <w:hyperlink w:anchor="page107">
              <w:r>
                <w:rPr>
                  <w:rFonts w:ascii="Arial" w:cs="Arial" w:eastAsia="Arial" w:hAnsi="Arial"/>
                  <w:sz w:val="18"/>
                  <w:szCs w:val="18"/>
                  <w:color w:val="auto"/>
                </w:rPr>
                <w:t>Signatures</w:t>
              </w:r>
            </w:hyperlink>
          </w:p>
        </w:tc>
        <w:tc>
          <w:tcPr>
            <w:tcW w:w="130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105</w:t>
              </w:r>
            </w:hyperlink>
          </w:p>
        </w:tc>
      </w:tr>
    </w:tbl>
    <w:p>
      <w:pPr>
        <w:spacing w:after="0" w:line="68" w:lineRule="exact"/>
        <w:rPr>
          <w:sz w:val="20"/>
          <w:szCs w:val="20"/>
          <w:color w:val="auto"/>
        </w:rPr>
      </w:pPr>
    </w:p>
    <w:p>
      <w:pPr>
        <w:ind w:right="480"/>
        <w:spacing w:after="0" w:line="262" w:lineRule="auto"/>
        <w:rPr>
          <w:sz w:val="20"/>
          <w:szCs w:val="20"/>
          <w:color w:val="auto"/>
        </w:rPr>
      </w:pPr>
      <w:r>
        <w:rPr>
          <w:rFonts w:ascii="Arial" w:cs="Arial" w:eastAsia="Arial" w:hAnsi="Arial"/>
          <w:sz w:val="17"/>
          <w:szCs w:val="17"/>
          <w:color w:val="auto"/>
        </w:rPr>
        <w:t>See “Management’s Discussion and Analysis of Financial Condition and Results of Operations” — “Key Business Metrics” and “Non-GAAP Financial Measure” for the definitions of the following terms used in this Annual Report: “WAU,” “ARPU,” and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6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jc w:val="both"/>
        <w:ind w:firstLine="636"/>
        <w:spacing w:after="0" w:line="308" w:lineRule="auto"/>
        <w:rPr>
          <w:sz w:val="20"/>
          <w:szCs w:val="20"/>
          <w:color w:val="auto"/>
        </w:rPr>
      </w:pPr>
      <w:r>
        <w:rPr>
          <w:rFonts w:ascii="Arial" w:cs="Arial" w:eastAsia="Arial" w:hAnsi="Arial"/>
          <w:sz w:val="15"/>
          <w:szCs w:val="15"/>
          <w:color w:val="auto"/>
        </w:rPr>
        <w:t>This Annual Report on Form 10-K (“</w:t>
      </w:r>
      <w:r>
        <w:rPr>
          <w:rFonts w:ascii="Arial" w:cs="Arial" w:eastAsia="Arial" w:hAnsi="Arial"/>
          <w:sz w:val="15"/>
          <w:szCs w:val="15"/>
          <w:i w:val="1"/>
          <w:iCs w:val="1"/>
          <w:color w:val="auto"/>
        </w:rPr>
        <w:t>Annual Report</w:t>
      </w:r>
      <w:r>
        <w:rPr>
          <w:rFonts w:ascii="Arial" w:cs="Arial" w:eastAsia="Arial" w:hAnsi="Arial"/>
          <w:sz w:val="15"/>
          <w:szCs w:val="15"/>
          <w:color w:val="auto"/>
        </w:rPr>
        <w:t>”) contains forward-looking statements within the meaning of the federal securities laws. All statements contained in this Annual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“plans,” “targets,” and variations of such words and similar expressions are intended to identify forward-looking statements. Forward-looking statements in this Annual Report may include, for example, statements about:</w:t>
      </w:r>
    </w:p>
    <w:p>
      <w:pPr>
        <w:spacing w:after="0" w:line="207" w:lineRule="exact"/>
        <w:rPr>
          <w:sz w:val="20"/>
          <w:szCs w:val="20"/>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including our ability to scale new neighbor growth, our ability to grow engagement by our existing neighbor base and our ability to increase monetization of our platform;</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monetization efforts;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expand our business operations abroad by opening new and expanding within existing neighborhoods outside of the United States;</w:t>
      </w:r>
    </w:p>
    <w:p>
      <w:pPr>
        <w:spacing w:after="0" w:line="278"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to finance operations and growth;</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strategic relationships with third parties;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on the NYSE;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 both within and outside of the United States;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w:t>
      </w:r>
    </w:p>
    <w:p>
      <w:pPr>
        <w:spacing w:after="0" w:line="243"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current conflict in Ukraine), other physical security threats, cyber-attacks, or other catastrophic events;</w:t>
      </w:r>
    </w:p>
    <w:p>
      <w:pPr>
        <w:spacing w:after="0" w:line="21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detailed in Part I, Item 1A, “Risk Factors” in this Annual Report.</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as of the date of this filing about future events and trends that we believe may affect our financial condition, results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6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operations, business strategy, short-term and long-term business operations and objectives, and financial needs. These forward-looking statements are subject to a number of risks, uncertainties and assumptions, including those described in Part I, Item 1A, “Risk Factors” in this Annual Report. Readers are urged to carefully review and consider the various disclosures made in this Annual Report and in other documents we file from time to time with the Securities and Exchange Commission, which we refer to as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Annual Report may not occur and actual results could differ materially and adversely from those anticipated or implied in the forward-looking statements.</w:t>
      </w:r>
    </w:p>
    <w:p>
      <w:pPr>
        <w:spacing w:after="0" w:line="18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Annual Report are made as of the date of this filing, and we do not undertake, and expressly disclaim any duty, to update such statements for any reason after the date of this Annual Report or to conform statements to actual results or revised expectations, except as required by law.</w:t>
      </w:r>
    </w:p>
    <w:p>
      <w:pPr>
        <w:spacing w:after="0" w:line="20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You should read this Annual Report and the documents that we reference herein and have filed with the SEC as exhibits to this Annual Report with the understanding that our actual future results, performance, and events and circumstances may be materially different from what we expect.</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used in this Annual Report, the terms “Nextdoor,” “we,” “us,” and “our” mean Nextdoor Holdings,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6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 FACTOR SUMMARY</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You should carefully consider these risks and uncertainties when investing in our Class A common stock. Some of the principal risks and uncertainties include the following:</w:t>
      </w:r>
    </w:p>
    <w:p>
      <w:pPr>
        <w:spacing w:after="0" w:line="122" w:lineRule="exact"/>
        <w:rPr>
          <w:sz w:val="20"/>
          <w:szCs w:val="20"/>
          <w:color w:val="auto"/>
        </w:rPr>
      </w:pPr>
    </w:p>
    <w:p>
      <w:pPr>
        <w:ind w:left="640" w:hanging="316"/>
        <w:spacing w:after="0" w:line="328"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38" w:lineRule="exact"/>
        <w:rPr>
          <w:rFonts w:ascii="Arial" w:cs="Arial" w:eastAsia="Arial" w:hAnsi="Arial"/>
          <w:sz w:val="15"/>
          <w:szCs w:val="15"/>
          <w:color w:val="auto"/>
        </w:rPr>
      </w:pPr>
    </w:p>
    <w:p>
      <w:pPr>
        <w:ind w:left="640" w:hanging="316"/>
        <w:spacing w:after="0" w:line="23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200"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highly competitive. Competition presents an ongoing threat to the success of our business.</w:t>
      </w:r>
    </w:p>
    <w:p>
      <w:pPr>
        <w:spacing w:after="0" w:line="217" w:lineRule="exact"/>
        <w:rPr>
          <w:rFonts w:ascii="Arial" w:cs="Arial" w:eastAsia="Arial" w:hAnsi="Arial"/>
          <w:sz w:val="18"/>
          <w:szCs w:val="18"/>
          <w:color w:val="auto"/>
        </w:rPr>
      </w:pPr>
    </w:p>
    <w:p>
      <w:pPr>
        <w:jc w:val="both"/>
        <w:ind w:left="640" w:hanging="316"/>
        <w:spacing w:after="0" w:line="229"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02" w:lineRule="exact"/>
        <w:rPr>
          <w:rFonts w:ascii="Arial" w:cs="Arial" w:eastAsia="Arial" w:hAnsi="Arial"/>
          <w:sz w:val="18"/>
          <w:szCs w:val="18"/>
          <w:color w:val="auto"/>
        </w:rPr>
      </w:pPr>
    </w:p>
    <w:p>
      <w:pPr>
        <w:ind w:left="640" w:hanging="316"/>
        <w:spacing w:after="0" w:line="328"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138" w:lineRule="exact"/>
        <w:rPr>
          <w:rFonts w:ascii="Arial" w:cs="Arial" w:eastAsia="Arial" w:hAnsi="Arial"/>
          <w:sz w:val="15"/>
          <w:szCs w:val="15"/>
          <w:color w:val="auto"/>
        </w:rPr>
      </w:pPr>
    </w:p>
    <w:p>
      <w:pPr>
        <w:ind w:left="640" w:hanging="316"/>
        <w:spacing w:after="0" w:line="23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200" w:lineRule="exact"/>
        <w:rPr>
          <w:rFonts w:ascii="Arial" w:cs="Arial" w:eastAsia="Arial" w:hAnsi="Arial"/>
          <w:sz w:val="18"/>
          <w:szCs w:val="18"/>
          <w:color w:val="auto"/>
        </w:rPr>
      </w:pPr>
    </w:p>
    <w:p>
      <w:pPr>
        <w:jc w:val="both"/>
        <w:ind w:left="640" w:hanging="316"/>
        <w:spacing w:after="0" w:line="22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 epidemics, including the COVID-19 pandemic have had or could have an adverse impact on our business, operations, and the markets and communities in which we, our partners and our customers operate. In addition, during the COVD-19 pandemic, we experienced an increase in neighbor growth and engagement and there is no guarantee that we will be able to maintain our neighbor growth and engagement as the COVID-19 pandemic subsides.</w:t>
      </w:r>
    </w:p>
    <w:p>
      <w:pPr>
        <w:spacing w:after="0" w:line="200" w:lineRule="exact"/>
        <w:rPr>
          <w:rFonts w:ascii="Arial" w:cs="Arial" w:eastAsia="Arial" w:hAnsi="Arial"/>
          <w:sz w:val="18"/>
          <w:szCs w:val="18"/>
          <w:color w:val="auto"/>
        </w:rPr>
      </w:pPr>
    </w:p>
    <w:p>
      <w:pPr>
        <w:ind w:left="640" w:hanging="316"/>
        <w:spacing w:after="0" w:line="23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200"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need additional capital in the future, it may not be available on favorable terms, if at all.</w:t>
      </w:r>
    </w:p>
    <w:p>
      <w:pPr>
        <w:spacing w:after="0" w:line="217" w:lineRule="exact"/>
        <w:rPr>
          <w:rFonts w:ascii="Arial" w:cs="Arial" w:eastAsia="Arial" w:hAnsi="Arial"/>
          <w:sz w:val="18"/>
          <w:szCs w:val="18"/>
          <w:color w:val="auto"/>
        </w:rPr>
      </w:pPr>
    </w:p>
    <w:p>
      <w:pPr>
        <w:jc w:val="both"/>
        <w:ind w:left="640" w:hanging="316"/>
        <w:spacing w:after="0" w:line="229"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202" w:lineRule="exact"/>
        <w:rPr>
          <w:rFonts w:ascii="Arial" w:cs="Arial" w:eastAsia="Arial" w:hAnsi="Arial"/>
          <w:sz w:val="18"/>
          <w:szCs w:val="18"/>
          <w:color w:val="auto"/>
        </w:rPr>
      </w:pPr>
    </w:p>
    <w:p>
      <w:pPr>
        <w:jc w:val="both"/>
        <w:ind w:left="640" w:hanging="316"/>
        <w:spacing w:after="0" w:line="22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third-party software and service providers, including the Google Ad Manager (“</w:t>
      </w:r>
      <w:r>
        <w:rPr>
          <w:rFonts w:ascii="Arial" w:cs="Arial" w:eastAsia="Arial" w:hAnsi="Arial"/>
          <w:sz w:val="18"/>
          <w:szCs w:val="18"/>
          <w:i w:val="1"/>
          <w:iCs w:val="1"/>
          <w:color w:val="auto"/>
        </w:rPr>
        <w:t>GAM</w:t>
      </w:r>
      <w:r>
        <w:rPr>
          <w:rFonts w:ascii="Arial" w:cs="Arial" w:eastAsia="Arial" w:hAnsi="Arial"/>
          <w:sz w:val="18"/>
          <w:szCs w:val="18"/>
          <w:color w:val="auto"/>
        </w:rPr>
        <w:t>”) platform, for management and delivery of advertisements on the Nextdoor platform. Any failure or interruption experienced by such third-parties, including as a result of the COVID-19 pandemic, could result in the inability of certain businesses to advertise on our platform, and adversely impact our business, operating results, and financial condition.</w:t>
      </w:r>
    </w:p>
    <w:p>
      <w:pPr>
        <w:spacing w:after="0" w:line="200" w:lineRule="exact"/>
        <w:rPr>
          <w:rFonts w:ascii="Arial" w:cs="Arial" w:eastAsia="Arial" w:hAnsi="Arial"/>
          <w:sz w:val="18"/>
          <w:szCs w:val="18"/>
          <w:color w:val="auto"/>
        </w:rPr>
      </w:pPr>
    </w:p>
    <w:p>
      <w:pPr>
        <w:jc w:val="both"/>
        <w:ind w:left="640" w:hanging="316"/>
        <w:spacing w:after="0" w:line="293"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rely on third-party software and service providers, including Amazon Web Services (“</w:t>
      </w:r>
      <w:r>
        <w:rPr>
          <w:rFonts w:ascii="Arial" w:cs="Arial" w:eastAsia="Arial" w:hAnsi="Arial"/>
          <w:sz w:val="15"/>
          <w:szCs w:val="15"/>
          <w:i w:val="1"/>
          <w:iCs w:val="1"/>
          <w:color w:val="auto"/>
        </w:rPr>
        <w:t>AWS</w:t>
      </w:r>
      <w:r>
        <w:rPr>
          <w:rFonts w:ascii="Arial" w:cs="Arial" w:eastAsia="Arial" w:hAnsi="Arial"/>
          <w:sz w:val="15"/>
          <w:szCs w:val="15"/>
          <w:color w:val="auto"/>
        </w:rPr>
        <w:t>”), to provide systems, storage and services for our platform. Any failure or interruption experienced by such third parties, including as a result of the COVID-19 pandemic, could result in the inability of neighbors and advertisers to access or utilize our platform, and adversely impact our business, operating results, and financial condition.</w:t>
      </w:r>
    </w:p>
    <w:p>
      <w:pPr>
        <w:spacing w:after="0" w:line="163" w:lineRule="exact"/>
        <w:rPr>
          <w:rFonts w:ascii="Arial" w:cs="Arial" w:eastAsia="Arial" w:hAnsi="Arial"/>
          <w:sz w:val="15"/>
          <w:szCs w:val="15"/>
          <w:color w:val="auto"/>
        </w:rPr>
      </w:pPr>
    </w:p>
    <w:p>
      <w:pPr>
        <w:ind w:left="640" w:hanging="316"/>
        <w:spacing w:after="0" w:line="237"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Technologies have been developed that can block the display of advertisements on the Nextdoor platform, which could adversely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91" w:lineRule="exact"/>
        <w:rPr>
          <w:sz w:val="20"/>
          <w:szCs w:val="20"/>
          <w:color w:val="auto"/>
        </w:rPr>
      </w:pPr>
    </w:p>
    <w:p>
      <w:pPr>
        <w:ind w:left="320" w:hanging="316"/>
        <w:spacing w:after="0" w:line="23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breaches, including improper access to or disclosure of our data or our neighbors’ data, or other hacking and phishing attacks on our third-party system, could harm our reputation and adversely affect our business.</w:t>
      </w:r>
    </w:p>
    <w:p>
      <w:pPr>
        <w:spacing w:after="0" w:line="200" w:lineRule="exact"/>
        <w:rPr>
          <w:rFonts w:ascii="Arial" w:cs="Arial" w:eastAsia="Arial" w:hAnsi="Arial"/>
          <w:sz w:val="18"/>
          <w:szCs w:val="18"/>
          <w:color w:val="auto"/>
        </w:rPr>
      </w:pPr>
    </w:p>
    <w:p>
      <w:pPr>
        <w:jc w:val="both"/>
        <w:ind w:left="320" w:hanging="316"/>
        <w:spacing w:after="0" w:line="239" w:lineRule="auto"/>
        <w:tabs>
          <w:tab w:leader="none" w:pos="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201" w:lineRule="exact"/>
        <w:rPr>
          <w:rFonts w:ascii="Arial" w:cs="Arial" w:eastAsia="Arial" w:hAnsi="Arial"/>
          <w:sz w:val="17"/>
          <w:szCs w:val="17"/>
          <w:color w:val="auto"/>
        </w:rPr>
      </w:pPr>
    </w:p>
    <w:p>
      <w:pPr>
        <w:ind w:left="320" w:hanging="316"/>
        <w:spacing w:after="0" w:line="23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market opportunities and key metric estimates could prove to be inaccurate, and any real or perceived inaccuracies may harm our reputation and negatively affect our business.</w:t>
      </w:r>
    </w:p>
    <w:p>
      <w:pPr>
        <w:spacing w:after="0" w:line="200" w:lineRule="exact"/>
        <w:rPr>
          <w:rFonts w:ascii="Arial" w:cs="Arial" w:eastAsia="Arial" w:hAnsi="Arial"/>
          <w:sz w:val="18"/>
          <w:szCs w:val="18"/>
          <w:color w:val="auto"/>
        </w:rPr>
      </w:pPr>
    </w:p>
    <w:p>
      <w:pPr>
        <w:ind w:left="320" w:hanging="316"/>
        <w:spacing w:after="0" w:line="262" w:lineRule="auto"/>
        <w:tabs>
          <w:tab w:leader="none" w:pos="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net losses and may experience net losses in the future and we cannot assure you that we will achieve or sustain profitability. If we cannot achieve or sustain profitability, our business, financial condition and operating results will be adversely affected.</w:t>
      </w:r>
    </w:p>
    <w:p>
      <w:pPr>
        <w:spacing w:after="0" w:line="182" w:lineRule="exact"/>
        <w:rPr>
          <w:rFonts w:ascii="Arial" w:cs="Arial" w:eastAsia="Arial" w:hAnsi="Arial"/>
          <w:sz w:val="17"/>
          <w:szCs w:val="17"/>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have greater than anticipated tax liabilities, which could harm our business, revenue and financial results.</w:t>
      </w:r>
    </w:p>
    <w:p>
      <w:pPr>
        <w:spacing w:after="0" w:line="217"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liable as a result of content or information that is published or made available on our platform.</w:t>
      </w:r>
    </w:p>
    <w:p>
      <w:pPr>
        <w:spacing w:after="0" w:line="217" w:lineRule="exact"/>
        <w:rPr>
          <w:rFonts w:ascii="Arial" w:cs="Arial" w:eastAsia="Arial" w:hAnsi="Arial"/>
          <w:sz w:val="18"/>
          <w:szCs w:val="18"/>
          <w:color w:val="auto"/>
        </w:rPr>
      </w:pPr>
    </w:p>
    <w:p>
      <w:pPr>
        <w:ind w:left="320" w:hanging="316"/>
        <w:spacing w:after="0" w:line="262" w:lineRule="auto"/>
        <w:tabs>
          <w:tab w:leader="none" w:pos="31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82" w:lineRule="exact"/>
        <w:rPr>
          <w:rFonts w:ascii="Arial" w:cs="Arial" w:eastAsia="Arial" w:hAnsi="Arial"/>
          <w:sz w:val="17"/>
          <w:szCs w:val="17"/>
          <w:color w:val="auto"/>
        </w:rPr>
      </w:pPr>
    </w:p>
    <w:p>
      <w:pPr>
        <w:ind w:left="320" w:hanging="316"/>
        <w:spacing w:after="0" w:line="23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involved in legal disputes that are expensive and time consuming, and, if resolved adversely, could harm our business, operating results, and financial condition.</w:t>
      </w:r>
    </w:p>
    <w:p>
      <w:pPr>
        <w:spacing w:after="0" w:line="200" w:lineRule="exact"/>
        <w:rPr>
          <w:rFonts w:ascii="Arial" w:cs="Arial" w:eastAsia="Arial" w:hAnsi="Arial"/>
          <w:sz w:val="18"/>
          <w:szCs w:val="18"/>
          <w:color w:val="auto"/>
        </w:rPr>
      </w:pPr>
    </w:p>
    <w:p>
      <w:pPr>
        <w:ind w:left="320" w:hanging="316"/>
        <w:spacing w:after="0" w:line="23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effective systems of internal controls and disclosure controls could have a material adverse effect on our business, operating results, and financial conditions.</w:t>
      </w:r>
    </w:p>
    <w:p>
      <w:pPr>
        <w:spacing w:after="0" w:line="200" w:lineRule="exact"/>
        <w:rPr>
          <w:rFonts w:ascii="Arial" w:cs="Arial" w:eastAsia="Arial" w:hAnsi="Arial"/>
          <w:sz w:val="18"/>
          <w:szCs w:val="18"/>
          <w:color w:val="auto"/>
        </w:rPr>
      </w:pPr>
    </w:p>
    <w:p>
      <w:pPr>
        <w:ind w:left="320" w:hanging="316"/>
        <w:spacing w:after="0" w:line="23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brands and other intangible assets may be diminished, and our business, operating results, and financial condition may be adversely affected.</w:t>
      </w:r>
    </w:p>
    <w:p>
      <w:pPr>
        <w:spacing w:after="0" w:line="200" w:lineRule="exact"/>
        <w:rPr>
          <w:rFonts w:ascii="Arial" w:cs="Arial" w:eastAsia="Arial" w:hAnsi="Arial"/>
          <w:sz w:val="18"/>
          <w:szCs w:val="18"/>
          <w:color w:val="auto"/>
        </w:rPr>
      </w:pPr>
    </w:p>
    <w:p>
      <w:pPr>
        <w:ind w:left="320" w:hanging="316"/>
        <w:spacing w:after="0" w:line="23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parties may claim that our platform infringes their intellectual property rights and this may create liability for us or otherwise adversely affect our business, operating results, and financial condition.</w:t>
      </w:r>
    </w:p>
    <w:p>
      <w:pPr>
        <w:spacing w:after="0" w:line="200" w:lineRule="exact"/>
        <w:rPr>
          <w:rFonts w:ascii="Arial" w:cs="Arial" w:eastAsia="Arial" w:hAnsi="Arial"/>
          <w:sz w:val="18"/>
          <w:szCs w:val="18"/>
          <w:color w:val="auto"/>
        </w:rPr>
      </w:pPr>
    </w:p>
    <w:p>
      <w:pPr>
        <w:ind w:left="320" w:hanging="316"/>
        <w:spacing w:after="0" w:line="23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“open source” software could subject us to possible litigation or could prevent us from offering products that include open source software or require us to obtain licenses on unfavorable terms.</w:t>
      </w:r>
    </w:p>
    <w:p>
      <w:pPr>
        <w:spacing w:after="0" w:line="200"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license technology from third parties, and our inability to maintain those licenses could harm our business.</w:t>
      </w:r>
    </w:p>
    <w:p>
      <w:pPr>
        <w:spacing w:after="0" w:line="230"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Class A common stock has been, and may continue to be, volatile.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may adversely affect the trading market for our Class A common stock.</w:t>
      </w:r>
    </w:p>
    <w:p>
      <w:pPr>
        <w:spacing w:after="0" w:line="164" w:lineRule="exact"/>
        <w:rPr>
          <w:rFonts w:ascii="Arial" w:cs="Arial" w:eastAsia="Arial" w:hAnsi="Arial"/>
          <w:sz w:val="18"/>
          <w:szCs w:val="18"/>
          <w:color w:val="auto"/>
        </w:rPr>
      </w:pPr>
    </w:p>
    <w:p>
      <w:pPr>
        <w:ind w:left="320" w:hanging="316"/>
        <w:spacing w:after="0" w:line="26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27"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intend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158115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7" w:name="page8"/>
    <w:bookmarkEnd w:id="7"/>
    <w:p>
      <w:pPr>
        <w:spacing w:after="0" w:line="6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7"/>
          <w:szCs w:val="17"/>
          <w:color w:val="auto"/>
        </w:rPr>
        <w:t>At Nextdoor, our purpose is to cultivate a kinder world where everyone has a neighborhood they can rely on. Nextdoor is the neighborhood network that connects neighborhood stakeholders, including neighbors, businesses, and public services, online and in real life to build stronger, more vibrant, and resilient neighborhoods. As of December 31, 2021, Nextdoor was in more than 285,000 neighborhoods around the world and in nearly 1 in 3 households in the United States, and during the fourth quarter of 2021, we reached 69 million global Verified Neighbors</w:t>
      </w:r>
      <w:r>
        <w:rPr>
          <w:rFonts w:ascii="Arial" w:cs="Arial" w:eastAsia="Arial" w:hAnsi="Arial"/>
          <w:sz w:val="21"/>
          <w:szCs w:val="21"/>
          <w:color w:val="auto"/>
          <w:vertAlign w:val="superscript"/>
        </w:rPr>
        <w:t>1</w:t>
      </w:r>
      <w:r>
        <w:rPr>
          <w:rFonts w:ascii="Arial" w:cs="Arial" w:eastAsia="Arial" w:hAnsi="Arial"/>
          <w:sz w:val="17"/>
          <w:szCs w:val="17"/>
          <w:color w:val="auto"/>
        </w:rPr>
        <w:t>. Neighbors and organizations, which include small and mid-sized businesses, large brands, public agencies, and nonprofits, around the world turn to Nextdoor to receive trusted information, give and get help, and build real-world connections with neighborhood stakeholders.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Nextdoor began in the United States, and as of December 31, 2021, our platform was available in 11 countries. Beyond the United States, Nextdoor supports neighborhoods in the United Kingdom, Canada, Australia, Netherlands, France, Spain, Italy, Germany, Sweden, and Denmark. In the United Kingdom, as of December 31, 2021, Nextdoor was in 1 in 5 households, and 1 in 4 households in London. We intend to expand our neighbor footprint globally and to increasingly become a weekly use case for neighbors.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for Neighbors and Organizations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for Neighbors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Neighbors come to Nextdoor to connect to the neighborhoods that matter to them so they can belong. We leverage technology to enable online and real-world connections between neighbors and organizations — both of which are a valuable part of the neighborhood ecosystem. Nextdoor ensures neighbors are connected to real people by requiring neighbors to use their real name, which fosters a trusted environment so they can meet and learn more about those nearby. Further, since the experience is based on geographical location, Nextdoor uniquely provides a way to bring online connections into the real world.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for Organizations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Nextdoor connects neighbors with each other and everything nearby, including organizations. Organizations are essential for building strong, vibrant neighborhoods and are a trusted and core member of the community. Businesses of all sizes and types come to Nextdoor to reach their customers in meaningful ways and to encourage action through hyperlocal targeting and personalization of advertising at scale. Public agencies come to Nextdoor to deliver critical information to neighbors with hyperlocal distribution. Public agencies also leverage Nextdoor to find out what is important to their constituents and communicate with them directly. This includes keeping neighbors apprised about everything from local events such as webinars and street fairs, to timely safety updates and urgent alerts and tips to stay safe and protected during times of crisis such as power outages, storms, or wildfires.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6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Nextdoor’s product strategy fulfills our purpose by enabling neighbors and organizations to build an “</w:t>
      </w:r>
      <w:r>
        <w:rPr>
          <w:rFonts w:ascii="Arial" w:cs="Arial" w:eastAsia="Arial" w:hAnsi="Arial"/>
          <w:sz w:val="18"/>
          <w:szCs w:val="18"/>
          <w:b w:val="1"/>
          <w:bCs w:val="1"/>
          <w:color w:val="auto"/>
        </w:rPr>
        <w:t>Active Valued Community</w:t>
      </w:r>
      <w:r>
        <w:rPr>
          <w:rFonts w:ascii="Arial" w:cs="Arial" w:eastAsia="Arial" w:hAnsi="Arial"/>
          <w:sz w:val="18"/>
          <w:szCs w:val="18"/>
          <w:color w:val="auto"/>
        </w:rPr>
        <w:t>” — an engaged community of neighbors, businesses, and public services that you can trust and depend on to exchange valuable information, goods, and services. The Nextdoor platform offers distinct functionalities and experiences for neighbors and organizations alike.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neighbors discover what's happening nearby</w:t>
      </w:r>
    </w:p>
    <w:p>
      <w:pPr>
        <w:spacing w:after="0" w:line="158" w:lineRule="exact"/>
        <w:rPr>
          <w:sz w:val="20"/>
          <w:szCs w:val="20"/>
          <w:color w:val="auto"/>
        </w:rPr>
      </w:pPr>
    </w:p>
    <w:p>
      <w:pPr>
        <w:jc w:val="both"/>
        <w:ind w:left="640" w:hanging="316"/>
        <w:spacing w:after="0" w:line="258"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Newsfeed: </w:t>
      </w:r>
      <w:r>
        <w:rPr>
          <w:rFonts w:ascii="Arial" w:cs="Arial" w:eastAsia="Arial" w:hAnsi="Arial"/>
          <w:sz w:val="18"/>
          <w:szCs w:val="18"/>
          <w:color w:val="auto"/>
        </w:rPr>
        <w:t>The Newsfeed is where neighbors find constantly updated posts, discussions, photos, and links from other neighbors and 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Neighbors can respond by commenting or adding a reaction (e.g., like, thank, and wow), and can set their feed preferences (e.g., rank by top posts, recent activity, recent posts, or popular everywhere).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1682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197" w:lineRule="exact"/>
        <w:rPr>
          <w:sz w:val="20"/>
          <w:szCs w:val="20"/>
          <w:color w:val="auto"/>
        </w:rPr>
      </w:pPr>
    </w:p>
    <w:p>
      <w:pPr>
        <w:ind w:left="420" w:hanging="96"/>
        <w:spacing w:after="0"/>
        <w:tabs>
          <w:tab w:leader="none" w:pos="4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Verified Neighbors are individuals who have joined Nextdoor and have had their address confirmed by us.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52" w:lineRule="exact"/>
        <w:rPr>
          <w:rFonts w:ascii="Arial" w:cs="Arial" w:eastAsia="Arial" w:hAnsi="Arial"/>
          <w:sz w:val="21"/>
          <w:szCs w:val="21"/>
          <w:color w:val="auto"/>
          <w:vertAlign w:val="superscript"/>
        </w:rPr>
      </w:pPr>
    </w:p>
    <w:p>
      <w:pPr>
        <w:ind w:left="5740"/>
        <w:spacing w:after="0"/>
        <w:rPr>
          <w:rFonts w:ascii="Arial" w:cs="Arial" w:eastAsia="Arial" w:hAnsi="Arial"/>
          <w:sz w:val="21"/>
          <w:szCs w:val="21"/>
          <w:color w:val="auto"/>
          <w:vertAlign w:val="superscript"/>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158115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13" w:lineRule="exact"/>
        <w:rPr>
          <w:sz w:val="20"/>
          <w:szCs w:val="20"/>
          <w:color w:val="auto"/>
        </w:rPr>
      </w:pPr>
    </w:p>
    <w:p>
      <w:pPr>
        <w:jc w:val="both"/>
        <w:ind w:left="640" w:hanging="316"/>
        <w:spacing w:after="0" w:line="25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Notifications</w:t>
      </w:r>
      <w:r>
        <w:rPr>
          <w:rFonts w:ascii="Arial" w:cs="Arial" w:eastAsia="Arial" w:hAnsi="Arial"/>
          <w:sz w:val="18"/>
          <w:szCs w:val="18"/>
          <w:color w:val="auto"/>
        </w:rPr>
        <w:t>: In-app and Email Notifications inform neighbors about news, items, and activities they are interested in. Notifications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everything from trending posts to direct messages about items for sale to alerts by local public agencies. Notifications keep neighbors updated and drive increased engagement on Nextdoor.</w:t>
      </w:r>
    </w:p>
    <w:p>
      <w:pPr>
        <w:spacing w:after="0" w:line="127" w:lineRule="exact"/>
        <w:rPr>
          <w:rFonts w:ascii="Arial" w:cs="Arial" w:eastAsia="Arial" w:hAnsi="Arial"/>
          <w:sz w:val="18"/>
          <w:szCs w:val="18"/>
          <w:color w:val="auto"/>
        </w:rPr>
      </w:pPr>
    </w:p>
    <w:p>
      <w:pPr>
        <w:jc w:val="both"/>
        <w:ind w:left="640" w:hanging="316"/>
        <w:spacing w:after="0" w:line="258"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Search: </w:t>
      </w:r>
      <w:r>
        <w:rPr>
          <w:rFonts w:ascii="Arial" w:cs="Arial" w:eastAsia="Arial" w:hAnsi="Arial"/>
          <w:sz w:val="18"/>
          <w:szCs w:val="18"/>
          <w:color w:val="auto"/>
        </w:rPr>
        <w:t>Search gives neighbors the ability to find specific content and organizations (including large brands, small businesses, public agencies,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nonprofits) related to their neighborhood. Nextdoor’s search combines an understanding of search terms with filtering capabilities to get neighbors the results they are looking for.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neighbors connect with organizations and find local resources</w:t>
      </w:r>
    </w:p>
    <w:p>
      <w:pPr>
        <w:spacing w:after="0" w:line="158" w:lineRule="exact"/>
        <w:rPr>
          <w:sz w:val="20"/>
          <w:szCs w:val="20"/>
          <w:color w:val="auto"/>
        </w:rPr>
      </w:pPr>
    </w:p>
    <w:p>
      <w:pPr>
        <w:ind w:left="640" w:hanging="316"/>
        <w:spacing w:after="0" w:line="301" w:lineRule="auto"/>
        <w:tabs>
          <w:tab w:leader="none" w:pos="635"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Businesses: </w:t>
      </w:r>
      <w:r>
        <w:rPr>
          <w:rFonts w:ascii="Arial" w:cs="Arial" w:eastAsia="Arial" w:hAnsi="Arial"/>
          <w:sz w:val="17"/>
          <w:szCs w:val="17"/>
          <w:color w:val="auto"/>
        </w:rPr>
        <w:t>Neighbors use Nextdoor to discover spots most-loved by locals, leave recommendations, find exclusive deals and promotions,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interact with businesses. As of December 31, 2021, neighbors had left more than 55 million business recommendations on Nextdoor.</w:t>
      </w:r>
    </w:p>
    <w:p>
      <w:pPr>
        <w:spacing w:after="0" w:line="92" w:lineRule="exact"/>
        <w:rPr>
          <w:rFonts w:ascii="Arial" w:cs="Arial" w:eastAsia="Arial" w:hAnsi="Arial"/>
          <w:sz w:val="17"/>
          <w:szCs w:val="17"/>
          <w:b w:val="1"/>
          <w:bCs w:val="1"/>
          <w:color w:val="auto"/>
        </w:rPr>
      </w:pPr>
    </w:p>
    <w:p>
      <w:pPr>
        <w:ind w:left="640" w:hanging="316"/>
        <w:spacing w:after="0" w:line="27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Sale &amp; Free: </w:t>
      </w:r>
      <w:r>
        <w:rPr>
          <w:rFonts w:ascii="Arial" w:cs="Arial" w:eastAsia="Arial" w:hAnsi="Arial"/>
          <w:sz w:val="18"/>
          <w:szCs w:val="18"/>
          <w:color w:val="auto"/>
        </w:rPr>
        <w:t>For Sale &amp; Free is our truly local marketplace where neighbors buy, sell, or give away items, and even offer services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babysitting and dog walking.</w:t>
      </w:r>
    </w:p>
    <w:p>
      <w:pPr>
        <w:spacing w:after="0" w:line="115" w:lineRule="exact"/>
        <w:rPr>
          <w:rFonts w:ascii="Arial" w:cs="Arial" w:eastAsia="Arial" w:hAnsi="Arial"/>
          <w:sz w:val="18"/>
          <w:szCs w:val="18"/>
          <w:color w:val="auto"/>
        </w:rPr>
      </w:pPr>
    </w:p>
    <w:p>
      <w:pPr>
        <w:jc w:val="both"/>
        <w:ind w:left="640" w:hanging="316"/>
        <w:spacing w:after="0" w:line="258"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Public Services: </w:t>
      </w:r>
      <w:r>
        <w:rPr>
          <w:rFonts w:ascii="Arial" w:cs="Arial" w:eastAsia="Arial" w:hAnsi="Arial"/>
          <w:sz w:val="18"/>
          <w:szCs w:val="18"/>
          <w:color w:val="auto"/>
        </w:rPr>
        <w:t>On Nextdoor, neighbors can receive critical, real time information from trusted officials. Public agencies, including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and service providers, turn to Nextdoor directly, quickly, and easily reach neighbors in their community with hyperlocal information and alerts.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neighbors connect with other neighbors</w:t>
      </w:r>
    </w:p>
    <w:p>
      <w:pPr>
        <w:spacing w:after="0" w:line="158" w:lineRule="exact"/>
        <w:rPr>
          <w:sz w:val="20"/>
          <w:szCs w:val="20"/>
          <w:color w:val="auto"/>
        </w:rPr>
      </w:pPr>
    </w:p>
    <w:p>
      <w:pPr>
        <w:ind w:left="640" w:hanging="316"/>
        <w:spacing w:after="0" w:line="374" w:lineRule="auto"/>
        <w:tabs>
          <w:tab w:leader="none" w:pos="635"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 xml:space="preserve">Posts, Comments, and Reactions: </w:t>
      </w:r>
      <w:r>
        <w:rPr>
          <w:rFonts w:ascii="Arial" w:cs="Arial" w:eastAsia="Arial" w:hAnsi="Arial"/>
          <w:sz w:val="15"/>
          <w:szCs w:val="15"/>
          <w:color w:val="auto"/>
        </w:rPr>
        <w:t>Through posts, comments, and reactions neighbors can reach out to the neighborhood to get and give information</w:t>
      </w:r>
      <w:r>
        <w:rPr>
          <w:rFonts w:ascii="Arial" w:cs="Arial" w:eastAsia="Arial" w:hAnsi="Arial"/>
          <w:sz w:val="15"/>
          <w:szCs w:val="15"/>
          <w:b w:val="1"/>
          <w:bCs w:val="1"/>
          <w:color w:val="auto"/>
        </w:rPr>
        <w:t xml:space="preserve"> </w:t>
      </w:r>
      <w:r>
        <w:rPr>
          <w:rFonts w:ascii="Arial" w:cs="Arial" w:eastAsia="Arial" w:hAnsi="Arial"/>
          <w:sz w:val="15"/>
          <w:szCs w:val="15"/>
          <w:color w:val="auto"/>
        </w:rPr>
        <w:t>that is locally relevant, trusted, and in real time. Whether it is for a local plumber or a family friendly pizza place, neighbors know best.</w:t>
      </w:r>
    </w:p>
    <w:p>
      <w:pPr>
        <w:spacing w:after="0" w:line="45" w:lineRule="exact"/>
        <w:rPr>
          <w:rFonts w:ascii="Arial" w:cs="Arial" w:eastAsia="Arial" w:hAnsi="Arial"/>
          <w:sz w:val="15"/>
          <w:szCs w:val="15"/>
          <w:color w:val="auto"/>
        </w:rPr>
      </w:pPr>
    </w:p>
    <w:p>
      <w:pPr>
        <w:jc w:val="both"/>
        <w:ind w:left="640" w:hanging="316"/>
        <w:spacing w:after="0" w:line="25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Connections: </w:t>
      </w:r>
      <w:r>
        <w:rPr>
          <w:rFonts w:ascii="Arial" w:cs="Arial" w:eastAsia="Arial" w:hAnsi="Arial"/>
          <w:sz w:val="18"/>
          <w:szCs w:val="18"/>
          <w:color w:val="auto"/>
        </w:rPr>
        <w:t>Connections are a new way to find and keep up with the neighbors you know and care about. When neighbors connect with each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they will see each other’s posts, comments, and reactions highlighted in their feeds and have the ability to @mention them in posts and comments. The Neighbors You May Know feature recommends neighbors to connect with based on proximity, Connections in common, on-platform interactions, and personal contacts.</w:t>
      </w:r>
    </w:p>
    <w:p>
      <w:pPr>
        <w:spacing w:after="0" w:line="130" w:lineRule="exact"/>
        <w:rPr>
          <w:rFonts w:ascii="Arial" w:cs="Arial" w:eastAsia="Arial" w:hAnsi="Arial"/>
          <w:sz w:val="18"/>
          <w:szCs w:val="18"/>
          <w:color w:val="auto"/>
        </w:rPr>
      </w:pPr>
    </w:p>
    <w:p>
      <w:pPr>
        <w:ind w:left="640" w:hanging="316"/>
        <w:spacing w:after="0" w:line="27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Groups: </w:t>
      </w:r>
      <w:r>
        <w:rPr>
          <w:rFonts w:ascii="Arial" w:cs="Arial" w:eastAsia="Arial" w:hAnsi="Arial"/>
          <w:sz w:val="18"/>
          <w:szCs w:val="18"/>
          <w:color w:val="auto"/>
        </w:rPr>
        <w:t>Neighbors create Groups to connect with those nearby with a common interest. We see an incremental lift in engagement after a neighbor</w:t>
      </w:r>
      <w:r>
        <w:rPr>
          <w:rFonts w:ascii="Arial" w:cs="Arial" w:eastAsia="Arial" w:hAnsi="Arial"/>
          <w:sz w:val="18"/>
          <w:szCs w:val="18"/>
          <w:b w:val="1"/>
          <w:bCs w:val="1"/>
          <w:color w:val="auto"/>
        </w:rPr>
        <w:t xml:space="preserve"> </w:t>
      </w:r>
      <w:r>
        <w:rPr>
          <w:rFonts w:ascii="Arial" w:cs="Arial" w:eastAsia="Arial" w:hAnsi="Arial"/>
          <w:sz w:val="18"/>
          <w:szCs w:val="18"/>
          <w:color w:val="auto"/>
        </w:rPr>
        <w:t>engages with a Group.</w:t>
      </w:r>
    </w:p>
    <w:p>
      <w:pPr>
        <w:spacing w:after="0" w:line="115" w:lineRule="exact"/>
        <w:rPr>
          <w:rFonts w:ascii="Arial" w:cs="Arial" w:eastAsia="Arial" w:hAnsi="Arial"/>
          <w:sz w:val="18"/>
          <w:szCs w:val="18"/>
          <w:color w:val="auto"/>
        </w:rPr>
      </w:pPr>
    </w:p>
    <w:p>
      <w:pPr>
        <w:ind w:left="640" w:hanging="316"/>
        <w:spacing w:after="0" w:line="27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Messaging: </w:t>
      </w:r>
      <w:r>
        <w:rPr>
          <w:rFonts w:ascii="Arial" w:cs="Arial" w:eastAsia="Arial" w:hAnsi="Arial"/>
          <w:sz w:val="18"/>
          <w:szCs w:val="18"/>
          <w:color w:val="auto"/>
        </w:rPr>
        <w:t>Neighbors can contact other neighbors and organizations through direct messaging (e.g., neighbors messaging businesses, coordinating a</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pick up a desk, to borrow a printer, or get more information about a tutor).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Advertising Solutions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Advertisers of all sizes come to Nextdoor to reach their customers in meaningful ways, including through our proprietary self-serve Neighborhood Ad Center (“NAC”), which we continued to deploy in 2021 and will expand during 2022. Large brands use our platform to reach, engage, and convert neighbors by delivering hyperlocal and personalized advertising at scale. Small businesses rely on Nextdoor to reach customers with information that encourages local action. From building awareness to driving sales, we offer advertisers of all sizes distinct and differentiated products in a unique local context that allow them to reach the right neighbor, at the right time, with the right message. The value of Nextdoor’s audience to advertisers is driven by providing:</w:t>
      </w:r>
    </w:p>
    <w:p>
      <w:pPr>
        <w:spacing w:after="0" w:line="92" w:lineRule="exact"/>
        <w:rPr>
          <w:sz w:val="20"/>
          <w:szCs w:val="20"/>
          <w:color w:val="auto"/>
        </w:rPr>
      </w:pPr>
    </w:p>
    <w:p>
      <w:pPr>
        <w:jc w:val="both"/>
        <w:ind w:left="640" w:hanging="316"/>
        <w:spacing w:after="0" w:line="281"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A high utility platform: </w:t>
      </w:r>
      <w:r>
        <w:rPr>
          <w:rFonts w:ascii="Arial" w:cs="Arial" w:eastAsia="Arial" w:hAnsi="Arial"/>
          <w:sz w:val="17"/>
          <w:szCs w:val="17"/>
          <w:color w:val="auto"/>
        </w:rPr>
        <w:t>Neighbors come to Nextdoor for a real-time solution nearby and to get things done. From finding an emergency plumber, to</w:t>
      </w:r>
      <w:r>
        <w:rPr>
          <w:rFonts w:ascii="Arial" w:cs="Arial" w:eastAsia="Arial" w:hAnsi="Arial"/>
          <w:sz w:val="17"/>
          <w:szCs w:val="17"/>
          <w:b w:val="1"/>
          <w:bCs w:val="1"/>
          <w:color w:val="auto"/>
        </w:rPr>
        <w:t xml:space="preserve"> </w:t>
      </w:r>
      <w:r>
        <w:rPr>
          <w:rFonts w:ascii="Arial" w:cs="Arial" w:eastAsia="Arial" w:hAnsi="Arial"/>
          <w:sz w:val="17"/>
          <w:szCs w:val="17"/>
          <w:color w:val="auto"/>
        </w:rPr>
        <w:t>checking which Internet service provider works best locally, to finding the best spot for dinner. This creates a highly performant environment for advertisers who come to Nextdoor to create meaningful connections with a uniquely engaged local audience.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13" w:lineRule="exact"/>
        <w:rPr>
          <w:sz w:val="20"/>
          <w:szCs w:val="20"/>
          <w:color w:val="auto"/>
        </w:rPr>
      </w:pPr>
    </w:p>
    <w:p>
      <w:pPr>
        <w:ind w:left="320" w:right="20" w:hanging="316"/>
        <w:spacing w:after="0" w:line="271"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Access to untapped audiences: </w:t>
      </w:r>
      <w:r>
        <w:rPr>
          <w:rFonts w:ascii="Arial" w:cs="Arial" w:eastAsia="Arial" w:hAnsi="Arial"/>
          <w:sz w:val="18"/>
          <w:szCs w:val="18"/>
          <w:color w:val="auto"/>
        </w:rPr>
        <w:t>According to fourth quarter 2021 data from GWI, 76% of neighbors who visit Nextdoor at least once a month do not</w:t>
      </w:r>
      <w:r>
        <w:rPr>
          <w:rFonts w:ascii="Arial" w:cs="Arial" w:eastAsia="Arial" w:hAnsi="Arial"/>
          <w:sz w:val="18"/>
          <w:szCs w:val="18"/>
          <w:b w:val="1"/>
          <w:bCs w:val="1"/>
          <w:color w:val="auto"/>
        </w:rPr>
        <w:t xml:space="preserve"> </w:t>
      </w:r>
      <w:r>
        <w:rPr>
          <w:rFonts w:ascii="Arial" w:cs="Arial" w:eastAsia="Arial" w:hAnsi="Arial"/>
          <w:sz w:val="18"/>
          <w:szCs w:val="18"/>
          <w:color w:val="auto"/>
        </w:rPr>
        <w:t>visit Snap, 57% do not visit Pinterest, and 17% do not visit Facebook.</w:t>
      </w:r>
    </w:p>
    <w:p>
      <w:pPr>
        <w:spacing w:after="0" w:line="115" w:lineRule="exact"/>
        <w:rPr>
          <w:rFonts w:ascii="Arial" w:cs="Arial" w:eastAsia="Arial" w:hAnsi="Arial"/>
          <w:sz w:val="18"/>
          <w:szCs w:val="18"/>
          <w:color w:val="auto"/>
        </w:rPr>
      </w:pPr>
    </w:p>
    <w:p>
      <w:pPr>
        <w:ind w:left="320" w:hanging="316"/>
        <w:spacing w:after="0" w:line="271"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Contextual relevance: </w:t>
      </w:r>
      <w:r>
        <w:rPr>
          <w:rFonts w:ascii="Arial" w:cs="Arial" w:eastAsia="Arial" w:hAnsi="Arial"/>
          <w:sz w:val="18"/>
          <w:szCs w:val="18"/>
          <w:color w:val="auto"/>
        </w:rPr>
        <w:t>Nextdoor content is highly relevant based on neighbors’ local boundaries, which provides a unique environment for brands to</w:t>
      </w:r>
      <w:r>
        <w:rPr>
          <w:rFonts w:ascii="Arial" w:cs="Arial" w:eastAsia="Arial" w:hAnsi="Arial"/>
          <w:sz w:val="18"/>
          <w:szCs w:val="18"/>
          <w:b w:val="1"/>
          <w:bCs w:val="1"/>
          <w:color w:val="auto"/>
        </w:rPr>
        <w:t xml:space="preserve"> </w:t>
      </w:r>
      <w:r>
        <w:rPr>
          <w:rFonts w:ascii="Arial" w:cs="Arial" w:eastAsia="Arial" w:hAnsi="Arial"/>
          <w:sz w:val="18"/>
          <w:szCs w:val="18"/>
          <w:color w:val="auto"/>
        </w:rPr>
        <w:t>show up surrounded by relevant and welcome content.</w:t>
      </w:r>
    </w:p>
    <w:p>
      <w:pPr>
        <w:spacing w:after="0" w:line="115" w:lineRule="exact"/>
        <w:rPr>
          <w:rFonts w:ascii="Arial" w:cs="Arial" w:eastAsia="Arial" w:hAnsi="Arial"/>
          <w:sz w:val="18"/>
          <w:szCs w:val="18"/>
          <w:color w:val="auto"/>
        </w:rPr>
      </w:pPr>
    </w:p>
    <w:p>
      <w:pPr>
        <w:ind w:left="320" w:hanging="316"/>
        <w:spacing w:after="0" w:line="301" w:lineRule="auto"/>
        <w:tabs>
          <w:tab w:leader="none" w:pos="31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Neighborhood level data provides actionable insights: </w:t>
      </w:r>
      <w:r>
        <w:rPr>
          <w:rFonts w:ascii="Arial" w:cs="Arial" w:eastAsia="Arial" w:hAnsi="Arial"/>
          <w:sz w:val="17"/>
          <w:szCs w:val="17"/>
          <w:color w:val="auto"/>
        </w:rPr>
        <w:t>We have a unique ability to understand consumer behavior and trends from a national to a</w:t>
      </w:r>
      <w:r>
        <w:rPr>
          <w:rFonts w:ascii="Arial" w:cs="Arial" w:eastAsia="Arial" w:hAnsi="Arial"/>
          <w:sz w:val="17"/>
          <w:szCs w:val="17"/>
          <w:b w:val="1"/>
          <w:bCs w:val="1"/>
          <w:color w:val="auto"/>
        </w:rPr>
        <w:t xml:space="preserve"> </w:t>
      </w:r>
      <w:r>
        <w:rPr>
          <w:rFonts w:ascii="Arial" w:cs="Arial" w:eastAsia="Arial" w:hAnsi="Arial"/>
          <w:sz w:val="17"/>
          <w:szCs w:val="17"/>
          <w:color w:val="auto"/>
        </w:rPr>
        <w:t>neighborhood level. Our data can provide valuable insights to advertisers to help them better serve their customers.</w:t>
      </w:r>
    </w:p>
    <w:p>
      <w:pPr>
        <w:spacing w:after="0" w:line="92" w:lineRule="exact"/>
        <w:rPr>
          <w:rFonts w:ascii="Arial" w:cs="Arial" w:eastAsia="Arial" w:hAnsi="Arial"/>
          <w:sz w:val="17"/>
          <w:szCs w:val="17"/>
          <w:color w:val="auto"/>
        </w:rPr>
      </w:pPr>
    </w:p>
    <w:p>
      <w:pPr>
        <w:jc w:val="both"/>
        <w:ind w:left="320" w:hanging="316"/>
        <w:spacing w:after="0" w:line="258"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Hyperlocal personalization at scale: </w:t>
      </w:r>
      <w:r>
        <w:rPr>
          <w:rFonts w:ascii="Arial" w:cs="Arial" w:eastAsia="Arial" w:hAnsi="Arial"/>
          <w:sz w:val="18"/>
          <w:szCs w:val="18"/>
          <w:color w:val="auto"/>
        </w:rPr>
        <w:t>Advertisers reach neighbors both locally and with local customization at scale. We are able to dynamically</w:t>
      </w:r>
      <w:r>
        <w:rPr>
          <w:rFonts w:ascii="Arial" w:cs="Arial" w:eastAsia="Arial" w:hAnsi="Arial"/>
          <w:sz w:val="18"/>
          <w:szCs w:val="18"/>
          <w:b w:val="1"/>
          <w:bCs w:val="1"/>
          <w:color w:val="auto"/>
        </w:rPr>
        <w:t xml:space="preserve"> </w:t>
      </w:r>
      <w:r>
        <w:rPr>
          <w:rFonts w:ascii="Arial" w:cs="Arial" w:eastAsia="Arial" w:hAnsi="Arial"/>
          <w:sz w:val="18"/>
          <w:szCs w:val="18"/>
          <w:color w:val="auto"/>
        </w:rPr>
        <w:t>update ad creatives to run nationally with local specifics, such as neighborhood names, store locations or business representative information, to create meaningful connections between our customers and neighbors.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 Placements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Advertisers can engage with their customers in multiple surfaces on our platform, including:</w:t>
      </w:r>
    </w:p>
    <w:p>
      <w:pPr>
        <w:spacing w:after="0" w:line="158" w:lineRule="exact"/>
        <w:rPr>
          <w:sz w:val="20"/>
          <w:szCs w:val="20"/>
          <w:color w:val="auto"/>
        </w:rPr>
      </w:pPr>
    </w:p>
    <w:p>
      <w:pPr>
        <w:jc w:val="both"/>
        <w:ind w:left="320" w:hanging="316"/>
        <w:spacing w:after="0" w:line="334" w:lineRule="auto"/>
        <w:tabs>
          <w:tab w:leader="none" w:pos="315"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Newsfeed: </w:t>
      </w:r>
      <w:r>
        <w:rPr>
          <w:rFonts w:ascii="Arial" w:cs="Arial" w:eastAsia="Arial" w:hAnsi="Arial"/>
          <w:sz w:val="15"/>
          <w:szCs w:val="15"/>
          <w:color w:val="auto"/>
        </w:rPr>
        <w:t>Advertisers can run ads in the Newsfeed to build awareness, to become part of the consideration set for a consumer’s purchase, and to</w:t>
      </w:r>
      <w:r>
        <w:rPr>
          <w:rFonts w:ascii="Arial" w:cs="Arial" w:eastAsia="Arial" w:hAnsi="Arial"/>
          <w:sz w:val="15"/>
          <w:szCs w:val="15"/>
          <w:b w:val="1"/>
          <w:bCs w:val="1"/>
          <w:color w:val="auto"/>
        </w:rPr>
        <w:t xml:space="preserve"> </w:t>
      </w:r>
      <w:r>
        <w:rPr>
          <w:rFonts w:ascii="Arial" w:cs="Arial" w:eastAsia="Arial" w:hAnsi="Arial"/>
          <w:sz w:val="15"/>
          <w:szCs w:val="15"/>
          <w:color w:val="auto"/>
        </w:rPr>
        <w:t>create a direct response to an explicit call to action (e.g., visit our newly opened store). Ads are featured prominently where neighbors first look for what is happening on Nextdoor. Ads can also be customized (e.g., with neighborhood name and store location) to make them even more relevant.</w:t>
      </w:r>
    </w:p>
    <w:p>
      <w:pPr>
        <w:spacing w:after="0" w:line="74" w:lineRule="exact"/>
        <w:rPr>
          <w:rFonts w:ascii="Arial" w:cs="Arial" w:eastAsia="Arial" w:hAnsi="Arial"/>
          <w:sz w:val="15"/>
          <w:szCs w:val="15"/>
          <w:color w:val="auto"/>
        </w:rPr>
      </w:pPr>
    </w:p>
    <w:p>
      <w:pPr>
        <w:ind w:left="320" w:hanging="316"/>
        <w:spacing w:after="0" w:line="374" w:lineRule="auto"/>
        <w:tabs>
          <w:tab w:leader="none" w:pos="315"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In-App Digest and Email Digest: </w:t>
      </w:r>
      <w:r>
        <w:rPr>
          <w:rFonts w:ascii="Arial" w:cs="Arial" w:eastAsia="Arial" w:hAnsi="Arial"/>
          <w:sz w:val="15"/>
          <w:szCs w:val="15"/>
          <w:color w:val="auto"/>
        </w:rPr>
        <w:t>Advertisers can also use ads in the In-App Digest and Email Digest to create awareness among neighbors who</w:t>
      </w:r>
      <w:r>
        <w:rPr>
          <w:rFonts w:ascii="Arial" w:cs="Arial" w:eastAsia="Arial" w:hAnsi="Arial"/>
          <w:sz w:val="15"/>
          <w:szCs w:val="15"/>
          <w:b w:val="1"/>
          <w:bCs w:val="1"/>
          <w:color w:val="auto"/>
        </w:rPr>
        <w:t xml:space="preserve"> </w:t>
      </w:r>
      <w:r>
        <w:rPr>
          <w:rFonts w:ascii="Arial" w:cs="Arial" w:eastAsia="Arial" w:hAnsi="Arial"/>
          <w:sz w:val="15"/>
          <w:szCs w:val="15"/>
          <w:color w:val="auto"/>
        </w:rPr>
        <w:t>turn to their summary of top posts. Ads are highly visible, and neighborhood names and store locations can be customized by neighborhood.</w:t>
      </w:r>
    </w:p>
    <w:p>
      <w:pPr>
        <w:spacing w:after="0" w:line="45" w:lineRule="exact"/>
        <w:rPr>
          <w:rFonts w:ascii="Arial" w:cs="Arial" w:eastAsia="Arial" w:hAnsi="Arial"/>
          <w:sz w:val="15"/>
          <w:szCs w:val="15"/>
          <w:color w:val="auto"/>
        </w:rPr>
      </w:pPr>
    </w:p>
    <w:p>
      <w:pPr>
        <w:ind w:left="320" w:hanging="316"/>
        <w:spacing w:after="0" w:line="374" w:lineRule="auto"/>
        <w:tabs>
          <w:tab w:leader="none" w:pos="315"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For Sale &amp; Free: </w:t>
      </w:r>
      <w:r>
        <w:rPr>
          <w:rFonts w:ascii="Arial" w:cs="Arial" w:eastAsia="Arial" w:hAnsi="Arial"/>
          <w:sz w:val="15"/>
          <w:szCs w:val="15"/>
          <w:color w:val="auto"/>
        </w:rPr>
        <w:t>Advertisers can leverage ads in For Sale &amp; Free to drive action such as shop now. Our local marketplace is where neighbors with</w:t>
      </w:r>
      <w:r>
        <w:rPr>
          <w:rFonts w:ascii="Arial" w:cs="Arial" w:eastAsia="Arial" w:hAnsi="Arial"/>
          <w:sz w:val="15"/>
          <w:szCs w:val="15"/>
          <w:b w:val="1"/>
          <w:bCs w:val="1"/>
          <w:color w:val="auto"/>
        </w:rPr>
        <w:t xml:space="preserve"> </w:t>
      </w:r>
      <w:r>
        <w:rPr>
          <w:rFonts w:ascii="Arial" w:cs="Arial" w:eastAsia="Arial" w:hAnsi="Arial"/>
          <w:sz w:val="15"/>
          <w:szCs w:val="15"/>
          <w:color w:val="auto"/>
        </w:rPr>
        <w:t>high intent to buy will go. Ads are given a top spot in this contextually relevant space with the opportunity to customize by neighborhood.</w:t>
      </w:r>
    </w:p>
    <w:p>
      <w:pPr>
        <w:spacing w:after="0" w:line="45" w:lineRule="exact"/>
        <w:rPr>
          <w:rFonts w:ascii="Arial" w:cs="Arial" w:eastAsia="Arial" w:hAnsi="Arial"/>
          <w:sz w:val="15"/>
          <w:szCs w:val="15"/>
          <w:color w:val="auto"/>
        </w:rPr>
      </w:pPr>
    </w:p>
    <w:p>
      <w:pPr>
        <w:jc w:val="both"/>
        <w:ind w:left="320" w:hanging="316"/>
        <w:spacing w:after="0" w:line="258"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Search: </w:t>
      </w:r>
      <w:r>
        <w:rPr>
          <w:rFonts w:ascii="Arial" w:cs="Arial" w:eastAsia="Arial" w:hAnsi="Arial"/>
          <w:sz w:val="18"/>
          <w:szCs w:val="18"/>
          <w:color w:val="auto"/>
        </w:rPr>
        <w:t>Advertisers can bid on relevant categories that are aligned with their products and services. Neighbors use Nextdoor search to discover local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and get trusted recommendations from their neighbors. Offering solutions to our neighbors in this high intent experience gives advertisers a very efficient lower-funnel strategy to drive conversion.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 Formats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ad formats include, but are not limited to:</w:t>
      </w:r>
    </w:p>
    <w:p>
      <w:pPr>
        <w:spacing w:after="0" w:line="158" w:lineRule="exact"/>
        <w:rPr>
          <w:sz w:val="20"/>
          <w:szCs w:val="20"/>
          <w:color w:val="auto"/>
        </w:rPr>
      </w:pPr>
    </w:p>
    <w:p>
      <w:pPr>
        <w:ind w:left="320" w:hanging="316"/>
        <w:spacing w:after="0" w:line="271"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Sponsored Posts</w:t>
      </w:r>
      <w:r>
        <w:rPr>
          <w:rFonts w:ascii="Arial" w:cs="Arial" w:eastAsia="Arial" w:hAnsi="Arial"/>
          <w:sz w:val="18"/>
          <w:szCs w:val="18"/>
          <w:color w:val="auto"/>
        </w:rPr>
        <w:t>: An advertisement that features some combination of text (static or dynamic), images (including static, animated, or video), audio,</w:t>
      </w:r>
      <w:r>
        <w:rPr>
          <w:rFonts w:ascii="Arial" w:cs="Arial" w:eastAsia="Arial" w:hAnsi="Arial"/>
          <w:sz w:val="18"/>
          <w:szCs w:val="18"/>
          <w:b w:val="1"/>
          <w:bCs w:val="1"/>
          <w:color w:val="auto"/>
        </w:rPr>
        <w:t xml:space="preserve"> </w:t>
      </w:r>
      <w:r>
        <w:rPr>
          <w:rFonts w:ascii="Arial" w:cs="Arial" w:eastAsia="Arial" w:hAnsi="Arial"/>
          <w:sz w:val="18"/>
          <w:szCs w:val="18"/>
          <w:color w:val="auto"/>
        </w:rPr>
        <w:t>and URL links to a website where a customer can learn more about or buy goods or services.</w:t>
      </w:r>
    </w:p>
    <w:p>
      <w:pPr>
        <w:spacing w:after="0" w:line="115" w:lineRule="exact"/>
        <w:rPr>
          <w:rFonts w:ascii="Arial" w:cs="Arial" w:eastAsia="Arial" w:hAnsi="Arial"/>
          <w:sz w:val="18"/>
          <w:szCs w:val="18"/>
          <w:color w:val="auto"/>
        </w:rPr>
      </w:pPr>
    </w:p>
    <w:p>
      <w:pPr>
        <w:ind w:left="320" w:hanging="316"/>
        <w:spacing w:after="0" w:line="271"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Paid Search Listings: </w:t>
      </w:r>
      <w:r>
        <w:rPr>
          <w:rFonts w:ascii="Arial" w:cs="Arial" w:eastAsia="Arial" w:hAnsi="Arial"/>
          <w:sz w:val="18"/>
          <w:szCs w:val="18"/>
          <w:color w:val="auto"/>
        </w:rPr>
        <w:t>Advertisers can leverage paid search listings available in Nextdoor’s search ad marketplace to reach their desired audience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high-intent in a contextually relevant environment.</w:t>
      </w:r>
    </w:p>
    <w:p>
      <w:pPr>
        <w:spacing w:after="0" w:line="115" w:lineRule="exact"/>
        <w:rPr>
          <w:rFonts w:ascii="Arial" w:cs="Arial" w:eastAsia="Arial" w:hAnsi="Arial"/>
          <w:sz w:val="18"/>
          <w:szCs w:val="18"/>
          <w:color w:val="auto"/>
        </w:rPr>
      </w:pPr>
    </w:p>
    <w:p>
      <w:pPr>
        <w:jc w:val="both"/>
        <w:ind w:left="320" w:hanging="316"/>
        <w:spacing w:after="0" w:line="258"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Neighborhood Sponsorships: </w:t>
      </w:r>
      <w:r>
        <w:rPr>
          <w:rFonts w:ascii="Arial" w:cs="Arial" w:eastAsia="Arial" w:hAnsi="Arial"/>
          <w:sz w:val="18"/>
          <w:szCs w:val="18"/>
          <w:color w:val="auto"/>
        </w:rPr>
        <w:t>Advertisers leverage Neighborhood Sponsorships to drive awareness, build a positive reputation, and keep their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top of mind. With these sponsorships they create and distribute automated ad placements that regularly post to the Newsfeed in targeted ZIP codes.</w:t>
      </w:r>
    </w:p>
    <w:p>
      <w:pPr>
        <w:spacing w:after="0" w:line="127" w:lineRule="exact"/>
        <w:rPr>
          <w:rFonts w:ascii="Arial" w:cs="Arial" w:eastAsia="Arial" w:hAnsi="Arial"/>
          <w:sz w:val="18"/>
          <w:szCs w:val="18"/>
          <w:color w:val="auto"/>
        </w:rPr>
      </w:pPr>
    </w:p>
    <w:p>
      <w:pPr>
        <w:ind w:left="320" w:hanging="316"/>
        <w:spacing w:after="0" w:line="271"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Local Deals: </w:t>
      </w:r>
      <w:r>
        <w:rPr>
          <w:rFonts w:ascii="Arial" w:cs="Arial" w:eastAsia="Arial" w:hAnsi="Arial"/>
          <w:sz w:val="18"/>
          <w:szCs w:val="18"/>
          <w:color w:val="auto"/>
        </w:rPr>
        <w:t>Advertisers offering goods and services use Local Deals to target specific neighborhoods and drive sales. Designing specific timely</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discounts and promotions for specific neighborhoods engages and motivates their best customers, those nearby.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166370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10" w:name="page11"/>
    <w:bookmarkEnd w:id="10"/>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Ad Auction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Ads on the Nextdoor platform compete via an auction-based system. Our ad auction allows us to serve ads to neighbors when and where it matters most, while optimizing business outcomes for advertisers. Our auction system selects the best ad for each available ad impression, based on the likelihood of a desired action occurring and how much that action is worth to advertisers. The likelihood of the action occurring depends on a variety of factors, such as ad relevance and creative quality.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Measurement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Delivering and demonstrating value for our advertisers is a key objective for Nextdoor. We offer a variety of measurement solutions that are mapped to advertisers’ goals and objectives, and validate Nextdoor’s performance.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Kind Platform</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Nextdoor is a leading innovator in creating a kind platform that facilitates healthy neighborhood connections and conversations. We set clear guidelines and use a combination of people and technology to encourage the behaviors that support our purpose of cultivating a kinder world where everyone has a neighborhood they can rely 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day one, we’ve ensured that Nextdoor neighborhoods are made up of real people, nearby. We require all new neighbors to accept our Neighbor Pledge upon joining, in order to introduce our community guidelines and provide personal accountability for interactions on the platform. If these guidelines are violated, neighbors are able to report the inappropriate behavior or the person engaging in the said behavior.</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rely on a combination of technology and human review to effectively moderate the platform. We’ve always believed it’s important to incorporate local context into moderation decisions, which is why we’ve built our community volunteer programs to empower thoughtful neighborhood moderation. Review of potentially harmful content (e.g., misinformation, discrimination) and inappropriate neighbor behavior is always handled by Nextdoor staff to ensure consistency.</w:t>
      </w:r>
    </w:p>
    <w:p>
      <w:pPr>
        <w:spacing w:after="0" w:line="13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Volunteers on our Neighborhood Teams help make Nextdoor a welcoming platform for all neighbors. Volunteer moderators are active neighbors who have access to specialized tools, resources and training — including an online course designed to help recognize and address bias in online discourse — that they can utilize to promote compliance with our community guidelines. Additionally, our Welcome Team volunteers are alerted when a new neighbor joins, so they can reach out with a message of connection and belonging to establish rapport. Building community is at the core of Nextdoor.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investments in technology are focused on the following areas: Core Product Development, Business Solutions, and Cloud Infrastructure.</w:t>
      </w:r>
    </w:p>
    <w:p>
      <w:pPr>
        <w:spacing w:after="0" w:line="170" w:lineRule="exact"/>
        <w:rPr>
          <w:sz w:val="20"/>
          <w:szCs w:val="20"/>
          <w:color w:val="auto"/>
        </w:rPr>
      </w:pPr>
    </w:p>
    <w:p>
      <w:pPr>
        <w:ind w:left="640" w:hanging="316"/>
        <w:spacing w:after="0" w:line="252"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Core product development. </w:t>
      </w:r>
      <w:r>
        <w:rPr>
          <w:rFonts w:ascii="Arial" w:cs="Arial" w:eastAsia="Arial" w:hAnsi="Arial"/>
          <w:sz w:val="18"/>
          <w:szCs w:val="18"/>
          <w:color w:val="auto"/>
        </w:rPr>
        <w:t>Our product organization focuses on creating and improving products for all our neighbors in the countries in which we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around the world. Our platform powers hundreds of thousands of neighborhood networks and all the entities that form these neighborhoods across neighbors, businesses, and public agencies. Using machine-learning and proprietary technology, we enable locally relevant conversations, keeping neighbors informed and connected while nurturing civil and kind discussions with solutions like the Good Neighbor Pledge and the Kindness Reminder.</w:t>
      </w:r>
    </w:p>
    <w:p>
      <w:pPr>
        <w:spacing w:after="0" w:line="132" w:lineRule="exact"/>
        <w:rPr>
          <w:rFonts w:ascii="Arial" w:cs="Arial" w:eastAsia="Arial" w:hAnsi="Arial"/>
          <w:sz w:val="18"/>
          <w:szCs w:val="18"/>
          <w:color w:val="auto"/>
        </w:rPr>
      </w:pPr>
    </w:p>
    <w:p>
      <w:pPr>
        <w:ind w:left="640" w:right="4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Business solutions. </w:t>
      </w:r>
      <w:r>
        <w:rPr>
          <w:rFonts w:ascii="Arial" w:cs="Arial" w:eastAsia="Arial" w:hAnsi="Arial"/>
          <w:sz w:val="18"/>
          <w:szCs w:val="18"/>
          <w:color w:val="auto"/>
        </w:rPr>
        <w:t>Our proprietary Nextdoor Ad Manager (“</w:t>
      </w:r>
      <w:r>
        <w:rPr>
          <w:rFonts w:ascii="Arial" w:cs="Arial" w:eastAsia="Arial" w:hAnsi="Arial"/>
          <w:sz w:val="18"/>
          <w:szCs w:val="18"/>
          <w:i w:val="1"/>
          <w:iCs w:val="1"/>
          <w:color w:val="auto"/>
        </w:rPr>
        <w:t>NAM</w:t>
      </w:r>
      <w:r>
        <w:rPr>
          <w:rFonts w:ascii="Arial" w:cs="Arial" w:eastAsia="Arial" w:hAnsi="Arial"/>
          <w:sz w:val="18"/>
          <w:szCs w:val="18"/>
          <w:color w:val="auto"/>
        </w:rPr>
        <w:t>”) continues to be an area of expansion and powers a number of our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NAM is designed to be the heart of our ad tech stack, and to meet and exceed the demands of all of our customers, ranging from large brands to small business owners. Built with flexibility and modularity at its core, NAM consists of shared targeting, auctioning, machine learning, and delivery engines. NAM uses first-party data captured from the billions of daily actions on Nextdoor and combines it with proprietary neighborhood mapping data from our platform to create differentiated and hyperlocal audience targeting solutions. NAM also underpins NAC, which enables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19"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color w:val="auto"/>
        </w:rPr>
        <w:t>advertisers to quickly create ads, reach their most valuable audiences and optimize their campaigns in real time. Expansion of advertiser adoption of NAC will continue in 2022.</w:t>
      </w:r>
    </w:p>
    <w:p>
      <w:pPr>
        <w:spacing w:after="0" w:line="122" w:lineRule="exact"/>
        <w:rPr>
          <w:sz w:val="20"/>
          <w:szCs w:val="20"/>
          <w:color w:val="auto"/>
        </w:rPr>
      </w:pPr>
    </w:p>
    <w:p>
      <w:pPr>
        <w:ind w:left="640" w:right="80" w:hanging="316"/>
        <w:spacing w:after="0" w:line="274"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Cloud infrastructure. </w:t>
      </w:r>
      <w:r>
        <w:rPr>
          <w:rFonts w:ascii="Arial" w:cs="Arial" w:eastAsia="Arial" w:hAnsi="Arial"/>
          <w:sz w:val="17"/>
          <w:szCs w:val="17"/>
          <w:color w:val="auto"/>
        </w:rPr>
        <w:t>We continually invest in the underlying technology platform that powers all of our products and services. From its inception,</w:t>
      </w:r>
      <w:r>
        <w:rPr>
          <w:rFonts w:ascii="Arial" w:cs="Arial" w:eastAsia="Arial" w:hAnsi="Arial"/>
          <w:sz w:val="17"/>
          <w:szCs w:val="17"/>
          <w:b w:val="1"/>
          <w:bCs w:val="1"/>
          <w:color w:val="auto"/>
        </w:rPr>
        <w:t xml:space="preserve"> </w:t>
      </w:r>
      <w:r>
        <w:rPr>
          <w:rFonts w:ascii="Arial" w:cs="Arial" w:eastAsia="Arial" w:hAnsi="Arial"/>
          <w:sz w:val="17"/>
          <w:szCs w:val="17"/>
          <w:color w:val="auto"/>
        </w:rPr>
        <w:t>our infrastructure was built to be cloud-native, applying well-tested design patterns with distributed systems that are linearly scalable and highly flexible. We partner with Amazon Web Services (“</w:t>
      </w:r>
      <w:r>
        <w:rPr>
          <w:rFonts w:ascii="Arial" w:cs="Arial" w:eastAsia="Arial" w:hAnsi="Arial"/>
          <w:sz w:val="17"/>
          <w:szCs w:val="17"/>
          <w:i w:val="1"/>
          <w:iCs w:val="1"/>
          <w:color w:val="auto"/>
        </w:rPr>
        <w:t>AWS</w:t>
      </w:r>
      <w:r>
        <w:rPr>
          <w:rFonts w:ascii="Arial" w:cs="Arial" w:eastAsia="Arial" w:hAnsi="Arial"/>
          <w:sz w:val="17"/>
          <w:szCs w:val="17"/>
          <w:color w:val="auto"/>
        </w:rPr>
        <w:t>”) as our preferred cloud services provider to support our growing platform needs. We enable our engineering resources to focus on improving the products for our neighbors on Nextdoor.</w:t>
      </w:r>
    </w:p>
    <w:p>
      <w:pPr>
        <w:spacing w:after="0" w:line="114" w:lineRule="exact"/>
        <w:rPr>
          <w:rFonts w:ascii="Arial" w:cs="Arial" w:eastAsia="Arial" w:hAnsi="Arial"/>
          <w:sz w:val="17"/>
          <w:szCs w:val="17"/>
          <w:color w:val="auto"/>
        </w:rPr>
      </w:pPr>
    </w:p>
    <w:p>
      <w:pPr>
        <w:ind w:left="640" w:right="240" w:hanging="316"/>
        <w:spacing w:after="0" w:line="258"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Development principles. </w:t>
      </w:r>
      <w:r>
        <w:rPr>
          <w:rFonts w:ascii="Arial" w:cs="Arial" w:eastAsia="Arial" w:hAnsi="Arial"/>
          <w:sz w:val="18"/>
          <w:szCs w:val="18"/>
          <w:color w:val="auto"/>
        </w:rPr>
        <w:t>Execution velocity and autonomy are critical pillars of our engineering culture. We employ agile development processes</w:t>
      </w:r>
      <w:r>
        <w:rPr>
          <w:rFonts w:ascii="Arial" w:cs="Arial" w:eastAsia="Arial" w:hAnsi="Arial"/>
          <w:sz w:val="18"/>
          <w:szCs w:val="18"/>
          <w:b w:val="1"/>
          <w:bCs w:val="1"/>
          <w:color w:val="auto"/>
        </w:rPr>
        <w:t xml:space="preserve"> </w:t>
      </w:r>
      <w:r>
        <w:rPr>
          <w:rFonts w:ascii="Arial" w:cs="Arial" w:eastAsia="Arial" w:hAnsi="Arial"/>
          <w:sz w:val="18"/>
          <w:szCs w:val="18"/>
          <w:color w:val="auto"/>
        </w:rPr>
        <w:t>and techniques combined with continuous integration (“</w:t>
      </w:r>
      <w:r>
        <w:rPr>
          <w:rFonts w:ascii="Arial" w:cs="Arial" w:eastAsia="Arial" w:hAnsi="Arial"/>
          <w:sz w:val="18"/>
          <w:szCs w:val="18"/>
          <w:i w:val="1"/>
          <w:iCs w:val="1"/>
          <w:color w:val="auto"/>
        </w:rPr>
        <w:t>CI</w:t>
      </w:r>
      <w:r>
        <w:rPr>
          <w:rFonts w:ascii="Arial" w:cs="Arial" w:eastAsia="Arial" w:hAnsi="Arial"/>
          <w:sz w:val="18"/>
          <w:szCs w:val="18"/>
          <w:color w:val="auto"/>
        </w:rPr>
        <w:t>”) and continuous deployment (“</w:t>
      </w:r>
      <w:r>
        <w:rPr>
          <w:rFonts w:ascii="Arial" w:cs="Arial" w:eastAsia="Arial" w:hAnsi="Arial"/>
          <w:sz w:val="18"/>
          <w:szCs w:val="18"/>
          <w:i w:val="1"/>
          <w:iCs w:val="1"/>
          <w:color w:val="auto"/>
        </w:rPr>
        <w:t>CD</w:t>
      </w:r>
      <w:r>
        <w:rPr>
          <w:rFonts w:ascii="Arial" w:cs="Arial" w:eastAsia="Arial" w:hAnsi="Arial"/>
          <w:sz w:val="18"/>
          <w:szCs w:val="18"/>
          <w:color w:val="auto"/>
        </w:rPr>
        <w:t>”) to empower our teams to rapidly improve our products and the platforms that power them.</w:t>
      </w:r>
    </w:p>
    <w:p>
      <w:pPr>
        <w:spacing w:after="0" w:line="13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Leveraging data generated by usage of our products is a first principle in how we develop, test, and iterate to continually improve the user experience and inform our future product roadmap.</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we build our products to be global-ready and mobile first, with the majority of our neighbors using our iOS and Android mobile apps to interact with our products.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intellectual property and core technological innovations are integral components of our business. To establish and protect our intellectual property, proprietary rights and brand, we rely 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disclosure, and invention assignment agreements, and other contractual rights.</w:t>
      </w:r>
    </w:p>
    <w:p>
      <w:pPr>
        <w:spacing w:after="0" w:line="136"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5"/>
          <w:szCs w:val="15"/>
          <w:color w:val="auto"/>
        </w:rPr>
        <w:t xml:space="preserve">We own a trademark portfolio, including registered trademarks and applications in the United States and other countries, for the marks NEXTDOOR, </w:t>
      </w:r>
      <w:r>
        <w:rPr>
          <w:sz w:val="1"/>
          <w:szCs w:val="1"/>
          <w:color w:val="auto"/>
        </w:rPr>
        <w:drawing>
          <wp:inline distT="0" distB="0" distL="0" distR="0">
            <wp:extent cx="134620" cy="844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620" cy="84455"/>
                    </a:xfrm>
                    <a:prstGeom prst="rect">
                      <a:avLst/>
                    </a:prstGeom>
                    <a:noFill/>
                    <a:ln>
                      <a:noFill/>
                    </a:ln>
                  </pic:spPr>
                </pic:pic>
              </a:graphicData>
            </a:graphic>
          </wp:inline>
        </w:drawing>
      </w:r>
      <w:r>
        <w:rPr>
          <w:rFonts w:ascii="Arial" w:cs="Arial" w:eastAsia="Arial" w:hAnsi="Arial"/>
          <w:sz w:val="15"/>
          <w:szCs w:val="15"/>
          <w:color w:val="auto"/>
        </w:rPr>
        <w:t xml:space="preserve">, and </w:t>
      </w:r>
      <w:r>
        <w:rPr>
          <w:sz w:val="1"/>
          <w:szCs w:val="1"/>
          <w:color w:val="auto"/>
        </w:rPr>
        <w:drawing>
          <wp:inline distT="0" distB="0" distL="0" distR="0">
            <wp:extent cx="126365" cy="8445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6365" cy="84455"/>
                    </a:xfrm>
                    <a:prstGeom prst="rect">
                      <a:avLst/>
                    </a:prstGeom>
                    <a:noFill/>
                    <a:ln>
                      <a:noFill/>
                    </a:ln>
                  </pic:spPr>
                </pic:pic>
              </a:graphicData>
            </a:graphic>
          </wp:inline>
        </w:drawing>
      </w:r>
      <w:r>
        <w:rPr>
          <w:rFonts w:ascii="Arial" w:cs="Arial" w:eastAsia="Arial" w:hAnsi="Arial"/>
          <w:sz w:val="15"/>
          <w:szCs w:val="15"/>
          <w:color w:val="auto"/>
        </w:rPr>
        <w:t>. We have registered domain names that we use in or relate to our business, such as the &lt;nextdoor.com&gt; domain name and country code top level domain name equivalents. As of December 31, 2021, we had eight issued patents and three filed patent applications in the United States and certain other foreign countries. We cannot assure you that any of our patent applications will result in the issuance of a patent or whether the examination process will require us to narrow our claims. Additionally, our current and future patents, trademarks, and other intellectual property or other proprietary rights may be contested, circumvented or found unenforceable or invalid. We may not be able to obtain or maintain sufficient protection for or successfully enforce our intellectual property. We license content, technology, and other intellectual property from our partners, and rely on our license agreements with those partners to use the intellectual property. Third parties may assert claims related to intellectual property rights against our partners or us.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please see the section entitled “</w:t>
      </w:r>
      <w:r>
        <w:rPr>
          <w:rFonts w:ascii="Arial" w:cs="Arial" w:eastAsia="Arial" w:hAnsi="Arial"/>
          <w:sz w:val="18"/>
          <w:szCs w:val="18"/>
          <w:i w:val="1"/>
          <w:iCs w:val="1"/>
          <w:color w:val="auto"/>
        </w:rPr>
        <w:t>Risk Factors — Risks Related to Intellectual Property</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Culture and Core Values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Community is at the heart of Nextdoor and our growing community of employees is our lifeblood. Our employees have a wide range of experiences and perspectives, which fuel our purpose to cultivate a kinder world where everyone has a neighborhood they can rely 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company core values are:</w:t>
      </w:r>
    </w:p>
    <w:p>
      <w:pPr>
        <w:spacing w:after="0" w:line="164"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 trust everyday;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19"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 in community;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obsessed;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Think big;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Experiment and learn quickly;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 like an owner.</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live these core values through our approach to our people practices, summarized below.</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we had 602 full-time employees in the United States and in our international locations in Canada, the United Kingdom, the Netherlands, Ireland, France and Australia.</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Diversity, Equity, Inclusion and Belonging</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principles of Diversity, Equity, Inclusion and Belonging (“</w:t>
      </w:r>
      <w:r>
        <w:rPr>
          <w:rFonts w:ascii="Arial" w:cs="Arial" w:eastAsia="Arial" w:hAnsi="Arial"/>
          <w:sz w:val="18"/>
          <w:szCs w:val="18"/>
          <w:i w:val="1"/>
          <w:iCs w:val="1"/>
          <w:color w:val="auto"/>
        </w:rPr>
        <w:t>DEIB”</w:t>
      </w:r>
      <w:r>
        <w:rPr>
          <w:rFonts w:ascii="Arial" w:cs="Arial" w:eastAsia="Arial" w:hAnsi="Arial"/>
          <w:sz w:val="18"/>
          <w:szCs w:val="18"/>
          <w:color w:val="auto"/>
        </w:rPr>
        <w:t>) are woven into the very fabric of our organization and guide how we recruit, retain, and develop our talent.</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commitment to DEIB begins at the top and is underscored by the importance of making diverse perspectives a business imperative. This is reflected in the racially diverse and gendered-balanced leaders that make up our Board of Directors, management team, and employees, and who all share in our passion for contributing to and effecting change in communities globally.</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thrive on creating a dynamic, inclusive environment that aims to support and appreciate our employees as well as contribute to our award-winning company culture. We have ten active and engaged Employee Resource Groups that are aligned around dimensions of diversity, such as gender, ethnicity, sexual orientation or other shared attributes, which we believe help foster a sense of community, and a diverse and inclusive workplace.</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also offer training sessions to our employees to emphasize awareness in self, bias and privilege, and inclusion. Further, we focus our global recruitment efforts on ensuring that teams and hiring managers have the opportunity to consider qualified people from historically excluded groups for open roles. Moreover, we distribute a bi-annual employment engagement survey to measure our employees’ satisfaction at Nextdoor, including employees’ perspective on our current state of workplace inclusivity.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Learning, Development, and Engagement</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have a dedicated Talent Management and Development team that develops and delivers company-wide people programs and learning and development experiences to help our employees grow in their careers. The programs include performance feedback and promotion cycles and recognition through our “Nextdoor Values Awards”. Our learning and development experiences focus on onboarding new hires as well as offering workshops focused on skills development and compliance training. Additionally, we offer employees a development stipend that they can use towards their professional development (e.g., career coaches, books, classes, conferences, tuition, etc.).</w:t>
      </w:r>
    </w:p>
    <w:p>
      <w:pPr>
        <w:spacing w:after="0" w:line="12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are committed to making Nextdoor the best place to work by engaging with, and listening to, our community of employees. We maintain ongoing connection with our team members through weekly all hands meetings, our speaker series, and bi-annual engagement surveys.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Benefits and Perks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provide employees with competitive compensation packages that include base salaries, sales commissions for certain employees, and equity awards. Additional benefits programs (which vary by country and region) include a 401(k) Plan with a company match, healthcare, vision, and dental insurance benefits, health savings and flexible spending accounts, flexible paid time off, parental leave, and other benefits tailored to the specific needs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employees such as family forming, caregiving and mental health resources. We also support and encourage our employees to give back to our communities by giving each employee “Volunteer Time Off” to dedicate to the causes that matter most to them.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compete in almost every aspect of our business with companies that provide a variety of internet products, services, content, and online advertising, including Meta (including Facebook and Instagram), Alphabet (including Google), Pinterest, Snap, and Twitter. In addition, aspects of our platform compete with other products and services, including home services, classifieds, real estate, recommendations and search engines. We compete with these companies to attract, engage, and retain users and to attract and retain advertisers. As we introduce new products, as our platform evolves, or as other companies introduce new products and services, we may become subject to additional competition in other countries.</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While our industry is evolving rapidly and is becoming increasingly competitive, we believe that we compete effectively due to our singular focus on creating and strengthening our neighborhood networks, the size and engagement of our user base, our ability to provide neighbors with trusted information from a uniquely local perspective, our value proposition to advertisers including businesses and public agencies, and our powerful network effects.</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strengths are real people, hyperlocal proximity, trusted information, local perspective and instant distribution, each of which reinforce each other to create a strong competitive moat.</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additional information, see the section entitled “</w:t>
      </w:r>
      <w:r>
        <w:rPr>
          <w:rFonts w:ascii="Arial" w:cs="Arial" w:eastAsia="Arial" w:hAnsi="Arial"/>
          <w:sz w:val="18"/>
          <w:szCs w:val="18"/>
          <w:i w:val="1"/>
          <w:iCs w:val="1"/>
          <w:color w:val="auto"/>
        </w:rPr>
        <w:t>Risk Factors — Our business is highly competitive. Competition presents an ongoing threat to the</w:t>
      </w:r>
      <w:r>
        <w:rPr>
          <w:rFonts w:ascii="Arial" w:cs="Arial" w:eastAsia="Arial" w:hAnsi="Arial"/>
          <w:sz w:val="18"/>
          <w:szCs w:val="18"/>
          <w:color w:val="auto"/>
        </w:rPr>
        <w:t xml:space="preserve"> </w:t>
      </w:r>
      <w:r>
        <w:rPr>
          <w:rFonts w:ascii="Arial" w:cs="Arial" w:eastAsia="Arial" w:hAnsi="Arial"/>
          <w:sz w:val="18"/>
          <w:szCs w:val="18"/>
          <w:i w:val="1"/>
          <w:iCs w:val="1"/>
          <w:color w:val="auto"/>
        </w:rPr>
        <w:t>success of our business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subject to many U.S. federal and state and foreign laws, regulations and industry standards that involve matters central to our business, including laws and regulations that involve data privacy and data protection, intellectual property (including copyright and patent laws), content regulation, rights of publicity, advertising, marketing, health and safety, competition, protection of minors, consumer protection, taxation, anti-bribery, anti-money laundering and corruption, telecommunications, and securities. Our business may also be affected by the adoption of any new or existing laws or regulations or changes in laws or regulations that adversely affect the growth, popularity or use of the internet, or that significantly restrict or impose conditions on our ability to collect, store, augment, analyze, use and share data or increase consumer notice or consent requirements before a company can utilize cookies or other tracking technologies or that increase the liability of content platforms like us. These laws and regulations are constantly evolving and may be interpreted, applied, created, or amended, in a manner that could harm our business.</w:t>
      </w:r>
    </w:p>
    <w:p>
      <w:pPr>
        <w:spacing w:after="0" w:line="195"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7"/>
          <w:szCs w:val="17"/>
          <w:color w:val="auto"/>
        </w:rPr>
        <w:t>We rely on a variety of statutory and common-law frameworks and defenses relevant to the content available on our service, including the Digital Millennium Copyright Act (the “</w:t>
      </w:r>
      <w:r>
        <w:rPr>
          <w:rFonts w:ascii="Arial" w:cs="Arial" w:eastAsia="Arial" w:hAnsi="Arial"/>
          <w:sz w:val="17"/>
          <w:szCs w:val="17"/>
          <w:i w:val="1"/>
          <w:iCs w:val="1"/>
          <w:color w:val="auto"/>
        </w:rPr>
        <w:t>DMCA</w:t>
      </w:r>
      <w:r>
        <w:rPr>
          <w:rFonts w:ascii="Arial" w:cs="Arial" w:eastAsia="Arial" w:hAnsi="Arial"/>
          <w:sz w:val="17"/>
          <w:szCs w:val="17"/>
          <w:color w:val="auto"/>
        </w:rPr>
        <w:t>”), the Communications Decency Act (“</w:t>
      </w:r>
      <w:r>
        <w:rPr>
          <w:rFonts w:ascii="Arial" w:cs="Arial" w:eastAsia="Arial" w:hAnsi="Arial"/>
          <w:sz w:val="17"/>
          <w:szCs w:val="17"/>
          <w:i w:val="1"/>
          <w:iCs w:val="1"/>
          <w:color w:val="auto"/>
        </w:rPr>
        <w:t>CDA</w:t>
      </w:r>
      <w:r>
        <w:rPr>
          <w:rFonts w:ascii="Arial" w:cs="Arial" w:eastAsia="Arial" w:hAnsi="Arial"/>
          <w:sz w:val="17"/>
          <w:szCs w:val="17"/>
          <w:color w:val="auto"/>
        </w:rPr>
        <w:t>”) and the fair-use doctrine in the United States, and the Electronic Commerce Directive in the European Union. However, each of these statutes is subject to uncertain or evolving judicial interpretation and regulatory and legislative amendments. In addition, various countries around the world have adopted and pending legislation, including the forthcoming Digital Services Act (the “</w:t>
      </w:r>
      <w:r>
        <w:rPr>
          <w:rFonts w:ascii="Arial" w:cs="Arial" w:eastAsia="Arial" w:hAnsi="Arial"/>
          <w:sz w:val="17"/>
          <w:szCs w:val="17"/>
          <w:i w:val="1"/>
          <w:iCs w:val="1"/>
          <w:color w:val="auto"/>
        </w:rPr>
        <w:t>DSA</w:t>
      </w:r>
      <w:r>
        <w:rPr>
          <w:rFonts w:ascii="Arial" w:cs="Arial" w:eastAsia="Arial" w:hAnsi="Arial"/>
          <w:sz w:val="17"/>
          <w:szCs w:val="17"/>
          <w:color w:val="auto"/>
        </w:rPr>
        <w:t>”) in the European Union, that may impose additional obligations or liability on us associated with content uploaded by users to our platform.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receive, process, store, use, and share data, some of which contains personal information. We are therefore subject to U.S. federal, state, local, and foreign laws and regulations regarding data privacy and the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storage, sharing, use, processing, disclosure and protection of personal information and other data from users, employees or business partners, including the General Data Protection Regulation (“</w:t>
      </w:r>
      <w:r>
        <w:rPr>
          <w:rFonts w:ascii="Arial" w:cs="Arial" w:eastAsia="Arial" w:hAnsi="Arial"/>
          <w:sz w:val="17"/>
          <w:szCs w:val="17"/>
          <w:i w:val="1"/>
          <w:iCs w:val="1"/>
          <w:color w:val="auto"/>
        </w:rPr>
        <w:t>GDPR</w:t>
      </w:r>
      <w:r>
        <w:rPr>
          <w:rFonts w:ascii="Arial" w:cs="Arial" w:eastAsia="Arial" w:hAnsi="Arial"/>
          <w:sz w:val="17"/>
          <w:szCs w:val="17"/>
          <w:color w:val="auto"/>
        </w:rPr>
        <w:t>”) and the California Consumer Privacy Act (“</w:t>
      </w:r>
      <w:r>
        <w:rPr>
          <w:rFonts w:ascii="Arial" w:cs="Arial" w:eastAsia="Arial" w:hAnsi="Arial"/>
          <w:sz w:val="17"/>
          <w:szCs w:val="17"/>
          <w:i w:val="1"/>
          <w:iCs w:val="1"/>
          <w:color w:val="auto"/>
        </w:rPr>
        <w:t>CCPA</w:t>
      </w:r>
      <w:r>
        <w:rPr>
          <w:rFonts w:ascii="Arial" w:cs="Arial" w:eastAsia="Arial" w:hAnsi="Arial"/>
          <w:sz w:val="17"/>
          <w:szCs w:val="17"/>
          <w:color w:val="auto"/>
        </w:rPr>
        <w:t>”). Additionally, California recently enacted a new privacy law, the California Privacy Rights Act (“</w:t>
      </w:r>
      <w:r>
        <w:rPr>
          <w:rFonts w:ascii="Arial" w:cs="Arial" w:eastAsia="Arial" w:hAnsi="Arial"/>
          <w:sz w:val="17"/>
          <w:szCs w:val="17"/>
          <w:i w:val="1"/>
          <w:iCs w:val="1"/>
          <w:color w:val="auto"/>
        </w:rPr>
        <w:t>CPRA</w:t>
      </w:r>
      <w:r>
        <w:rPr>
          <w:rFonts w:ascii="Arial" w:cs="Arial" w:eastAsia="Arial" w:hAnsi="Arial"/>
          <w:sz w:val="17"/>
          <w:szCs w:val="17"/>
          <w:color w:val="auto"/>
        </w:rPr>
        <w:t>”), Virginia enacted the Virginia Consumer Data Protection Act (“</w:t>
      </w:r>
      <w:r>
        <w:rPr>
          <w:rFonts w:ascii="Arial" w:cs="Arial" w:eastAsia="Arial" w:hAnsi="Arial"/>
          <w:sz w:val="17"/>
          <w:szCs w:val="17"/>
          <w:i w:val="1"/>
          <w:iCs w:val="1"/>
          <w:color w:val="auto"/>
        </w:rPr>
        <w:t>VCDPA</w:t>
      </w:r>
      <w:r>
        <w:rPr>
          <w:rFonts w:ascii="Arial" w:cs="Arial" w:eastAsia="Arial" w:hAnsi="Arial"/>
          <w:sz w:val="17"/>
          <w:szCs w:val="17"/>
          <w:color w:val="auto"/>
        </w:rPr>
        <w:t>”), and Colorado enacted the Colorado Data Privacy Act (“</w:t>
      </w:r>
      <w:r>
        <w:rPr>
          <w:rFonts w:ascii="Arial" w:cs="Arial" w:eastAsia="Arial" w:hAnsi="Arial"/>
          <w:sz w:val="17"/>
          <w:szCs w:val="17"/>
          <w:i w:val="1"/>
          <w:iCs w:val="1"/>
          <w:color w:val="auto"/>
        </w:rPr>
        <w:t>CDPA</w:t>
      </w:r>
      <w:r>
        <w:rPr>
          <w:rFonts w:ascii="Arial" w:cs="Arial" w:eastAsia="Arial" w:hAnsi="Arial"/>
          <w:sz w:val="17"/>
          <w:szCs w:val="17"/>
          <w:color w:val="auto"/>
        </w:rPr>
        <w:t>”), which have similar requirements and obligations to the CCPA. There are also a number of legislative proposals recently enacted or pending before the U.S. Congress, various state legislatures and foreign governments concerning content regulation and data protection that could affect us, These and other laws and regulations that may be enacted, or new interpretation of existing laws and regulations, may require us to modify our data processing practices and policies and to incur substantial costs in order to comply.</w:t>
      </w:r>
    </w:p>
    <w:p>
      <w:pPr>
        <w:spacing w:after="0" w:line="13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Further, the impact of these laws and regulations may disproportionately affect our business in comparison to our peers in the technology sector that have greater resources.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communicate with lawmakers and regulators in the countries and regions in which we do business. We have a dedicated policy team that monitors legal and regulatory developments and works with policymakers and regulators around the world to help ensure that our perspective is heard in matters of importance to us.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see the section entitled “</w:t>
      </w:r>
      <w:r>
        <w:rPr>
          <w:rFonts w:ascii="Arial" w:cs="Arial" w:eastAsia="Arial" w:hAnsi="Arial"/>
          <w:sz w:val="18"/>
          <w:szCs w:val="18"/>
          <w:i w:val="1"/>
          <w:iCs w:val="1"/>
          <w:color w:val="auto"/>
        </w:rPr>
        <w:t>Risk Factors — Risks Related to Legal and Regulatory Matters</w:t>
      </w:r>
      <w:r>
        <w:rPr>
          <w:rFonts w:ascii="Arial" w:cs="Arial" w:eastAsia="Arial" w:hAnsi="Arial"/>
          <w:sz w:val="18"/>
          <w:szCs w:val="18"/>
          <w:color w:val="auto"/>
        </w:rPr>
        <w:t>.”</w:t>
      </w:r>
    </w:p>
    <w:p>
      <w:pPr>
        <w:spacing w:after="0" w:line="200" w:lineRule="exact"/>
        <w:rPr>
          <w:sz w:val="20"/>
          <w:szCs w:val="20"/>
          <w:color w:val="auto"/>
        </w:rPr>
      </w:pP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were initially a blank check or special purpose acquisition company called KVSB, incorporated in Delaware on January 29, 2021, formed for the purpose of effecting a merger, capital stock exchange, asset acquisition, stock purchase, reorganization or similar business combination with one or more businesses or entities. On November 5, 2021 (the “</w:t>
      </w:r>
      <w:r>
        <w:rPr>
          <w:rFonts w:ascii="Arial" w:cs="Arial" w:eastAsia="Arial" w:hAnsi="Arial"/>
          <w:sz w:val="18"/>
          <w:szCs w:val="18"/>
          <w:i w:val="1"/>
          <w:iCs w:val="1"/>
          <w:color w:val="auto"/>
        </w:rPr>
        <w:t>Closing Date</w:t>
      </w:r>
      <w:r>
        <w:rPr>
          <w:rFonts w:ascii="Arial" w:cs="Arial" w:eastAsia="Arial" w:hAnsi="Arial"/>
          <w:sz w:val="18"/>
          <w:szCs w:val="18"/>
          <w:color w:val="auto"/>
        </w:rPr>
        <w:t>”), KVSB consummated the transactions contemplated by the Agreement and Plan of Merger, dated July 6, 2021, as amended on September 30, 2021 (the “</w:t>
      </w:r>
      <w:r>
        <w:rPr>
          <w:rFonts w:ascii="Arial" w:cs="Arial" w:eastAsia="Arial" w:hAnsi="Arial"/>
          <w:sz w:val="18"/>
          <w:szCs w:val="18"/>
          <w:i w:val="1"/>
          <w:iCs w:val="1"/>
          <w:color w:val="auto"/>
        </w:rPr>
        <w:t>Merger Agreement”)</w:t>
      </w:r>
      <w:r>
        <w:rPr>
          <w:rFonts w:ascii="Arial" w:cs="Arial" w:eastAsia="Arial" w:hAnsi="Arial"/>
          <w:sz w:val="18"/>
          <w:szCs w:val="18"/>
          <w:color w:val="auto"/>
        </w:rPr>
        <w:t>, by and among KVSB, Lorelei Merger Sub Inc., a direct wholly owned subsidiary of KVSB (“</w:t>
      </w:r>
      <w:r>
        <w:rPr>
          <w:rFonts w:ascii="Arial" w:cs="Arial" w:eastAsia="Arial" w:hAnsi="Arial"/>
          <w:sz w:val="18"/>
          <w:szCs w:val="18"/>
          <w:i w:val="1"/>
          <w:iCs w:val="1"/>
          <w:color w:val="auto"/>
        </w:rPr>
        <w:t>Merger Sub</w:t>
      </w:r>
      <w:r>
        <w:rPr>
          <w:rFonts w:ascii="Arial" w:cs="Arial" w:eastAsia="Arial" w:hAnsi="Arial"/>
          <w:sz w:val="18"/>
          <w:szCs w:val="18"/>
          <w:color w:val="auto"/>
        </w:rPr>
        <w:t>”) and Nextdoor, Inc. (“</w:t>
      </w:r>
      <w:r>
        <w:rPr>
          <w:rFonts w:ascii="Arial" w:cs="Arial" w:eastAsia="Arial" w:hAnsi="Arial"/>
          <w:sz w:val="18"/>
          <w:szCs w:val="18"/>
          <w:i w:val="1"/>
          <w:iCs w:val="1"/>
          <w:color w:val="auto"/>
        </w:rPr>
        <w:t>Legacy Nextdoor</w:t>
      </w:r>
      <w:r>
        <w:rPr>
          <w:rFonts w:ascii="Arial" w:cs="Arial" w:eastAsia="Arial" w:hAnsi="Arial"/>
          <w:sz w:val="18"/>
          <w:szCs w:val="18"/>
          <w:color w:val="auto"/>
        </w:rPr>
        <w:t>”), with Legacy Nextdoor surviving as a wholly owned subsidiary of KVSB (the “</w:t>
      </w:r>
      <w:r>
        <w:rPr>
          <w:rFonts w:ascii="Arial" w:cs="Arial" w:eastAsia="Arial" w:hAnsi="Arial"/>
          <w:sz w:val="18"/>
          <w:szCs w:val="18"/>
          <w:i w:val="1"/>
          <w:iCs w:val="1"/>
          <w:color w:val="auto"/>
        </w:rPr>
        <w:t>Merger</w:t>
      </w:r>
      <w:r>
        <w:rPr>
          <w:rFonts w:ascii="Arial" w:cs="Arial" w:eastAsia="Arial" w:hAnsi="Arial"/>
          <w:sz w:val="18"/>
          <w:szCs w:val="18"/>
          <w:color w:val="auto"/>
        </w:rPr>
        <w:t>” and the transactions contemplated thereby, the “</w:t>
      </w:r>
      <w:r>
        <w:rPr>
          <w:rFonts w:ascii="Arial" w:cs="Arial" w:eastAsia="Arial" w:hAnsi="Arial"/>
          <w:sz w:val="18"/>
          <w:szCs w:val="18"/>
          <w:i w:val="1"/>
          <w:iCs w:val="1"/>
          <w:color w:val="auto"/>
        </w:rPr>
        <w:t>Business Combination</w:t>
      </w:r>
      <w:r>
        <w:rPr>
          <w:rFonts w:ascii="Arial" w:cs="Arial" w:eastAsia="Arial" w:hAnsi="Arial"/>
          <w:sz w:val="18"/>
          <w:szCs w:val="18"/>
          <w:color w:val="auto"/>
        </w:rPr>
        <w:t>”). Legacy Nextdoor was incorporated in Delaware on December 4, 2007. Following the consummation of the Business Combination on the Closing Date, KVSB changed its name from Khosla Ventures Acquisition Co. II to Nextdoor Holdings, Inc.</w:t>
      </w:r>
    </w:p>
    <w:p>
      <w:pPr>
        <w:spacing w:after="0" w:line="1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principal executive offices are located at 420 Taylor Street, San Francisco, California 94012 and our telephone number is (415) 344-0333. Our website address is https://www.nextdoor.com. The information contained on, or that can be accessed through, our website is not incorporated by reference into, and is not a part of, this Annual Report. Investors should not rely on any such information in deciding whether to purchase our Class A common stock.</w:t>
      </w:r>
    </w:p>
    <w:p>
      <w:pPr>
        <w:spacing w:after="0" w:line="8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Nextdoor, the Nextdoor logo, and other registered or common law trade names, trademarks, or service marks of Nextdoor appearing in this Annual Report are the property of Nextdoor. This Annual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Annual Report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Available Information</w:t>
      </w:r>
    </w:p>
    <w:p>
      <w:pPr>
        <w:spacing w:after="0" w:line="15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5"/>
          <w:szCs w:val="15"/>
          <w:color w:val="auto"/>
        </w:rPr>
        <w:t>Our reports filed with or furnished to the SEC pursuant to Sections 13(a) and 15(d) of the Securities Exchange Act of 1934, as amended (the “</w:t>
      </w:r>
      <w:r>
        <w:rPr>
          <w:rFonts w:ascii="Arial" w:cs="Arial" w:eastAsia="Arial" w:hAnsi="Arial"/>
          <w:sz w:val="15"/>
          <w:szCs w:val="15"/>
          <w:i w:val="1"/>
          <w:iCs w:val="1"/>
          <w:color w:val="auto"/>
        </w:rPr>
        <w:t>Exchange</w:t>
      </w:r>
      <w:r>
        <w:rPr>
          <w:rFonts w:ascii="Arial" w:cs="Arial" w:eastAsia="Arial" w:hAnsi="Arial"/>
          <w:sz w:val="15"/>
          <w:szCs w:val="15"/>
          <w:color w:val="auto"/>
        </w:rPr>
        <w:t xml:space="preserve"> </w:t>
      </w:r>
      <w:r>
        <w:rPr>
          <w:rFonts w:ascii="Arial" w:cs="Arial" w:eastAsia="Arial" w:hAnsi="Arial"/>
          <w:sz w:val="15"/>
          <w:szCs w:val="15"/>
          <w:i w:val="1"/>
          <w:iCs w:val="1"/>
          <w:color w:val="auto"/>
        </w:rPr>
        <w:t>Act</w:t>
      </w:r>
      <w:r>
        <w:rPr>
          <w:rFonts w:ascii="Arial" w:cs="Arial" w:eastAsia="Arial" w:hAnsi="Arial"/>
          <w:sz w:val="15"/>
          <w:szCs w:val="15"/>
          <w:color w:val="auto"/>
        </w:rPr>
        <w:t>”), are available, free of charge, on our Investor Relations website at https://investors.nextdoor.com/ as soon as reasonably practicable after we</w:t>
      </w:r>
      <w:r>
        <w:rPr>
          <w:rFonts w:ascii="Arial" w:cs="Arial" w:eastAsia="Arial" w:hAnsi="Arial"/>
          <w:sz w:val="15"/>
          <w:szCs w:val="15"/>
          <w:i w:val="1"/>
          <w:iCs w:val="1"/>
          <w:color w:val="auto"/>
        </w:rPr>
        <w:t xml:space="preserve"> </w:t>
      </w:r>
      <w:r>
        <w:rPr>
          <w:rFonts w:ascii="Arial" w:cs="Arial" w:eastAsia="Arial" w:hAnsi="Arial"/>
          <w:sz w:val="15"/>
          <w:szCs w:val="15"/>
          <w:color w:val="auto"/>
        </w:rPr>
        <w:t>electronically file such material with, or furnish it to, the SEC. The SEC maintains a website at http://www.sec.gov that contains reports, and other information regarding us and other companies that file materials with the SEC electronically. Copies of our reports on Form 10-K, Forms 10-Q, and Forms 8-K, and amendments to those reports may also be obtained, free of charge, electronically through our Investor Relations website located at the web address appearing above as soon as reasonably practicable after we file such material with, or furnish it to, the SEC. We use our Investor Relations website as a means of disclosing material information and for complying with our disclosure obligations under Regulation FD. Accordingly, investors should monitor our Investor Relations website, in addition to following our press releases, SEC filings, and public conference calls and webcasts.</w:t>
      </w:r>
    </w:p>
    <w:p>
      <w:pPr>
        <w:spacing w:after="0" w:line="182"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5"/>
          <w:szCs w:val="15"/>
          <w:color w:val="auto"/>
        </w:rPr>
        <w:t>The content of our websites and information that we may post on or provide to online and social media channels and information that can be accessed through our websites or these online and social media channels are not incorporated by reference into this Annual Report or in any other report or document we file with the SEC, and any references to our websites or these online and social media channels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Investing in our Class A common stock involves risks. You should carefully consider the risks and uncertainties described below, together with all of the other information in this Annual Report, including the section titled “Management’s Discussion and Analysis of Financial Condition and Results of Operations” and our consolidated financial statements and related notes, before deciding whether to purchase shares of our Class A common stock. You should also carefully consider the following risk factors in addition to the other information included in this Annual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0" w:lineRule="exact"/>
        <w:rPr>
          <w:sz w:val="20"/>
          <w:szCs w:val="20"/>
          <w:color w:val="auto"/>
        </w:rPr>
      </w:pPr>
    </w:p>
    <w:p>
      <w:pPr>
        <w:ind w:right="580"/>
        <w:spacing w:after="0" w:line="365" w:lineRule="auto"/>
        <w:rPr>
          <w:sz w:val="20"/>
          <w:szCs w:val="20"/>
          <w:color w:val="auto"/>
        </w:rPr>
      </w:pPr>
      <w:r>
        <w:rPr>
          <w:rFonts w:ascii="Arial" w:cs="Arial" w:eastAsia="Arial" w:hAnsi="Arial"/>
          <w:sz w:val="15"/>
          <w:szCs w:val="15"/>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5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continue to grow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maintain our current rate of growth, which is a risk characteristic often shared by companies with limited operating histories participating in rapidly evolving industries.</w:t>
      </w:r>
    </w:p>
    <w:p>
      <w:pPr>
        <w:spacing w:after="0" w:line="12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There can be no assurance that we will successfully increase monetization on our platform or that we will sustain or increase the current growth rate of our revenue.</w:t>
      </w:r>
    </w:p>
    <w:p>
      <w:pPr>
        <w:spacing w:after="0" w:line="12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Substantially all of our revenue is currently generated from the sales of advertising on our platform in the form of online display advertisements, which include sponsored posts, local deals, and neighborhood sponsorships.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competitive return relative to alternatives. Our ability to attract and retain advertisers, and ultimately generate revenue, may be adversely affected by a number of factors, including but not limited to:</w:t>
      </w:r>
    </w:p>
    <w:p>
      <w:pPr>
        <w:spacing w:after="0" w:line="128"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neighbor and advertiser engagement on the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slower than anticipated growth in, or lack of growth or decreases in, the number of neighbors on the platform;</w:t>
      </w:r>
    </w:p>
    <w:p>
      <w:pPr>
        <w:spacing w:after="0" w:line="164" w:lineRule="exact"/>
        <w:rPr>
          <w:rFonts w:ascii="Arial" w:cs="Arial" w:eastAsia="Arial" w:hAnsi="Arial"/>
          <w:sz w:val="18"/>
          <w:szCs w:val="18"/>
          <w:color w:val="auto"/>
        </w:rPr>
      </w:pPr>
    </w:p>
    <w:p>
      <w:pPr>
        <w:ind w:left="640" w:right="16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offering more attractive pricing for advertisements that we are unable or unwilling to match;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the quantity or quality of advertisements shown to neighbors;</w:t>
      </w:r>
    </w:p>
    <w:p>
      <w:pPr>
        <w:spacing w:after="0" w:line="164"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demographics of our neighbors that make us less attractive to advertisers;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neighbors who exercise opt-out rights under privacy laws to restrict the advertisements they receive;</w:t>
      </w:r>
    </w:p>
    <w:p>
      <w:pPr>
        <w:spacing w:after="0" w:line="164" w:lineRule="exact"/>
        <w:rPr>
          <w:rFonts w:ascii="Arial" w:cs="Arial" w:eastAsia="Arial" w:hAnsi="Arial"/>
          <w:sz w:val="18"/>
          <w:szCs w:val="18"/>
          <w:color w:val="auto"/>
        </w:rPr>
      </w:pPr>
    </w:p>
    <w:p>
      <w:pPr>
        <w:ind w:left="640" w:right="66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neighbors that upload content or take other actions that are deemed to be hostile, inappropriate, illicit, objectionable, illegal, or otherwise not consistent with the brand of our advertisers;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government actions or legislative, regulatory, or other legal developments;</w:t>
      </w:r>
    </w:p>
    <w:p>
      <w:pPr>
        <w:spacing w:after="0" w:line="164"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neighbor behavior or changes to the platform that may affect, among other things, the safety and security of other neighbors or the cultivation of a positive and inclusive online community;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media reports or other negative publicity involving us;</w:t>
      </w:r>
    </w:p>
    <w:p>
      <w:pPr>
        <w:spacing w:after="0" w:line="164" w:lineRule="exact"/>
        <w:rPr>
          <w:rFonts w:ascii="Arial" w:cs="Arial" w:eastAsia="Arial" w:hAnsi="Arial"/>
          <w:sz w:val="18"/>
          <w:szCs w:val="18"/>
          <w:color w:val="auto"/>
        </w:rPr>
      </w:pPr>
    </w:p>
    <w:p>
      <w:pPr>
        <w:ind w:left="640" w:right="20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implementing or enforcing policies, such as advertising policies, community guidelines, and other terms or service that are perceived negatively by advertisers;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improve our products for advertisers;</w:t>
      </w:r>
    </w:p>
    <w:p>
      <w:pPr>
        <w:spacing w:after="0" w:line="164" w:lineRule="exact"/>
        <w:rPr>
          <w:rFonts w:ascii="Arial" w:cs="Arial" w:eastAsia="Arial" w:hAnsi="Arial"/>
          <w:sz w:val="18"/>
          <w:szCs w:val="18"/>
          <w:color w:val="auto"/>
        </w:rPr>
      </w:pPr>
    </w:p>
    <w:p>
      <w:pPr>
        <w:ind w:left="640" w:right="30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in, or reductions to, the availability, accuracy, utility, and security of analytics and measurement solutions offered by us or third parties that are intended to demonstrate the value of our advertisements to advertisers;</w:t>
      </w:r>
    </w:p>
    <w:p>
      <w:pPr>
        <w:spacing w:after="0" w:line="127" w:lineRule="exact"/>
        <w:rPr>
          <w:rFonts w:ascii="Arial" w:cs="Arial" w:eastAsia="Arial" w:hAnsi="Arial"/>
          <w:sz w:val="18"/>
          <w:szCs w:val="18"/>
          <w:color w:val="auto"/>
        </w:rPr>
      </w:pPr>
    </w:p>
    <w:p>
      <w:pPr>
        <w:ind w:left="640" w:right="20" w:hanging="316"/>
        <w:spacing w:after="0" w:line="271"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to our data privacy practices that affect the type or manner of advertising that we are able to provide, including as a result of changes to laws, regulations or regulatory actions, such as the GDPR, European Directive 2002/58/EC (the “</w:t>
      </w:r>
      <w:r>
        <w:rPr>
          <w:rFonts w:ascii="Arial" w:cs="Arial" w:eastAsia="Arial" w:hAnsi="Arial"/>
          <w:sz w:val="17"/>
          <w:szCs w:val="17"/>
          <w:i w:val="1"/>
          <w:iCs w:val="1"/>
          <w:color w:val="auto"/>
        </w:rPr>
        <w:t>ePrivacy Directive</w:t>
      </w:r>
      <w:r>
        <w:rPr>
          <w:rFonts w:ascii="Arial" w:cs="Arial" w:eastAsia="Arial" w:hAnsi="Arial"/>
          <w:sz w:val="17"/>
          <w:szCs w:val="17"/>
          <w:color w:val="auto"/>
        </w:rPr>
        <w:t>”), UK General Data Protection Regulation (“</w:t>
      </w:r>
      <w:r>
        <w:rPr>
          <w:rFonts w:ascii="Arial" w:cs="Arial" w:eastAsia="Arial" w:hAnsi="Arial"/>
          <w:sz w:val="17"/>
          <w:szCs w:val="17"/>
          <w:i w:val="1"/>
          <w:iCs w:val="1"/>
          <w:color w:val="auto"/>
        </w:rPr>
        <w:t>UK GDPR</w:t>
      </w:r>
      <w:r>
        <w:rPr>
          <w:rFonts w:ascii="Arial" w:cs="Arial" w:eastAsia="Arial" w:hAnsi="Arial"/>
          <w:sz w:val="17"/>
          <w:szCs w:val="17"/>
          <w:color w:val="auto"/>
        </w:rPr>
        <w:t>”), UK Data Protection Act 2018, the CCPA, Nevada’s Online Privacy Law (“</w:t>
      </w:r>
      <w:r>
        <w:rPr>
          <w:rFonts w:ascii="Arial" w:cs="Arial" w:eastAsia="Arial" w:hAnsi="Arial"/>
          <w:sz w:val="17"/>
          <w:szCs w:val="17"/>
          <w:i w:val="1"/>
          <w:iCs w:val="1"/>
          <w:color w:val="auto"/>
        </w:rPr>
        <w:t>Nevada Privacy Law</w:t>
      </w:r>
      <w:r>
        <w:rPr>
          <w:rFonts w:ascii="Arial" w:cs="Arial" w:eastAsia="Arial" w:hAnsi="Arial"/>
          <w:sz w:val="17"/>
          <w:szCs w:val="17"/>
          <w:color w:val="auto"/>
        </w:rPr>
        <w:t>”), the CDPA, the VCPDA, the CPRA, and other newly enacted U.S. state privacy laws, or changes to third-party policies; and</w:t>
      </w:r>
    </w:p>
    <w:p>
      <w:pPr>
        <w:spacing w:after="0" w:line="124" w:lineRule="exact"/>
        <w:rPr>
          <w:rFonts w:ascii="Arial" w:cs="Arial" w:eastAsia="Arial" w:hAnsi="Arial"/>
          <w:sz w:val="17"/>
          <w:szCs w:val="17"/>
          <w:color w:val="auto"/>
        </w:rPr>
      </w:pPr>
    </w:p>
    <w:p>
      <w:pPr>
        <w:ind w:left="640" w:right="4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among specific types of advertisers or within particular geographies.</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From time to time, certain of these factors have adversely affected our revenue to varying degrees. For example, during the second quarter of 2020, advertisers reduced their advertising spend with us as a result of the impact of the COVID-19 pandemic on global macroeconomic conditions and on the advertising industry in general. The occurrence of any of these or other factors in the future could result in a reduction in demand for our advertisements, which may reduce the prices we receive for our advertisements, or cause advertisers to stop or reduce their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13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93"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launched its Intelligent Tracking Prevention (“</w:t>
      </w:r>
      <w:r>
        <w:rPr>
          <w:rFonts w:ascii="Arial" w:cs="Arial" w:eastAsia="Arial" w:hAnsi="Arial"/>
          <w:sz w:val="15"/>
          <w:szCs w:val="15"/>
          <w:i w:val="1"/>
          <w:iCs w:val="1"/>
          <w:color w:val="auto"/>
        </w:rPr>
        <w:t>ITP</w:t>
      </w:r>
      <w:r>
        <w:rPr>
          <w:rFonts w:ascii="Arial" w:cs="Arial" w:eastAsia="Arial" w:hAnsi="Arial"/>
          <w:sz w:val="15"/>
          <w:szCs w:val="15"/>
          <w:color w:val="auto"/>
        </w:rPr>
        <w:t>”)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limit cross-site and cross-device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Similarly, Google has announced that it plans to stop supporting third-party cookies in its Google Chrome browser and, more recently, that it intends to limit access by mobile applications to advertising identifiers on its Android devices. These web and mobile browser developers have also implemented and may continue to implement changes and restrictions in browser or device functionality that limit our ability to communicate with or understand the identity of our neighbors.</w:t>
      </w:r>
    </w:p>
    <w:p>
      <w:pPr>
        <w:spacing w:after="0" w:line="3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advertisers may decrease or eliminate allocations of their budgets or resources to our platform, which could harm our business, operating results, and financial condition.</w:t>
      </w:r>
    </w:p>
    <w:p>
      <w:pPr>
        <w:spacing w:after="0" w:line="12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the current growth rate, if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 Moreover, we are unable to predict the continued impact of the COVID-19 pandemic on neighbor growth and engagement with any certainty, and we expect these trends to continue to be subject to volatility.</w:t>
      </w:r>
    </w:p>
    <w:p>
      <w:pPr>
        <w:spacing w:after="0" w:line="10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neighbor base slows or reverses, we may be required to incur significantly higher marketing expenses than we currently anticipate in order to acquire new neighbors or retain current neighbors.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are many factors that could negatively impact our ability to grow, retain and engage current and prospective neighbors, including but not limited to:</w:t>
      </w:r>
    </w:p>
    <w:p>
      <w:pPr>
        <w:spacing w:after="0" w:line="199"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neighbors increasing their engagement with competitor’s platforms, products or services instead of, or more frequently than, our platform;</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amount of time neighbors spend across all applications and platforms, including our platform;</w:t>
      </w:r>
    </w:p>
    <w:p>
      <w:pPr>
        <w:spacing w:after="0" w:line="164" w:lineRule="exact"/>
        <w:rPr>
          <w:rFonts w:ascii="Arial" w:cs="Arial" w:eastAsia="Arial" w:hAnsi="Arial"/>
          <w:sz w:val="18"/>
          <w:szCs w:val="18"/>
          <w:color w:val="auto"/>
        </w:rPr>
      </w:pPr>
    </w:p>
    <w:p>
      <w:pPr>
        <w:ind w:left="640" w:right="4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failing to introduce platform enhancements that neighbors find engaging or if we introduce new features, terms, policies or procedures, or make changes to our platform, that are not favorably received by current or prospective neighbors;</w:t>
      </w:r>
    </w:p>
    <w:p>
      <w:pPr>
        <w:spacing w:after="0" w:line="127" w:lineRule="exact"/>
        <w:rPr>
          <w:rFonts w:ascii="Arial" w:cs="Arial" w:eastAsia="Arial" w:hAnsi="Arial"/>
          <w:sz w:val="18"/>
          <w:szCs w:val="18"/>
          <w:color w:val="auto"/>
        </w:rPr>
      </w:pPr>
    </w:p>
    <w:p>
      <w:pPr>
        <w:ind w:left="640" w:right="30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or other problems frustrating the neighbor experience, such as problems that prevent us from delivering our service in a fast and reliable manner;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neighbors having difficulty installing, updating or otherwise accessing the Nextdoor platform on mobile devices through the app or web browsers;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neighbor behavior on the Nextdoor platform changing, including a decrease in the quality and frequency of content shares on the platform;</w:t>
      </w:r>
    </w:p>
    <w:p>
      <w:pPr>
        <w:spacing w:after="0" w:line="175" w:lineRule="exact"/>
        <w:rPr>
          <w:rFonts w:ascii="Arial" w:cs="Arial" w:eastAsia="Arial" w:hAnsi="Arial"/>
          <w:sz w:val="17"/>
          <w:szCs w:val="17"/>
          <w:color w:val="auto"/>
        </w:rPr>
      </w:pPr>
    </w:p>
    <w:p>
      <w:pPr>
        <w:ind w:left="640" w:right="2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mandated by legislation, government and regulatory authorities, or litigation that adversely impact our platform or neighbors;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 parties preventing their content from being displayed on the Nextdoor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we may make to how we promote different features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19" w:lineRule="exact"/>
        <w:rPr>
          <w:sz w:val="20"/>
          <w:szCs w:val="20"/>
          <w:color w:val="auto"/>
        </w:rPr>
      </w:pPr>
    </w:p>
    <w:p>
      <w:pPr>
        <w:ind w:left="640" w:right="56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initiatives designed to attract and retain neighbors and engagement are unsuccessful or discontinued, whether as a result of actions by us, third parties, or otherwise;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other partners and companies in the industry are the subject of adverse media reports or other negative publicity;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are unable to combat spam, harassment, cyberbullying or other hostile, inappropriate, abusive or offensive content or usage on our platform; or</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cannot preserve and enhance our brand and reputation as a trusted neighborhood networking community.</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Competition presents an ongoing threat to the success of our business.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compete in almost every aspect of our business with companies that provide a variety of internet products, services, content, and online advertising, including from Meta (including Facebook and Instagram), Alphabet (including Google), Pinterest, Snap, and Twitter. In addition, aspects of our platform compete with other products and services, including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target and measure advertisements effectively. Similarly, Google recently announced that it intends to limit access by mobile applications to advertising identifiers on its Android devices.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w:t>
      </w:r>
    </w:p>
    <w:p>
      <w:pPr>
        <w:spacing w:after="0" w:line="164"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popularity, usefulness, ease of use, performance, and reliability of our platform compared to our competitors’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composition of our neighbor base;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engagement of neighbors with our platform and competing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first- and third-party data available to us relative to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advertisers who use our free or paid advertisements services;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market acceptance of developments and enhancements to our platform or our competitors’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safety and security efforts and our ability to protect neighbor data and to provide neighbors with control over their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distribute our platform to new and existing neighbors;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effectively monetize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successful implementation of platform changes, such as the migration to our proprietary ad server;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size, format, quality, and relative prominence of the advertisements displayed by us or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64" w:lineRule="exact"/>
        <w:rPr>
          <w:rFonts w:ascii="Arial" w:cs="Arial" w:eastAsia="Arial" w:hAnsi="Arial"/>
          <w:sz w:val="18"/>
          <w:szCs w:val="18"/>
          <w:color w:val="auto"/>
        </w:rPr>
      </w:pPr>
    </w:p>
    <w:p>
      <w:pPr>
        <w:ind w:left="640" w:right="240" w:hanging="316"/>
        <w:spacing w:after="0" w:line="26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marketing and selling efforts, including our ability to measure the effectiveness of our advertisements and to provide advertisers with a compelling return on their investments;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publisher interest in integrating their content with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mandated by legislation, regulatory authorities, or litigation, some of which may have a disproportionate effect on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 particularly software engineers, designers, and managers;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cost-effectively manage and grow our operations;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and brand strength relative to those of our competitors.</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12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reputation and ability to attract, retain, and serve our neighbors and to scale our product offerings is dependent upon the reliable performance of our platform and our underlying technical infrastructure. We have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conflict in Ukraine),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majority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3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substantial portion of our network infrastructure is provided by third parties, including AWS.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135" w:lineRule="exact"/>
        <w:rPr>
          <w:sz w:val="20"/>
          <w:szCs w:val="20"/>
          <w:color w:val="auto"/>
        </w:rPr>
      </w:pPr>
    </w:p>
    <w:p>
      <w:pPr>
        <w:ind w:right="100"/>
        <w:spacing w:after="0" w:line="365" w:lineRule="auto"/>
        <w:rPr>
          <w:sz w:val="20"/>
          <w:szCs w:val="20"/>
          <w:color w:val="auto"/>
        </w:rPr>
      </w:pPr>
      <w:r>
        <w:rPr>
          <w:rFonts w:ascii="Arial" w:cs="Arial" w:eastAsia="Arial" w:hAnsi="Arial"/>
          <w:sz w:val="15"/>
          <w:szCs w:val="15"/>
          <w:b w:val="1"/>
          <w:bCs w:val="1"/>
          <w:i w:val="1"/>
          <w:iCs w:val="1"/>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experienced rapid growth in recent periods and expect to continue to invest broadly across our organization to support our growth. Our revenue has grown from $123.3 million for the year ended December 31, 2020 to $192.2 million for the year ended December 31, 2021. Weekly Active Users on our platform have grown from 27.1 million for the three months ended December 31, 2020 to 35.9 million for the three months ended December 31, 2021. Moreover, the number of our full-time employees has grown from 481 as of December 31, 2020 to 602 as of December 31, 2021.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spacing w:after="0" w:line="14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plan to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1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Further, as we continue to grow, our business becomes increasingly complex and requires more resources. To manage any future growth effectively, we must continue to improve and expand our information technology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financial infrastructure, our operating and administrative systems and controls, and our ability to manage headcount, capital, and processes in an efficient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the COVID-19 pandemic.</w:t>
      </w:r>
    </w:p>
    <w:p>
      <w:pPr>
        <w:spacing w:after="0" w:line="14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13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9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99"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3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10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0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negatively affects our business from time to time.</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2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b w:val="1"/>
          <w:bCs w:val="1"/>
          <w:i w:val="1"/>
          <w:iCs w:val="1"/>
          <w:color w:val="auto"/>
        </w:rPr>
        <w:t>Health epidemics, including the COVID-19 pandemic have had or could have an adverse impact on our business, operations, and the markets and communities in which we, our partners and our customers operate. In addition, during the COVD-19 pandemic, we experienced an increase in neighbor growth and engagement and there is no guarantee that we will be able to maintain our neighbor growth and engagement as the COVID-19 pandemic subsides.</w:t>
      </w:r>
    </w:p>
    <w:p>
      <w:pPr>
        <w:spacing w:after="0" w:line="13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global COVID-19 pandemic outbreak and the various attempts to contain it have created significant volatility, uncertainty and economic disruption. It has adversely affected the broader economies, financial markets, and overall demand for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1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a result of the COVID-19 pandemic, we temporarily closed all our offices (including our corporate headquarters) globally and implemented certain travel restrictions, both of which temporarily disrupted how we operate our business, including limiting certain of our sales and marketing plans and requiring us to manage a significant majority of our workforce remotely. Although we had begun the process of reopening certain of our offices in a phased manner, the continuing uncertainty around COVID-19 and its variants is causing us to re-examine and adjust our approach to office reopening. Our efforts to reopen our offices safely may not be successful, could expose our employees to health risks, and us to associated liability, and could involve additional financial burdens.</w:t>
      </w:r>
    </w:p>
    <w:p>
      <w:pPr>
        <w:spacing w:after="0" w:line="9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Moreover, as a result of the COVID-19 pandemic, the ability and willingness of advertisers to spend on the Nextdoor platform has fluctuated. For example, during the second quarter of 2020, advertisers reduced their advertising spend with us as a result of the impact of the COVID-19 pandemic on global macroeconomic conditions and on the advertising industry in general. Certain advertisers have been impacted by the COVID-19 pandemic and have experienced supply chain issues, rising commodity prices and inventory and labor shortages. This affects the ability and willingness of such impacted advertisers to spend on our platform. We cannot predict how evolving events related to the COVID-19 pandemic will continue to affect neighbor and advertiser behavior in the future. The pandemic has, and could in the future, adversely affect our business, revenue growth rate, financial performance and stock price.</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Further, initially during the COVID-19 pandemic and the related shelter-in-place order, we saw an increase in neighbor growth and engagement on our platform. As the COVID-19 pandemic evolves, that may present challenges such as neighbor growth and engagement declining or neighbor behavior changing unexpectedly and in ways that are difficult for us to anticipate or measure, resulting in a decrease in engagement with or reduced or different usage of our platform. Our neighbor and revenue growth rates may continue to be volatile as theCOVID-19 pandemic evolves, although we are unable to predict the duration or degree of such volatility with any certainty. Further, given the uncertainties relating to the COVID-19 pandemic and its new variants, we may not be able to accurately measure and forecast our key metrics, including WAUs. As a result, our engagement metrics, as well as financial and operating measures may not be indicative of results for future periods,</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currently unable to accurately predict the full impact that the COVID-19 pandemic will have on our business, operating results, and financial condition due to numerous uncertainties, including variants of the COVID-19 virus, any resurgences, the extent and effectiveness of containment actions and other public health measures, the distribution and public acceptance of vaccines and treatments, and the impact of these and other factors on our employees, neighbors, advertisers. The COVID-19 pandemic, as well as any subsequent recovery period, may also have the effect of heightening many of the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41" w:lineRule="exact"/>
        <w:rPr>
          <w:sz w:val="20"/>
          <w:szCs w:val="20"/>
          <w:color w:val="auto"/>
        </w:rPr>
      </w:pPr>
    </w:p>
    <w:p>
      <w:pPr>
        <w:ind w:right="580"/>
        <w:spacing w:after="0" w:line="365" w:lineRule="auto"/>
        <w:rPr>
          <w:sz w:val="20"/>
          <w:szCs w:val="20"/>
          <w:color w:val="auto"/>
        </w:rPr>
      </w:pPr>
      <w:r>
        <w:rPr>
          <w:rFonts w:ascii="Arial" w:cs="Arial" w:eastAsia="Arial" w:hAnsi="Arial"/>
          <w:sz w:val="15"/>
          <w:szCs w:val="15"/>
          <w:b w:val="1"/>
          <w:bCs w:val="1"/>
          <w:i w:val="1"/>
          <w:iCs w:val="1"/>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5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plan to continue expanding our business operations abroad by opening new and expanding within existing neighborhoods outside of the United States. As of December 31, 2021, the Nextdoor platform was accessible in 11 countries (including the United States) and had over 285,000 neighborhoods. We plan to enter new international markets where we have limited or no experience in marketing, selling, advertising and deploying our platform and related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operations and sales to advertisers continue to grow, we will be subject to a variety of risks inherent in doing business internationally, including:</w:t>
      </w:r>
    </w:p>
    <w:p>
      <w:pPr>
        <w:spacing w:after="0" w:line="176"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acts of war or terrorism;</w:t>
      </w:r>
    </w:p>
    <w:p>
      <w:pPr>
        <w:spacing w:after="0" w:line="164" w:lineRule="exact"/>
        <w:rPr>
          <w:rFonts w:ascii="Arial" w:cs="Arial" w:eastAsia="Arial" w:hAnsi="Arial"/>
          <w:sz w:val="18"/>
          <w:szCs w:val="18"/>
          <w:color w:val="auto"/>
        </w:rPr>
      </w:pPr>
    </w:p>
    <w:p>
      <w:pPr>
        <w:ind w:left="640" w:right="26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27" w:lineRule="exact"/>
        <w:rPr>
          <w:rFonts w:ascii="Arial" w:cs="Arial" w:eastAsia="Arial" w:hAnsi="Arial"/>
          <w:sz w:val="18"/>
          <w:szCs w:val="18"/>
          <w:color w:val="auto"/>
        </w:rPr>
      </w:pPr>
    </w:p>
    <w:p>
      <w:pPr>
        <w:ind w:left="640" w:right="6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damage to our brand and reputation due to compliance with local laws, including potential censorship and requirements to provide neighbor information to local authorities;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enhanced difficulty in reviewing content on the Nextdoor platform and enforcing community standards across different languages and countries;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multiple U.S. and international tax jurisdictions and management of tax impact of global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higher levels of credit risk and payment fraud;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integrating any foreign acquisitions;</w:t>
      </w:r>
    </w:p>
    <w:p>
      <w:pPr>
        <w:spacing w:after="0" w:line="164" w:lineRule="exact"/>
        <w:rPr>
          <w:rFonts w:ascii="Arial" w:cs="Arial" w:eastAsia="Arial" w:hAnsi="Arial"/>
          <w:sz w:val="18"/>
          <w:szCs w:val="18"/>
          <w:color w:val="auto"/>
        </w:rPr>
      </w:pPr>
    </w:p>
    <w:p>
      <w:pPr>
        <w:ind w:left="640" w:right="30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burdens of complying with a variety of foreign laws, including laws related to taxation, content removal, data localization, data transfer, consents, payments, and regulatory oversight;</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64"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35"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legal compliance costs associated with multiple international locations.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t>
      </w:r>
      <w:r>
        <w:rPr>
          <w:rFonts w:ascii="Arial" w:cs="Arial" w:eastAsia="Arial" w:hAnsi="Arial"/>
          <w:sz w:val="17"/>
          <w:szCs w:val="17"/>
          <w:i w:val="1"/>
          <w:iCs w:val="1"/>
          <w:color w:val="auto"/>
        </w:rPr>
        <w:t>Bribery Act</w:t>
      </w:r>
      <w:r>
        <w:rPr>
          <w:rFonts w:ascii="Arial" w:cs="Arial" w:eastAsia="Arial" w:hAnsi="Arial"/>
          <w:sz w:val="17"/>
          <w:szCs w:val="17"/>
          <w:color w:val="auto"/>
        </w:rPr>
        <w:t>”).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need additional capital in the future, it may not be available on favorable terms, if at all.</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financing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13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We plan to continue to make acquisitions, which could harm our financial condition or results of operations and may adversely affect the price of our Class A common stock.</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As part of our business strategy, we have made, and intend to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35" w:lineRule="exact"/>
        <w:rPr>
          <w:sz w:val="20"/>
          <w:szCs w:val="20"/>
          <w:color w:val="auto"/>
        </w:rPr>
      </w:pPr>
    </w:p>
    <w:p>
      <w:pPr>
        <w:ind w:right="80"/>
        <w:spacing w:after="0" w:line="365" w:lineRule="auto"/>
        <w:rPr>
          <w:sz w:val="20"/>
          <w:szCs w:val="20"/>
          <w:color w:val="auto"/>
        </w:rPr>
      </w:pPr>
      <w:r>
        <w:rPr>
          <w:rFonts w:ascii="Arial" w:cs="Arial" w:eastAsia="Arial" w:hAnsi="Arial"/>
          <w:sz w:val="15"/>
          <w:szCs w:val="15"/>
          <w:b w:val="1"/>
          <w:bCs w:val="1"/>
          <w:i w:val="1"/>
          <w:iCs w:val="1"/>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5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10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future success also depends in large part on the continued services of senior management and other key personnel. In particular, we are dependent on the services of Sarah Friar, our Chief Executive Officer and President, who is critical to the future vision and strategic direction of our business. We rely on our leadership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1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core values may conflict with the short-term interests of our business.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Security and Technology</w:t>
      </w:r>
    </w:p>
    <w:p>
      <w:pPr>
        <w:spacing w:after="0" w:line="17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b w:val="1"/>
          <w:bCs w:val="1"/>
          <w:i w:val="1"/>
          <w:iCs w:val="1"/>
          <w:color w:val="auto"/>
        </w:rPr>
        <w:t>We are dependent on third-party software and service providers, including the Google Ad Manager (“GAM”) platform, for management and delivery of advertisements on the Nextdoor platform. Any failure or interruption experienced by such third-parties, including as a result of the COVID-19 pandemic, could result in the inability of certain businesses to advertise on our platform, and adversely impact our business, operating results, and financial condition.</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8" w:lineRule="exact"/>
        <w:rPr>
          <w:sz w:val="20"/>
          <w:szCs w:val="20"/>
          <w:color w:val="auto"/>
        </w:rPr>
      </w:pPr>
    </w:p>
    <w:p>
      <w:pPr>
        <w:ind w:right="120"/>
        <w:spacing w:after="0" w:line="330" w:lineRule="auto"/>
        <w:rPr>
          <w:sz w:val="20"/>
          <w:szCs w:val="20"/>
          <w:color w:val="auto"/>
        </w:rPr>
      </w:pPr>
      <w:r>
        <w:rPr>
          <w:rFonts w:ascii="Arial" w:cs="Arial" w:eastAsia="Arial" w:hAnsi="Arial"/>
          <w:sz w:val="15"/>
          <w:szCs w:val="15"/>
          <w:b w:val="1"/>
          <w:bCs w:val="1"/>
          <w:i w:val="1"/>
          <w:iCs w:val="1"/>
          <w:color w:val="auto"/>
        </w:rPr>
        <w:t>We rely on third-party software and service providers, including AWS, to provide systems, storage and services for our platform. Any failure or interruption experienced by such third parties, including as a result of the COVID-19 pandemic, could result in the inability of neighbors and advertisers to access or utilize our platform, and adversely impact our business, operating results, and financial condition.</w:t>
      </w:r>
    </w:p>
    <w:p>
      <w:pPr>
        <w:spacing w:after="0" w:line="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Because we rely on third-party technology providers in our business, we rely on the cybersecurity practices and policies adopted by these third parties.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monitor our third-party technology providers’ cybersecurity practices is limited.</w:t>
      </w:r>
    </w:p>
    <w:p>
      <w:pPr>
        <w:spacing w:after="0" w:line="15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1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84" w:lineRule="exact"/>
        <w:rPr>
          <w:sz w:val="20"/>
          <w:szCs w:val="20"/>
          <w:color w:val="auto"/>
        </w:rPr>
      </w:pPr>
    </w:p>
    <w:p>
      <w:pPr>
        <w:jc w:val="both"/>
        <w:ind w:right="160"/>
        <w:spacing w:after="0" w:line="330" w:lineRule="auto"/>
        <w:rPr>
          <w:sz w:val="20"/>
          <w:szCs w:val="20"/>
          <w:color w:val="auto"/>
        </w:rPr>
      </w:pPr>
      <w:r>
        <w:rPr>
          <w:rFonts w:ascii="Arial" w:cs="Arial" w:eastAsia="Arial" w:hAnsi="Arial"/>
          <w:sz w:val="15"/>
          <w:szCs w:val="15"/>
          <w:b w:val="1"/>
          <w:bCs w:val="1"/>
          <w:i w:val="1"/>
          <w:iCs w:val="1"/>
          <w:color w:val="auto"/>
        </w:rPr>
        <w:t>We rely on third parties, including email providers, mobile data networks, geolocation providers, and the United States Postal Service (“USPS”) to verify our neighbors’ addresses. Any failure or interruption experienced by such third parties, including the USPS, could result in the inability of neighbors to join our platform, resulting in harm to our reputation and an adverse impact to our business, operating results, and financial condition.</w:t>
      </w:r>
    </w:p>
    <w:p>
      <w:pPr>
        <w:spacing w:after="0" w:line="8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rely on third parties to verify our neighbors’ addresses through several methods, including but not limited to email, SMS text message, phone calls, geolocation and mailed invitations. For example, we utilize email providers, mobile data networks, geolocation providers and the USPS to verify neighbors’ addresses. Address verification is a critical feature of our platform because it demonstrates that neighbors actually live in the neighborhood they desire to join. Any failure, interruption, or loss of access to such third parties or their software or the USPS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 than our current providers, including the USPS. Any disruption in the third parties, including the USPS, could harm our neighbor growth, which in turn could make us a less attractive advertising platform and harm our reputation, and could harm our business, operating results, and financial condition.</w:t>
      </w:r>
    </w:p>
    <w:p>
      <w:pPr>
        <w:spacing w:after="0" w:line="10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3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trend towards working from home and using private residential networks to access the Internet, which has arisen in response to the COVID-19 pandemic and other global economic and labor market conditions, may further exacerbate risks associated with cyberattacks and data security breaches, because we cannot guarantee these private work environments and electronic connections to our work environment have the same robust security measures deployed in our physical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1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take a variety of technical and organizational security measures and other measures to protect our data. Although we have implemented systems and processes that are designed to protect our data and our neighbors’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Security breaches may cause interruptions to our platform, degrade the neighbor experience, cause neighbors or advertisers to lose confidence and trust in our platform, impair our internal systems, or result in financial harm to our company.</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spacing w:after="0" w:line="119"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auto"/>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11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A security breach of our system could trigger a breach of our agreements with partners that we rely on to deliver our services and expose us to significant loss.</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1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with or change the terms of the distribution, use or marketing of our platform in any material way, it could materially adversely affect our business, operating results, and financial condition.</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of advertisements could materially adversely affect the usage of our platform on mobile devices. For example, the release of iOS 14.5 brought with it a number of new changes, including the need for neighbors using the app to opt in before their identifier for advertisers (“</w:t>
      </w:r>
      <w:r>
        <w:rPr>
          <w:rFonts w:ascii="Arial" w:cs="Arial" w:eastAsia="Arial" w:hAnsi="Arial"/>
          <w:sz w:val="15"/>
          <w:szCs w:val="15"/>
          <w:i w:val="1"/>
          <w:iCs w:val="1"/>
          <w:color w:val="auto"/>
        </w:rPr>
        <w:t>IDFA</w:t>
      </w:r>
      <w:r>
        <w:rPr>
          <w:rFonts w:ascii="Arial" w:cs="Arial" w:eastAsia="Arial" w:hAnsi="Arial"/>
          <w:sz w:val="15"/>
          <w:szCs w:val="15"/>
          <w:color w:val="auto"/>
        </w:rPr>
        <w:t>”)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 limited. We did not observe any directly attributable negative impact on our business, operating results or financial condition, including our revenue, revenue growth rates, and operating income (loss), related to the introduction of IDFA during the year ended December 31, 2021,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Apple recently introduced changes for the Apple mail client available on its operating systems, including iOS 15, iPadOS 15, and macOS 12, which have impacted, and are expected to continue to impact our ability to measure the effectiveness of our advertisements. Similarly, Google recently announced that it intends to limit access by mobile applications to advertising identifiers on its Android devices. As a result, advertisers may find our products less appealing and may seek alternative platforms on which to run their advertising campaigns.</w:t>
      </w:r>
    </w:p>
    <w:p>
      <w:pPr>
        <w:spacing w:after="0" w:line="31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138"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0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results difficult to predict.</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26"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revenues from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acquire, retain, and grow our neighbors and neighbor engagement on our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attract and retain advertisers;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recognize revenue or collect payments from advertisers in a particular period;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fluctuations in spending by our advertisers due to seasonality, episodic regional or global events, including the COVID-19 pandemic, or other factors;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internet usage generally;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prominence, size, format, quality and relevancy of advertisements shown to neighbors;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technologies designed to block the display of advertisements;</w:t>
      </w:r>
    </w:p>
    <w:p>
      <w:pPr>
        <w:spacing w:after="0" w:line="16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pricing of our advertisements;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cost of and mix of new and existing sales and marketing and promotional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our platform and app on mobile devices and other third-party platforms;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our platform or the development and introduction of new products or services by our competitors;</w:t>
      </w:r>
    </w:p>
    <w:p>
      <w:pPr>
        <w:spacing w:after="0" w:line="164" w:lineRule="exact"/>
        <w:rPr>
          <w:rFonts w:ascii="Arial" w:cs="Arial" w:eastAsia="Arial" w:hAnsi="Arial"/>
          <w:sz w:val="18"/>
          <w:szCs w:val="18"/>
          <w:color w:val="auto"/>
        </w:rPr>
      </w:pPr>
    </w:p>
    <w:p>
      <w:pPr>
        <w:ind w:left="640" w:right="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neighbor behavior or platform changes that may reduce traffic to features of the platform that we monetize;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19" w:lineRule="exact"/>
        <w:rPr>
          <w:sz w:val="20"/>
          <w:szCs w:val="20"/>
          <w:color w:val="auto"/>
        </w:rPr>
      </w:pPr>
    </w:p>
    <w:p>
      <w:pPr>
        <w:ind w:left="640" w:right="26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 failures, disruptions, breaches of security or privacy, whether on our platform or on those of third parties, and the costs associated with any such breaches and remediation;</w:t>
      </w:r>
    </w:p>
    <w:p>
      <w:pPr>
        <w:spacing w:after="0" w:line="12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w:t>
      </w:r>
    </w:p>
    <w:p>
      <w:pPr>
        <w:spacing w:after="0" w:line="164" w:lineRule="exact"/>
        <w:rPr>
          <w:rFonts w:ascii="Arial" w:cs="Arial" w:eastAsia="Arial" w:hAnsi="Arial"/>
          <w:sz w:val="18"/>
          <w:szCs w:val="18"/>
          <w:color w:val="auto"/>
        </w:rPr>
      </w:pPr>
    </w:p>
    <w:p>
      <w:pPr>
        <w:ind w:left="640" w:right="60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incurring additional expenses, such as increases in sales and marketing or research and development, including as a result of the COVID-19 pandemic;</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64" w:lineRule="exact"/>
        <w:rPr>
          <w:rFonts w:ascii="Arial" w:cs="Arial" w:eastAsia="Arial" w:hAnsi="Arial"/>
          <w:sz w:val="18"/>
          <w:szCs w:val="18"/>
          <w:color w:val="auto"/>
        </w:rPr>
      </w:pPr>
    </w:p>
    <w:p>
      <w:pPr>
        <w:ind w:left="640" w:right="28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cybersecurity, or actions by governments or regulators, including fines, orders, or consent decrees;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domestic and global business and macroeconomic conditions, including as a result of the COVID-19 pandemic.</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addition, we believe that our rapid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0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Certain of our market opportunity and key metric estimates could prove to be inaccurate, and any real or perceived inaccuracies may harm our reputation and negatively affect our business.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which could cause actual results to differ materially from our estimates. Unfavorable changes in any of these or other assumptions, most 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1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regularly review key business and other metrics, including Weekly Average Users (“</w:t>
      </w:r>
      <w:r>
        <w:rPr>
          <w:rFonts w:ascii="Arial" w:cs="Arial" w:eastAsia="Arial" w:hAnsi="Arial"/>
          <w:sz w:val="15"/>
          <w:szCs w:val="15"/>
          <w:i w:val="1"/>
          <w:iCs w:val="1"/>
          <w:color w:val="auto"/>
        </w:rPr>
        <w:t>WAUs</w:t>
      </w:r>
      <w:r>
        <w:rPr>
          <w:rFonts w:ascii="Arial" w:cs="Arial" w:eastAsia="Arial" w:hAnsi="Arial"/>
          <w:sz w:val="15"/>
          <w:szCs w:val="15"/>
          <w:color w:val="auto"/>
        </w:rPr>
        <w:t>”), Verified Users and Average Revenue per Weekly Active User (“</w:t>
      </w:r>
      <w:r>
        <w:rPr>
          <w:rFonts w:ascii="Arial" w:cs="Arial" w:eastAsia="Arial" w:hAnsi="Arial"/>
          <w:sz w:val="15"/>
          <w:szCs w:val="15"/>
          <w:i w:val="1"/>
          <w:iCs w:val="1"/>
          <w:color w:val="auto"/>
        </w:rPr>
        <w:t>ARPU</w:t>
      </w:r>
      <w:r>
        <w:rPr>
          <w:rFonts w:ascii="Arial" w:cs="Arial" w:eastAsia="Arial" w:hAnsi="Arial"/>
          <w:sz w:val="15"/>
          <w:szCs w:val="15"/>
          <w:color w:val="auto"/>
        </w:rPr>
        <w:t>”)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Apple recently introduced changes for the Apple mail client available on its operating systems, including iOS 15, iPadOS 15, and macOS 12, which have limited, and are expected to continue to limit, our ability to measure user engagement with our emails containing monetizable content for users that use the Apple email client. We expect these changes to affect our ability to calculate WAUs, a key business metric. Following the introduction of these changes, we will be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3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138" w:lineRule="exact"/>
        <w:rPr>
          <w:sz w:val="20"/>
          <w:szCs w:val="20"/>
          <w:color w:val="auto"/>
        </w:rPr>
      </w:pPr>
    </w:p>
    <w:p>
      <w:pPr>
        <w:ind w:right="320"/>
        <w:spacing w:after="0" w:line="365" w:lineRule="auto"/>
        <w:rPr>
          <w:sz w:val="20"/>
          <w:szCs w:val="20"/>
          <w:color w:val="auto"/>
        </w:rPr>
      </w:pPr>
      <w:r>
        <w:rPr>
          <w:rFonts w:ascii="Arial" w:cs="Arial" w:eastAsia="Arial" w:hAnsi="Arial"/>
          <w:sz w:val="15"/>
          <w:szCs w:val="15"/>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5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have experienced significant net losses each year since we began operations in 2007, including net losses of $(95.3) million and $(75.2) million for the years ended December 31, 2021 and 2020, respectively. We have an accumulated deficit of $480.3 million as of December 31, 2021. We anticipate that our operating expenses and capital expenditures will increase substantially in the foreseeable future as we continue to invest in acquiring additional neighbors, increasing engagement on our platform, increasing monetization on our platform, expanding our platform and operations internationally, hiring additional team members, developing and enhancing our platform, marketing and sales, and enhancing our infrastructure. Our expansion efforts may prove more expensive than we anticipate, and we may not succeed in increasing our revenues sufficiently to offset these higher expenses.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1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of December 31, 2021, we had gross U.S. federal net operating loss (“</w:t>
      </w:r>
      <w:r>
        <w:rPr>
          <w:rFonts w:ascii="Arial" w:cs="Arial" w:eastAsia="Arial" w:hAnsi="Arial"/>
          <w:sz w:val="17"/>
          <w:szCs w:val="17"/>
          <w:i w:val="1"/>
          <w:iCs w:val="1"/>
          <w:color w:val="auto"/>
        </w:rPr>
        <w:t>NOL</w:t>
      </w:r>
      <w:r>
        <w:rPr>
          <w:rFonts w:ascii="Arial" w:cs="Arial" w:eastAsia="Arial" w:hAnsi="Arial"/>
          <w:sz w:val="17"/>
          <w:szCs w:val="17"/>
          <w:color w:val="auto"/>
        </w:rPr>
        <w:t>”) carryforwards of approximately $390.0 million and gross state NOL carryforwards of approximately $226.0 million, which if not utilized, will begin to expire for federal and state income tax purposes beginning in 2028. To the extent that we continue to generate taxable losses, unused losses will carry forward to offset future taxable income, if any. Under the 2017 Tax Cuts and Jobs Act (the “</w:t>
      </w:r>
      <w:r>
        <w:rPr>
          <w:rFonts w:ascii="Arial" w:cs="Arial" w:eastAsia="Arial" w:hAnsi="Arial"/>
          <w:sz w:val="17"/>
          <w:szCs w:val="17"/>
          <w:i w:val="1"/>
          <w:iCs w:val="1"/>
          <w:color w:val="auto"/>
        </w:rPr>
        <w:t>Tax Act</w:t>
      </w:r>
      <w:r>
        <w:rPr>
          <w:rFonts w:ascii="Arial" w:cs="Arial" w:eastAsia="Arial" w:hAnsi="Arial"/>
          <w:sz w:val="17"/>
          <w:szCs w:val="17"/>
          <w:color w:val="auto"/>
        </w:rPr>
        <w: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We recently completed a Section 382 study that supports that our use of NOLs will not be subject to limitation.</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currency exchange rates fluctuate substantially in the future, our operating results, which are reported in U.S. dollars, could be adversely affected.</w:t>
      </w:r>
    </w:p>
    <w:p>
      <w:pPr>
        <w:spacing w:after="0" w:line="1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operate in a number of tax jurisdictions globally, including in the U.S.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1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8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5"/>
          <w:szCs w:val="15"/>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as a result of content or information that is published or made available on our platform.</w:t>
      </w:r>
    </w:p>
    <w:p>
      <w:pPr>
        <w:spacing w:after="0" w:line="16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rights of publicity, advertising, marketing, health and safety, competition, protection of minors,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newsfeed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3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14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46" w:lineRule="exact"/>
        <w:rPr>
          <w:sz w:val="20"/>
          <w:szCs w:val="20"/>
          <w:color w:val="auto"/>
        </w:rPr>
      </w:pPr>
    </w:p>
    <w:p>
      <w:pPr>
        <w:ind w:right="400"/>
        <w:spacing w:after="0" w:line="294" w:lineRule="auto"/>
        <w:rPr>
          <w:sz w:val="20"/>
          <w:szCs w:val="20"/>
          <w:color w:val="auto"/>
        </w:rPr>
      </w:pPr>
      <w:r>
        <w:rPr>
          <w:rFonts w:ascii="Arial" w:cs="Arial" w:eastAsia="Arial" w:hAnsi="Arial"/>
          <w:sz w:val="17"/>
          <w:szCs w:val="17"/>
          <w:b w:val="1"/>
          <w:bCs w:val="1"/>
          <w:i w:val="1"/>
          <w:iCs w:val="1"/>
          <w:color w:val="auto"/>
        </w:rPr>
        <w:t>Our business is subject to complex and evolving U.S. and foreign laws, regulations, and industry standards, many of which are subject to change and uncertain interpretation, which uncertainty could harm our business, operating results, and financial condition.</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spacing w:after="0" w:line="1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European Union is also reviewing the regulation of digital services, and has introduced the DSA, a package of legislation intended to update the liability and safety rules for digital platforms, products, and services, which could negatively impact the scope of the limited immunity provided by the E-Commerce Directive. Some European jurisdictions and the United Kingdom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operating results, and financial condition could be harmed. Similarly, Australia’s Online Safety Act 2021 recently went into effect and may impose new obligations and liabilities on platforms with respect to certain types of harmful content. While regulations to implement the law are still being promulgated and are uncertain, the regulations could require us to expend resources to try to comply with the new regulations or incur liability, and our business, operating results, and financial condition could be harmed.</w:t>
      </w:r>
    </w:p>
    <w:p>
      <w:pPr>
        <w:spacing w:after="0" w:line="10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existing laws and regulations, could significantly restrict or impose conditions on our ability to process data and increase notice or consent requirements before we can utilize advertising technologies.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operating results, and financial condition.</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the United States, we are subject to numerous federal, state and local data privacy and security laws and regulations governing the processing of information about individuals. For example, the CCPA, which took effect in January 2020, establishes certain transparency obligations and creates new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This private right of action is expected to increase the likelihood of, and risks associated with, data breach litigation. It remains unclear how various provisions of the CCPA will be interpreted and enforced. Additionally, California voters approved a new privacy law, the CPRA, which becomes effective January 1, 2023 (with a look back to January 1, 2022). The CPRA will significantly modify the CCPA, including by expanding consumers’ rights and establishing a new state agency that will be vested with authority to implement and enforce the CPRA. For example, the CPRA and the CCPA may lead other states to pass comparable legislation, with potentially greater penalties, and more rigorous compliance requirements relevant to our business. Virginia enacted the VCDPA and Colorado enacted CDPA, respectively, which may impose obligations similar to or more stringent than those we may face under other data protection laws. Compliance with the CPRA, the CCPA, the VCDPA, the CDPA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32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 grants new rights for data subjects in regard to their personal data (including the right to be “forgotten” and the right to data portability) and enhances current rights (e.g., data subject access requests).</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are also subject to European Union rules with respect to cross-border transfers of personal data out of the EEA and the United Kingdom. Recent legal developments in Europe have created complexity and uncertainty regarding transfers of personal data from the EEA and the United Kingdom to the United States. On July 16, 2020, the Court of Justice of the European Union (the “</w:t>
      </w:r>
      <w:r>
        <w:rPr>
          <w:rFonts w:ascii="Arial" w:cs="Arial" w:eastAsia="Arial" w:hAnsi="Arial"/>
          <w:sz w:val="15"/>
          <w:szCs w:val="15"/>
          <w:i w:val="1"/>
          <w:iCs w:val="1"/>
          <w:color w:val="auto"/>
        </w:rPr>
        <w:t>CJEU</w:t>
      </w:r>
      <w:r>
        <w:rPr>
          <w:rFonts w:ascii="Arial" w:cs="Arial" w:eastAsia="Arial" w:hAnsi="Arial"/>
          <w:sz w:val="15"/>
          <w:szCs w:val="15"/>
          <w:color w:val="auto"/>
        </w:rPr>
        <w:t>”) invalidated the EU-U.S. Privacy Shield Framework (the “</w:t>
      </w:r>
      <w:r>
        <w:rPr>
          <w:rFonts w:ascii="Arial" w:cs="Arial" w:eastAsia="Arial" w:hAnsi="Arial"/>
          <w:sz w:val="15"/>
          <w:szCs w:val="15"/>
          <w:i w:val="1"/>
          <w:iCs w:val="1"/>
          <w:color w:val="auto"/>
        </w:rPr>
        <w:t>Privacy Shield</w:t>
      </w:r>
      <w:r>
        <w:rPr>
          <w:rFonts w:ascii="Arial" w:cs="Arial" w:eastAsia="Arial" w:hAnsi="Arial"/>
          <w:sz w:val="15"/>
          <w:szCs w:val="15"/>
          <w:color w:val="auto"/>
        </w:rPr>
        <w:t>”) under which personal data could be transferred from the EEA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To safeguard data transfers from the EEA to other jurisdictions, including the USA, we currently utilize standard contractual contracts approved by the EU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1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This CJEU decision may result in different EEA data protection regulators applying differing standards for the transfer of personal data from the EEA to the United States, and even require ad hoc verification of measures taken with respect to data flows. Therefore, as a result of this CJEU decision, we may be required to review, amend and take additional steps to legitimize impacted personal data transfers. As supervisory authorities issue further guidance on personal data export mechanisms, including circumstances where the standard contractual clauses cannot be used, and/or start taking enforcement action, we could suffer increased costs to ensure compliance as well as additional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financial condition and results of operations. The EU Commission has also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Where we continue to rely on standard contractual clauses, we will need to implement the revised standard contractual clauses, in relation to relevant existing contracts and vendor/customer arrangements, within the relevant time frames. There is some uncertainty around whether the revised clauses can be used for all types of data transfers, particularly whether they can be relied on for data transfers to non-EEA entities subject to the GDPR.</w:t>
      </w:r>
    </w:p>
    <w:p>
      <w:pPr>
        <w:spacing w:after="0" w:line="1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relationship between the United Kingdom and the European Union in relation to certain aspects of data protection law remains unclear, and it is unclear how U.K. data protection laws and regulations, including those regarding data transfers to and from the United Kingdom, will develop in the medium to longer term. For example, while the EU Commission has adopted an adequacy decision in favor of the United Kingdom, enabling data transfers from EU member states to the United Kingdom without additional safeguards, the decision will automatically expire in June 2025 unless the EU Commission re-assesses and renews/extends it. These developments and this uncertainty will lead to additional costs and increase our overall risk exposure.</w:t>
      </w:r>
    </w:p>
    <w:p>
      <w:pPr>
        <w:spacing w:after="0" w:line="9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also subject to evolving E.U. and U.K. privacy laws on cookies and e-marketing. In the E.U. and the U.K., regulators are increasingly focusing on compliance with current national laws that implement the European Directive 2002/58/EC (the “</w:t>
      </w:r>
      <w:r>
        <w:rPr>
          <w:rFonts w:ascii="Arial" w:cs="Arial" w:eastAsia="Arial" w:hAnsi="Arial"/>
          <w:sz w:val="15"/>
          <w:szCs w:val="15"/>
          <w:i w:val="1"/>
          <w:iCs w:val="1"/>
          <w:color w:val="auto"/>
        </w:rPr>
        <w:t>ePrivacy Directive</w:t>
      </w:r>
      <w:r>
        <w:rPr>
          <w:rFonts w:ascii="Arial" w:cs="Arial" w:eastAsia="Arial" w:hAnsi="Arial"/>
          <w:sz w:val="15"/>
          <w:szCs w:val="15"/>
          <w:color w:val="auto"/>
        </w:rPr>
        <w:t>”).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0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Canada, we are subject to the Personal Information Protection and Electronic Documents Act (“</w:t>
      </w:r>
      <w:r>
        <w:rPr>
          <w:rFonts w:ascii="Arial" w:cs="Arial" w:eastAsia="Arial" w:hAnsi="Arial"/>
          <w:sz w:val="15"/>
          <w:szCs w:val="15"/>
          <w:i w:val="1"/>
          <w:iCs w:val="1"/>
          <w:color w:val="auto"/>
        </w:rPr>
        <w:t>PIPEDA</w:t>
      </w:r>
      <w:r>
        <w:rPr>
          <w:rFonts w:ascii="Arial" w:cs="Arial" w:eastAsia="Arial" w:hAnsi="Arial"/>
          <w:sz w:val="15"/>
          <w:szCs w:val="15"/>
          <w:color w:val="auto"/>
        </w:rPr>
        <w:t>”) which governs the collection, use and disclosure of Canadian residents’ personal information in the course of commercial activities. PIPEDA gives individuals, among other things, the right to access information we hold about them and to challenge the accuracy and completeness of that information. There is debate over the meaning of a number of PIPEDA clauses, including the role of implied consent. On November 17, 2020, the government of Canada introduced Bill C-11, also known as the Digital Charter Implementation Act, 2020 (“</w:t>
      </w:r>
      <w:r>
        <w:rPr>
          <w:rFonts w:ascii="Arial" w:cs="Arial" w:eastAsia="Arial" w:hAnsi="Arial"/>
          <w:sz w:val="15"/>
          <w:szCs w:val="15"/>
          <w:i w:val="1"/>
          <w:iCs w:val="1"/>
          <w:color w:val="auto"/>
        </w:rPr>
        <w:t>DCIA</w:t>
      </w:r>
      <w:r>
        <w:rPr>
          <w:rFonts w:ascii="Arial" w:cs="Arial" w:eastAsia="Arial" w:hAnsi="Arial"/>
          <w:sz w:val="15"/>
          <w:szCs w:val="15"/>
          <w:color w:val="auto"/>
        </w:rPr>
        <w:t>”) which had significantly increased privacy protections for Canadian residents (such as the rights to data mobility, disposal and the right to be forgotten), and replated a portion of PIPEDA. It also created an independent tribunal for assessing infringements, a private right of action, and substantially increased penalties for infringement up to a maximum of the greater of $10 million or 3% of global revenue. Although DCIA was not passed before the dissolution of parliament, DCIA may provide insight into what privacy reform could look like in the next Canadian parliament session. Even if a similar bill is not passed at the parliament level, there is the possibility of new provincial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legislation in Ontario and other provinces. While we endeavor to comply with PIPEDA, however, the meaning of some of its clauses are unclear, and we may not have correctly implemented them. Furthermore, increased privacy regulation in Canada could require us to expend resources to try to comply with the new regulations or incur liability, and our business, operating results, and financial condition could be harmed.</w:t>
      </w:r>
    </w:p>
    <w:p>
      <w:pPr>
        <w:spacing w:after="0" w:line="105" w:lineRule="exact"/>
        <w:rPr>
          <w:sz w:val="20"/>
          <w:szCs w:val="20"/>
          <w:color w:val="auto"/>
        </w:rPr>
      </w:pPr>
    </w:p>
    <w:p>
      <w:pPr>
        <w:jc w:val="both"/>
        <w:ind w:firstLine="318"/>
        <w:spacing w:after="0" w:line="221" w:lineRule="auto"/>
        <w:rPr>
          <w:sz w:val="20"/>
          <w:szCs w:val="20"/>
          <w:color w:val="auto"/>
        </w:rPr>
      </w:pPr>
      <w:r>
        <w:rPr>
          <w:rFonts w:ascii="Arial" w:cs="Arial" w:eastAsia="Arial" w:hAnsi="Arial"/>
          <w:sz w:val="18"/>
          <w:szCs w:val="18"/>
          <w:color w:val="auto"/>
        </w:rPr>
        <w:t>We are also subject to, among other laws, Australia’s “Privacy Act 1988” (“</w:t>
      </w:r>
      <w:r>
        <w:rPr>
          <w:rFonts w:ascii="Arial" w:cs="Arial" w:eastAsia="Arial" w:hAnsi="Arial"/>
          <w:sz w:val="18"/>
          <w:szCs w:val="18"/>
          <w:i w:val="1"/>
          <w:iCs w:val="1"/>
          <w:color w:val="auto"/>
        </w:rPr>
        <w:t>Privacy Act</w:t>
      </w:r>
      <w:r>
        <w:rPr>
          <w:rFonts w:ascii="Arial" w:cs="Arial" w:eastAsia="Arial" w:hAnsi="Arial"/>
          <w:sz w:val="18"/>
          <w:szCs w:val="18"/>
          <w:color w:val="auto"/>
        </w:rPr>
        <w:t>”) and Australian Privacy Principles (“</w:t>
      </w:r>
      <w:r>
        <w:rPr>
          <w:rFonts w:ascii="Arial" w:cs="Arial" w:eastAsia="Arial" w:hAnsi="Arial"/>
          <w:sz w:val="18"/>
          <w:szCs w:val="18"/>
          <w:i w:val="1"/>
          <w:iCs w:val="1"/>
          <w:color w:val="auto"/>
        </w:rPr>
        <w:t>APPs</w:t>
      </w:r>
      <w:r>
        <w:rPr>
          <w:rFonts w:ascii="Arial" w:cs="Arial" w:eastAsia="Arial" w:hAnsi="Arial"/>
          <w:sz w:val="18"/>
          <w:szCs w:val="18"/>
          <w:color w:val="auto"/>
        </w:rPr>
        <w:t>”), which require us to, among other things: (a) establish a governance framework for managing privacy and data protection; (b) give individual the option of not identifying themselves or using a pseudonym (unless certain exceptions apply); (c) destroy or de-identify unsolicited personal information that was not obtained for a purpose reasonably necessary or directly to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Non-compliance with the Privacy Act can result in penalties of up to AU $2.22 million per contravention and a requirement to remediate areas of non-compliance.</w:t>
      </w:r>
    </w:p>
    <w:p>
      <w:pPr>
        <w:spacing w:after="0" w:line="13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Australian Government recently released a proposed amendment to the Privacy Act called the Online Privacy Bill (“</w:t>
      </w:r>
      <w:r>
        <w:rPr>
          <w:rFonts w:ascii="Arial" w:cs="Arial" w:eastAsia="Arial" w:hAnsi="Arial"/>
          <w:sz w:val="17"/>
          <w:szCs w:val="17"/>
          <w:i w:val="1"/>
          <w:iCs w:val="1"/>
          <w:color w:val="auto"/>
        </w:rPr>
        <w:t>Online Privacy Bill</w:t>
      </w:r>
      <w:r>
        <w:rPr>
          <w:rFonts w:ascii="Arial" w:cs="Arial" w:eastAsia="Arial" w:hAnsi="Arial"/>
          <w:sz w:val="17"/>
          <w:szCs w:val="17"/>
          <w:color w:val="auto"/>
        </w:rPr>
        <w:t>”) which would increase the enforcement powers of the Australian Information Commissioner, implement an online privacy code that will apply to social media providers and online platforms with more than 2.5 million or more annual end users in Australia, implement more stringent obligations regarding the notice, collection and user of personal information, introduce new obligations such as a consumer right to request that companies cease using their personal information, and increase penalties to an amount not exceeding the greater of AU $10 million, three times the value of the benefit obtained from the conduct, or, if the value cannot be determined, 10% of the domestic annual revenue of the company. The Online Privacy Bill was open for public responses through December 6, 2021, and the comments are now under review.</w:t>
      </w:r>
    </w:p>
    <w:p>
      <w:pPr>
        <w:spacing w:after="0" w:line="13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Australian Government also circulated a discussion paper (“</w:t>
      </w:r>
      <w:r>
        <w:rPr>
          <w:rFonts w:ascii="Arial" w:cs="Arial" w:eastAsia="Arial" w:hAnsi="Arial"/>
          <w:sz w:val="15"/>
          <w:szCs w:val="15"/>
          <w:i w:val="1"/>
          <w:iCs w:val="1"/>
          <w:color w:val="auto"/>
        </w:rPr>
        <w:t>Discussion Paper</w:t>
      </w:r>
      <w:r>
        <w:rPr>
          <w:rFonts w:ascii="Arial" w:cs="Arial" w:eastAsia="Arial" w:hAnsi="Arial"/>
          <w:sz w:val="15"/>
          <w:szCs w:val="15"/>
          <w:color w:val="auto"/>
        </w:rPr>
        <w:t>”) seeking further submissions on up to 67 proposals to amend the Privacy Act and introduce amendments to Australian privacy law focused on increasing enforcement, empowering individuals and aligning Australia with global privacy regimes. Suggested amendments include the potential introduction of torts of privacy that are enforceable by individuals, new rights for individuals to object or withdraw consent regarding the processing and use of their personal information. The Discussion Paper was open for comment through January 10, 2022, and the comments are now under review. As in other countries, increased privacy regulation in Australia could require us to expend resources to try to comply with the new regulations or incur liability, and our business, operating results, and financial condition could be harmed.</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1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w:t>
      </w:r>
    </w:p>
    <w:p>
      <w:pPr>
        <w:spacing w:after="0" w:line="1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3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8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9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Exposure to United Kingdom political developments, including the effect of its withdrawal from the European Union, could be costly and difficult to comply with and could adversely impact our business, operating results, and financial condition.</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June 2016, a referendum was passed in the United Kingdom to leave the European Union, commonly referred to as “Brexit.” This decision created an uncertain political and economic environment in the United Kingdom and other European Union countries, and the formal process for leaving the European Union has taken years to complete. Although the United Kingdom and the European Union have recently entered into a trade and cooperation agreement, the long-term nature of the United Kingdom’s relationship with the European Union remains unclear and there is considerable uncertainty as to their future political and economic relations. The political and economic instability created by Brexit has caused and may continue to cause significant volatility in global financial markets and uncertainty regarding the regulation of cybersecurity in the United Kingdom. In addition, Brexit could lead to legal uncertainty and potentially divergent national laws and regulations as the United Kingdom determines which European Union laws to replace or replicate. For example, as discussed above, although the European Commission has adopted an adequacy decision in favor of the United Kingdom, enabling data transfers from EU member states to the United Kingdom without additional safeguards, uncertainty remains regarding how data transfers to and from the United Kingdom will be regulated in the long term. Brexit could also have the effect of disrupting the free movement of goods, services, capital, and people between the United Kingdom,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Union, and elsewhere. The full effect of Brexit is uncertain and depends on any current and future agreements the United Kingdom makes with the European Union and others. Consequently, no assurance can be given about the impact of these developments, and our operational, tax, and other policies may require reassessment and our business, operating results, and financial condition may be seriously harmed.</w:t>
      </w:r>
    </w:p>
    <w:p>
      <w:pPr>
        <w:spacing w:after="0" w:line="11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Operating as a public company will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w:t>
      </w:r>
      <w:r>
        <w:rPr>
          <w:rFonts w:ascii="Arial" w:cs="Arial" w:eastAsia="Arial" w:hAnsi="Arial"/>
          <w:sz w:val="17"/>
          <w:szCs w:val="17"/>
          <w:i w:val="1"/>
          <w:iCs w:val="1"/>
          <w:color w:val="auto"/>
        </w:rPr>
        <w:t>Dodd-Frank Act</w:t>
      </w:r>
      <w:r>
        <w:rPr>
          <w:rFonts w:ascii="Arial" w:cs="Arial" w:eastAsia="Arial" w:hAnsi="Arial"/>
          <w:sz w:val="17"/>
          <w:szCs w:val="17"/>
          <w:color w:val="auto"/>
        </w:rPr>
        <w:t>”),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28" w:lineRule="exact"/>
        <w:rPr>
          <w:sz w:val="20"/>
          <w:szCs w:val="20"/>
          <w:color w:val="auto"/>
        </w:rPr>
      </w:pPr>
    </w:p>
    <w:p>
      <w:pPr>
        <w:ind w:left="640" w:right="180" w:hanging="316"/>
        <w:spacing w:after="0" w:line="26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our obligations under the federal securities laws;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 of Directors;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new and enhance existing internal policies, including those relating to disclosure controls and procedures.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2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Failure to maintain effective systems of internal control and disclosure controls could have a material adverse effect on our business, operating results, and financial condition.</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8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1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We are currently an “emerging growth company,” and, so long as we remain an “emerging growth company” we will not be required to include an attestation report on internal control over financial reporting issued by our independent registered public accounting firm.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9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expect to incur significant expenses and devote substantial management effort toward ensuring compliance with the requirements of Section 404 of the Sarbanes-Oxley Act, which will increase when we are no longer an “emerging growth company.” As a result, management’s attention may be diverted from other business concerns, which could harm our business, operating results and financial condition.</w:t>
      </w:r>
    </w:p>
    <w:p>
      <w:pPr>
        <w:spacing w:after="0" w:line="11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If we experience a material weakness in the future or otherwise fail to maintain an effective system of internal controls in the future, we may not be able to accurately report our financial results in a timely manner, which may adversely affect investor confidence in our company and materially and adversely affect our business and operating results, and as a result, the value of our Class A common stock.</w:t>
      </w:r>
    </w:p>
    <w:p>
      <w:pPr>
        <w:spacing w:after="0" w:line="11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Prior to the Closing Date of the Business Combination, on August 31, 2021, KVSB’s management, together with its audit committee, determined that its previously issued financial statements and other financial data as of and for the period from January 29, 2021 (inception) through March 31, 2021 should be restated (the “</w:t>
      </w:r>
      <w:r>
        <w:rPr>
          <w:rFonts w:ascii="Arial" w:cs="Arial" w:eastAsia="Arial" w:hAnsi="Arial"/>
          <w:sz w:val="17"/>
          <w:szCs w:val="17"/>
          <w:i w:val="1"/>
          <w:iCs w:val="1"/>
          <w:color w:val="auto"/>
        </w:rPr>
        <w:t>Restatement</w:t>
      </w:r>
      <w:r>
        <w:rPr>
          <w:rFonts w:ascii="Arial" w:cs="Arial" w:eastAsia="Arial" w:hAnsi="Arial"/>
          <w:sz w:val="17"/>
          <w:szCs w:val="17"/>
          <w:color w:val="auto"/>
        </w:rPr>
        <w:t>”). Due solely to the events that led to the Restatement of KVSB’s financial statements, its management identified material weaknesses in internal controls over financial reporting related to that inaccurate accounting. A material weakness is a deficiency, or a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2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Effective internal controls are necessary to provide reliable financial reports and prevent fraud. KVSB devoted significant effort and resources to the remediation and improvement of its internal controls over financial reporting. Effective as of the closing of the Business Combination, our management became responsible for internal control over financial reporting and the former management of KVSB no longer participates in financial reporting. Following the Closing Date of the Business Combination, we have devoted, and we plan to continue to devote, significant effort and resources towards the maintenance of an effective system of internal controls, which may be time consuming and costly, and there is no assurance that the significant effort and resources towards this initiative will ultimately have the intended effects.</w:t>
      </w:r>
    </w:p>
    <w:p>
      <w:pPr>
        <w:spacing w:after="0" w:line="129" w:lineRule="exact"/>
        <w:rPr>
          <w:sz w:val="20"/>
          <w:szCs w:val="20"/>
          <w:color w:val="auto"/>
        </w:rPr>
      </w:pPr>
    </w:p>
    <w:p>
      <w:pPr>
        <w:ind w:right="40" w:firstLine="318"/>
        <w:spacing w:after="0" w:line="268" w:lineRule="auto"/>
        <w:rPr>
          <w:sz w:val="20"/>
          <w:szCs w:val="20"/>
          <w:color w:val="auto"/>
        </w:rPr>
      </w:pPr>
      <w:r>
        <w:rPr>
          <w:rFonts w:ascii="Arial" w:cs="Arial" w:eastAsia="Arial" w:hAnsi="Arial"/>
          <w:sz w:val="15"/>
          <w:szCs w:val="15"/>
          <w:color w:val="auto"/>
        </w:rPr>
        <w:t>Our assessment is that, after the Business Combination, we have a sufficiently staffed and technically experienced finance and accounting team to address the financial reporting requirements of a public company. After the Business Combination, because the conditions causing the material weakness no longer existed, and are not expected to exist, we determined the material weakness in internal control over financial reporting did not exist as of December 31, 2021. However,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are unable to protect our intellectual property, the value of our brands and other intangible assets may be diminished, and our business, operating results, and financial condition may be adversely affected.</w:t>
      </w:r>
    </w:p>
    <w:p>
      <w:pPr>
        <w:spacing w:after="0" w:line="12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rely and expect to continue to rely on a combination of confidentiality, assignment, and license agreements with our employees, consultants, and third parties with whom we have relationships, as well as trademark,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Any issued patents may be challenged, invalidated or circumvented, and any rights granted under these patents may not actually provide adequate defensive protection or competitive advantages to us. Patent applications in the U.S.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2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others may not adequately prevent disclosure of trade secrets and proprietary information.</w:t>
      </w:r>
    </w:p>
    <w:p>
      <w:pPr>
        <w:spacing w:after="0" w:line="1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4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spacing w:after="0" w:line="13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has been, and may continue to, be volatile.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cannot predict the prices at which our Class A common stock will continue to trade. Since the closing of the Business Combination on November 5, 2021, our closing stock price has ranged from $7.55 to $13.50 through December 31, 2021. The price of our Class A common stock, may fluctuate due to a variety of factors, including:</w:t>
      </w:r>
    </w:p>
    <w:p>
      <w:pPr>
        <w:spacing w:after="0" w:line="135"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user growth, retention, engagement, revenue, or other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between our actual operating results and the expectations of securities analysts, investors, and the financial community;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64" w:lineRule="exact"/>
        <w:rPr>
          <w:rFonts w:ascii="Arial" w:cs="Arial" w:eastAsia="Arial" w:hAnsi="Arial"/>
          <w:sz w:val="18"/>
          <w:szCs w:val="18"/>
          <w:color w:val="auto"/>
        </w:rPr>
      </w:pPr>
    </w:p>
    <w:p>
      <w:pPr>
        <w:ind w:left="640" w:right="2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our competitors or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64" w:lineRule="exact"/>
        <w:rPr>
          <w:rFonts w:ascii="Arial" w:cs="Arial" w:eastAsia="Arial" w:hAnsi="Arial"/>
          <w:sz w:val="18"/>
          <w:szCs w:val="18"/>
          <w:color w:val="auto"/>
        </w:rPr>
      </w:pPr>
    </w:p>
    <w:p>
      <w:pPr>
        <w:ind w:left="640" w:right="2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or if existing stockholders subject to a lock-up sell shares into the market when applicable “lock-up” periods end;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64" w:lineRule="exact"/>
        <w:rPr>
          <w:rFonts w:ascii="Arial" w:cs="Arial" w:eastAsia="Arial" w:hAnsi="Arial"/>
          <w:sz w:val="18"/>
          <w:szCs w:val="18"/>
          <w:color w:val="auto"/>
        </w:rPr>
      </w:pPr>
    </w:p>
    <w:p>
      <w:pPr>
        <w:ind w:left="640" w:right="8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announcements by us or estimates by third parties of actual or anticipated changes in the size of our user base or the level of user engagement;</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technology companies in our industry, including our partners and competitors;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interest rate increases on the overall stock market and the market for technology company stocks;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19"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developments in new legislation and pending lawsuits or regulatory actions, including interim or final rulings by judicial or regulatory bodies; and</w:t>
      </w:r>
    </w:p>
    <w:p>
      <w:pPr>
        <w:spacing w:after="0" w:line="198" w:lineRule="exact"/>
        <w:rPr>
          <w:rFonts w:ascii="Arial" w:cs="Arial" w:eastAsia="Arial" w:hAnsi="Arial"/>
          <w:sz w:val="15"/>
          <w:szCs w:val="15"/>
          <w:color w:val="auto"/>
        </w:rPr>
      </w:pPr>
    </w:p>
    <w:p>
      <w:pPr>
        <w:ind w:left="640" w:right="120" w:hanging="316"/>
        <w:spacing w:after="0" w:line="294"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effects of the COVID-19 pandemic, the ongoing conflict in Ukraine, recessions, interest rates, local and national elections, international currency fluctuations, corruption, political instability and acts of war or terrorism.</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S&amp;P Dow Jones and FTSE Russell limit their eligibility criteria for inclusion of shares of public companies on certain indices, including the S&amp;P 500, namely, to exclude companies with multiple classes of shares of common stock from being added to such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132"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December 31, 2021.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3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1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resales of our Class A common stock may cause the market price of our securities to drop significantly, even if our business is doing well.</w:t>
      </w:r>
    </w:p>
    <w:p>
      <w:pPr>
        <w:spacing w:after="0" w:line="19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Subject to certain exceptions, certain affiliated individuals and certain Nextdoor equity holders are contractually restricted from selling or transferring any of their shares of Class A common stock (not including the shares of our Class A common stock issued in the PIPE Investment (as defined below in this Annual Report) pursuant to the terms of the Subscription Agreements or purchased in the public market) for certain periods of time following the closing date of the Business Combination (the “</w:t>
      </w:r>
      <w:r>
        <w:rPr>
          <w:rFonts w:ascii="Arial" w:cs="Arial" w:eastAsia="Arial" w:hAnsi="Arial"/>
          <w:sz w:val="15"/>
          <w:szCs w:val="15"/>
          <w:i w:val="1"/>
          <w:iCs w:val="1"/>
          <w:color w:val="auto"/>
        </w:rPr>
        <w:t>Closing Date</w:t>
      </w:r>
      <w:r>
        <w:rPr>
          <w:rFonts w:ascii="Arial" w:cs="Arial" w:eastAsia="Arial" w:hAnsi="Arial"/>
          <w:sz w:val="15"/>
          <w:szCs w:val="15"/>
          <w:color w:val="auto"/>
        </w:rPr>
        <w:t>”). Under our Restated Bylaws (the “</w:t>
      </w:r>
      <w:r>
        <w:rPr>
          <w:rFonts w:ascii="Arial" w:cs="Arial" w:eastAsia="Arial" w:hAnsi="Arial"/>
          <w:sz w:val="15"/>
          <w:szCs w:val="15"/>
          <w:i w:val="1"/>
          <w:iCs w:val="1"/>
          <w:color w:val="auto"/>
        </w:rPr>
        <w:t>Bylaws</w:t>
      </w:r>
      <w:r>
        <w:rPr>
          <w:rFonts w:ascii="Arial" w:cs="Arial" w:eastAsia="Arial" w:hAnsi="Arial"/>
          <w:sz w:val="15"/>
          <w:szCs w:val="15"/>
          <w:color w:val="auto"/>
        </w:rPr>
        <w:t>”), and subject to certain customary exceptions, such lockup restrictions applicable to all the Nextdoor Stockholders’ Lock-up Shares began on the Closing Date and end on May 4, 2022, the date that is 180 days following the Closing Date. As of December 31, 2021, an aggregate of 365,486,793 shares of our Class B common stock (including 60,789,889 shares of our Class B common stock subject to outstanding equity awards) and the same number of shares of our Class A common stock underlying such Class B common stock are subject to lock-up restrictions set forth in our Bylaws. As a result, a significant number of our shares of Class A common stock will be available for sale on May 5, 2022. Pursuant to the lock-up agreement entered into with Khosla Ventures SPAC Sponsor II LLC (the “</w:t>
      </w:r>
      <w:r>
        <w:rPr>
          <w:rFonts w:ascii="Arial" w:cs="Arial" w:eastAsia="Arial" w:hAnsi="Arial"/>
          <w:sz w:val="15"/>
          <w:szCs w:val="15"/>
          <w:i w:val="1"/>
          <w:iCs w:val="1"/>
          <w:color w:val="auto"/>
        </w:rPr>
        <w:t>Sponsor</w:t>
      </w:r>
      <w:r>
        <w:rPr>
          <w:rFonts w:ascii="Arial" w:cs="Arial" w:eastAsia="Arial" w:hAnsi="Arial"/>
          <w:sz w:val="15"/>
          <w:szCs w:val="15"/>
          <w:color w:val="auto"/>
        </w:rPr>
        <w:t>”), and subject to certain customary exceptions, such lockup restrictions applicable to the shares held by the Sponsor began on the Closing Date and end on November 5, 2022, the one year anniversary of the Closing Date. An aggregate of 11,541,291 shares of our Class A common stock and an aggregate of 8,580 shares of our Class B common stock are subject to lock-up restrictions under the Sponsor lock-up agreement.</w:t>
      </w:r>
    </w:p>
    <w:p>
      <w:pPr>
        <w:spacing w:after="0" w:line="3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Following the expiration of each lockup, the applicable stockholders will not be restricted from selling shares of our Class A common stock held by them, other than by applicable securities laws. Additionally, the Third-Party PIPE Investors (as defined below in this Annual Report) are not restricted from selling any of their shares of our Class A common stock, other than by applicable securities laws. As such, 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restrictions on resale end and registration statements (filed after the Closing Date to provide for the resale of such shares from time to time) are available for use, the sale or possibility of sale of these shares could have the effect of increasing the volatility in our share price or the market price of our Class A common stock could decline if the holders of currently restricted shares sell them or are perceived by the market as intending to sell them.</w:t>
      </w:r>
    </w:p>
    <w:p>
      <w:pPr>
        <w:spacing w:after="0" w:line="84"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within the meaning of the Securities Act, and we take advantage of certain exemptions from disclosure requirements available to emerging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1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companies or smaller reporting companies, which could make our securities less attractive to investors and may make it more difficult to compare our performance with other public companies.</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an “emerging growth company” within the meaning of the Securities Act, as modified by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shares of Class A common stock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32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31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equals or exceeds $250 million as of the end of that year’s second fiscal quarter, and (2) our annual revenues equaled or exceeded $100 million during such completed fiscal year or the market value of our shares of common stock held by non-affiliates equals or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46" w:lineRule="exact"/>
        <w:rPr>
          <w:sz w:val="20"/>
          <w:szCs w:val="20"/>
          <w:color w:val="auto"/>
        </w:rPr>
      </w:pPr>
    </w:p>
    <w:p>
      <w:pPr>
        <w:ind w:right="660"/>
        <w:spacing w:after="0" w:line="365" w:lineRule="auto"/>
        <w:rPr>
          <w:sz w:val="20"/>
          <w:szCs w:val="20"/>
          <w:color w:val="auto"/>
        </w:rPr>
      </w:pPr>
      <w:r>
        <w:rPr>
          <w:rFonts w:ascii="Arial" w:cs="Arial" w:eastAsia="Arial" w:hAnsi="Arial"/>
          <w:sz w:val="15"/>
          <w:szCs w:val="15"/>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Provisions in our Certificate of Incorporation and our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41"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19"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 created directorships;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64" w:lineRule="exact"/>
        <w:rPr>
          <w:rFonts w:ascii="Arial" w:cs="Arial" w:eastAsia="Arial" w:hAnsi="Arial"/>
          <w:sz w:val="18"/>
          <w:szCs w:val="18"/>
          <w:color w:val="auto"/>
        </w:rPr>
      </w:pPr>
    </w:p>
    <w:p>
      <w:pPr>
        <w:ind w:left="640" w:right="2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64" w:lineRule="exact"/>
        <w:rPr>
          <w:rFonts w:ascii="Arial" w:cs="Arial" w:eastAsia="Arial" w:hAnsi="Arial"/>
          <w:sz w:val="18"/>
          <w:szCs w:val="18"/>
          <w:color w:val="auto"/>
        </w:rPr>
      </w:pPr>
    </w:p>
    <w:p>
      <w:pPr>
        <w:ind w:left="640" w:right="120" w:hanging="316"/>
        <w:spacing w:after="0" w:line="277"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 and</w:t>
      </w:r>
    </w:p>
    <w:p>
      <w:pPr>
        <w:spacing w:after="0" w:line="164" w:lineRule="exact"/>
        <w:rPr>
          <w:rFonts w:ascii="Arial" w:cs="Arial" w:eastAsia="Arial" w:hAnsi="Arial"/>
          <w:sz w:val="18"/>
          <w:szCs w:val="18"/>
          <w:color w:val="auto"/>
        </w:rPr>
      </w:pPr>
    </w:p>
    <w:p>
      <w:pPr>
        <w:ind w:left="640" w:right="48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Moreover, Section 203 of the Delaware General Corporation Law (“</w:t>
      </w:r>
      <w:r>
        <w:rPr>
          <w:rFonts w:ascii="Arial" w:cs="Arial" w:eastAsia="Arial" w:hAnsi="Arial"/>
          <w:sz w:val="18"/>
          <w:szCs w:val="18"/>
          <w:i w:val="1"/>
          <w:iCs w:val="1"/>
          <w:color w:val="auto"/>
        </w:rPr>
        <w:t>DGCL</w:t>
      </w:r>
      <w:r>
        <w:rPr>
          <w:rFonts w:ascii="Arial" w:cs="Arial" w:eastAsia="Arial" w:hAnsi="Arial"/>
          <w:sz w:val="18"/>
          <w:szCs w:val="18"/>
          <w:color w:val="auto"/>
        </w:rPr>
        <w:t>”) may discourage, delay, or prevent a change in control of our company. Section 203 imposes certain restrictions on mergers, business combinations, and other transactions between us and holders of 15% or more of our common stock.</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w:t>
      </w:r>
      <w:r>
        <w:rPr>
          <w:rFonts w:ascii="Arial" w:cs="Arial" w:eastAsia="Arial" w:hAnsi="Arial"/>
          <w:sz w:val="17"/>
          <w:szCs w:val="17"/>
          <w:i w:val="1"/>
          <w:iCs w:val="1"/>
          <w:color w:val="auto"/>
        </w:rPr>
        <w:t>Federal Forum Provision</w:t>
      </w:r>
      <w:r>
        <w:rPr>
          <w:rFonts w:ascii="Arial" w:cs="Arial" w:eastAsia="Arial" w:hAnsi="Arial"/>
          <w:sz w:val="17"/>
          <w:szCs w:val="17"/>
          <w:color w:val="auto"/>
        </w:rPr>
        <w:t>”).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stockholders will not be deemed to have waived our compliance with the federal securities laws and the regulations promulgated thereunder.</w:t>
      </w:r>
    </w:p>
    <w:p>
      <w:pPr>
        <w:spacing w:after="0" w:line="1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headquartered in San Francisco, California. As of December 31, 2021, we maintained offices in various locations in the United States and internationally, including approximately 115,770 square feet for our corporate headquarters. All of our facilities are leased. We believe that our current facilities are adequate to meet our current needs and that, should it be needed, suitable additional or alternative space will be available to accommodate our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0"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or financial results.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1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Class A common stock began trading on the New York Stock Exchange under the symbol ”KIND” on November 8, 2021. Prior to that date, there was no public trading market for our Class A common stock.</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B common stock is not listed or traded on any stock exchange.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March 11, 2022, there were 56 stockholders of record of our Class A common stock and 693 stockholders of record of our Class B common stock. The actual number of holders of our Class A and Class B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have never declared nor paid any cash dividends on our capital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our ability to pay dividends is limited by covenants of our existing and unused indebtedness and may be limited by covenants of any future indebtedness we incur.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information required by this item will be included in our Proxy Statement (the “</w:t>
      </w:r>
      <w:r>
        <w:rPr>
          <w:rFonts w:ascii="Arial" w:cs="Arial" w:eastAsia="Arial" w:hAnsi="Arial"/>
          <w:sz w:val="18"/>
          <w:szCs w:val="18"/>
          <w:i w:val="1"/>
          <w:iCs w:val="1"/>
          <w:color w:val="auto"/>
        </w:rPr>
        <w:t>Proxy Statement</w:t>
      </w:r>
      <w:r>
        <w:rPr>
          <w:rFonts w:ascii="Arial" w:cs="Arial" w:eastAsia="Arial" w:hAnsi="Arial"/>
          <w:sz w:val="18"/>
          <w:szCs w:val="18"/>
          <w:color w:val="auto"/>
        </w:rPr>
        <w:t>”) for the 2022 Annual Meeting of Stockholders, to be filed with the SEC within 120 days of the year ended December 31, 2021, and is incorporated herein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57" w:lineRule="exact"/>
        <w:rPr>
          <w:sz w:val="20"/>
          <w:szCs w:val="20"/>
          <w:color w:val="auto"/>
        </w:rPr>
      </w:pPr>
    </w:p>
    <w:p>
      <w:pPr>
        <w:jc w:val="both"/>
        <w:ind w:firstLine="397"/>
        <w:spacing w:after="0" w:line="223" w:lineRule="auto"/>
        <w:rPr>
          <w:sz w:val="20"/>
          <w:szCs w:val="20"/>
          <w:color w:val="auto"/>
        </w:rPr>
      </w:pPr>
      <w:r>
        <w:rPr>
          <w:rFonts w:ascii="Arial" w:cs="Arial" w:eastAsia="Arial" w:hAnsi="Arial"/>
          <w:sz w:val="18"/>
          <w:szCs w:val="18"/>
          <w:color w:val="auto"/>
        </w:rPr>
        <w:t>On March 26, 2021,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spacing w:after="0" w:line="204" w:lineRule="exact"/>
        <w:rPr>
          <w:sz w:val="20"/>
          <w:szCs w:val="20"/>
          <w:color w:val="auto"/>
        </w:rPr>
      </w:pPr>
    </w:p>
    <w:p>
      <w:pPr>
        <w:jc w:val="both"/>
        <w:ind w:firstLine="397"/>
        <w:spacing w:after="0" w:line="223" w:lineRule="auto"/>
        <w:rPr>
          <w:sz w:val="20"/>
          <w:szCs w:val="20"/>
          <w:color w:val="auto"/>
        </w:rPr>
      </w:pPr>
      <w:r>
        <w:rPr>
          <w:rFonts w:ascii="Arial" w:cs="Arial" w:eastAsia="Arial" w:hAnsi="Arial"/>
          <w:sz w:val="18"/>
          <w:szCs w:val="18"/>
          <w:color w:val="auto"/>
        </w:rPr>
        <w:t>Simultaneously with the consummation of the initial public offering, KVSB consummated a private placement of 1,100,000 private placement shares, at a price of $10.00 per share, to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05" w:lineRule="exact"/>
        <w:rPr>
          <w:sz w:val="20"/>
          <w:szCs w:val="20"/>
          <w:color w:val="auto"/>
        </w:rPr>
      </w:pPr>
    </w:p>
    <w:p>
      <w:pPr>
        <w:jc w:val="both"/>
        <w:ind w:firstLine="397"/>
        <w:spacing w:after="0" w:line="234" w:lineRule="auto"/>
        <w:rPr>
          <w:sz w:val="20"/>
          <w:szCs w:val="20"/>
          <w:color w:val="auto"/>
        </w:rPr>
      </w:pPr>
      <w:r>
        <w:rPr>
          <w:rFonts w:ascii="Arial" w:cs="Arial" w:eastAsia="Arial" w:hAnsi="Arial"/>
          <w:sz w:val="17"/>
          <w:szCs w:val="17"/>
          <w:color w:val="auto"/>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5"/>
          <w:szCs w:val="15"/>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consolidated financial statements and related notes that are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Annual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At Nextdoor, our purpose is to cultivate a kinder world where everyone has a neighborhood they can rely on. Nextdoor is the neighborhood network that connects neighborhood stakeholders, including neighbors, businesses, and public services, online and in real life to build stronger, more vibrant, and resilient neighborhoods. As of December 31, 2021, Nextdoor was in more than 285,000 neighborhoods around the world and in nearly 1 in 3 households in the United States, and during the fourth quarter of 2021, we reached 69 million global Verified Neighbors. Neighbors and organizations, which include small and mid-sized businesses, large brands, public agencies, and nonprofits, around the world turn to Nextdoor to receive trusted information, give and get help, and build real-world connections with neighborhood stakeholders.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business metrics for the three months ended December 31, 2021 are as follows:</w:t>
      </w:r>
    </w:p>
    <w:p>
      <w:pPr>
        <w:spacing w:after="0" w:line="164"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Weekly active users (“</w:t>
      </w:r>
      <w:r>
        <w:rPr>
          <w:rFonts w:ascii="Arial" w:cs="Arial" w:eastAsia="Arial" w:hAnsi="Arial"/>
          <w:sz w:val="18"/>
          <w:szCs w:val="18"/>
          <w:i w:val="1"/>
          <w:iCs w:val="1"/>
          <w:color w:val="auto"/>
        </w:rPr>
        <w:t>WAUs”</w:t>
      </w:r>
      <w:r>
        <w:rPr>
          <w:rFonts w:ascii="Arial" w:cs="Arial" w:eastAsia="Arial" w:hAnsi="Arial"/>
          <w:sz w:val="18"/>
          <w:szCs w:val="18"/>
          <w:color w:val="auto"/>
        </w:rPr>
        <w:t>) were 35.9 million, an increase of 32% compared to the three months ended December 31, 2020.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Average revenue per weekly active user (“</w:t>
      </w:r>
      <w:r>
        <w:rPr>
          <w:rFonts w:ascii="Arial" w:cs="Arial" w:eastAsia="Arial" w:hAnsi="Arial"/>
          <w:sz w:val="17"/>
          <w:szCs w:val="17"/>
          <w:i w:val="1"/>
          <w:iCs w:val="1"/>
          <w:color w:val="auto"/>
        </w:rPr>
        <w:t>ARPU</w:t>
      </w:r>
      <w:r>
        <w:rPr>
          <w:rFonts w:ascii="Arial" w:cs="Arial" w:eastAsia="Arial" w:hAnsi="Arial"/>
          <w:sz w:val="17"/>
          <w:szCs w:val="17"/>
          <w:color w:val="auto"/>
        </w:rPr>
        <w:t>”) was $1.65, an increase of 12% compared to the three months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as of and for the year ended December 31, 2021 are as follows:</w:t>
      </w:r>
    </w:p>
    <w:p>
      <w:pPr>
        <w:spacing w:after="0" w:line="164"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was $192.2 million, an increase of 56% compared to 2020.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costs and expenses were $287.0 million, an increase of 44% compared to 2020.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loss increased 27% to $(95.3) million in 2021, compared to $(75.2) million in 2020.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loss decreased 13% to $(43.7) million in 2021, compared to $(50.2) million in 2020.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cash equivalents, and marketable securities were $715.8 million.</w:t>
      </w:r>
    </w:p>
    <w:p>
      <w:pPr>
        <w:spacing w:after="0" w:line="16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Operations—Non-GAAP Financial Measure</w:t>
      </w:r>
      <w:r>
        <w:rPr>
          <w:rFonts w:ascii="Arial" w:cs="Arial" w:eastAsia="Arial" w:hAnsi="Arial"/>
          <w:sz w:val="18"/>
          <w:szCs w:val="18"/>
          <w:color w:val="auto"/>
        </w:rPr>
        <w:t>” below for more information and for a reconciliation of net loss, the most directly comparable financial measure calculated and presented in accordance with U.S. generally accepted accounting principles (</w:t>
      </w:r>
      <w:r>
        <w:rPr>
          <w:rFonts w:ascii="Arial" w:cs="Arial" w:eastAsia="Arial" w:hAnsi="Arial"/>
          <w:sz w:val="18"/>
          <w:szCs w:val="18"/>
          <w:i w:val="1"/>
          <w:iCs w:val="1"/>
          <w:color w:val="auto"/>
        </w:rPr>
        <w:t>“GAAP”</w:t>
      </w:r>
      <w:r>
        <w:rPr>
          <w:rFonts w:ascii="Arial" w:cs="Arial" w:eastAsia="Arial" w:hAnsi="Arial"/>
          <w:sz w:val="18"/>
          <w:szCs w:val="18"/>
          <w:color w:val="auto"/>
        </w:rPr>
        <w:t>), to Adjusted EBITDA.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Transactions</w:t>
      </w:r>
    </w:p>
    <w:p>
      <w:pPr>
        <w:spacing w:after="0" w:line="151"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5"/>
          <w:szCs w:val="15"/>
          <w:color w:val="auto"/>
        </w:rPr>
        <w:t>On November 5, 2021, the Company consummated the Business Combination and the PIPE Investment (as described in the consolidated financial statements included elsewhere in this Annual Report) (collectively, the “</w:t>
      </w:r>
      <w:r>
        <w:rPr>
          <w:rFonts w:ascii="Arial" w:cs="Arial" w:eastAsia="Arial" w:hAnsi="Arial"/>
          <w:sz w:val="15"/>
          <w:szCs w:val="15"/>
          <w:i w:val="1"/>
          <w:iCs w:val="1"/>
          <w:color w:val="auto"/>
        </w:rPr>
        <w:t>Reverse Recapitalization</w:t>
      </w:r>
      <w:r>
        <w:rPr>
          <w:rFonts w:ascii="Arial" w:cs="Arial" w:eastAsia="Arial" w:hAnsi="Arial"/>
          <w:sz w:val="15"/>
          <w:szCs w:val="15"/>
          <w:color w:val="auto"/>
        </w:rPr>
        <w:t>”). Reported results from operations included herein prior to the Reverse Recapitalization are those of Legacy Nextdoor. Each share of Legacy Nextdoor common stock that was issued and outstanding immediately prior to the Closing Date, after giving effect to the conversion of all issued and outstanding shares of Legacy Nextdoor preferred stock to Legacy Nextdoor common stock, was canceled and converted into a number of shares of Nextdoor Class B common stock equal to the exchange ratio of 3.1057 as calculated in accordance with the Merger Agreement (“</w:t>
      </w:r>
      <w:r>
        <w:rPr>
          <w:rFonts w:ascii="Arial" w:cs="Arial" w:eastAsia="Arial" w:hAnsi="Arial"/>
          <w:sz w:val="15"/>
          <w:szCs w:val="15"/>
          <w:i w:val="1"/>
          <w:iCs w:val="1"/>
          <w:color w:val="auto"/>
        </w:rPr>
        <w:t>Exchange Ratio</w:t>
      </w:r>
      <w:r>
        <w:rPr>
          <w:rFonts w:ascii="Arial" w:cs="Arial" w:eastAsia="Arial" w:hAnsi="Arial"/>
          <w:sz w:val="15"/>
          <w:szCs w:val="15"/>
          <w:color w:val="auto"/>
        </w:rPr>
        <w:t>”) multiplied by the number of shares of Legacy Nextdoor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05"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5"/>
          <w:szCs w:val="15"/>
          <w:color w:val="auto"/>
        </w:rPr>
        <w:t>The Merger was accounted for as a reverse recapitalization in accordance with GAAP. Under this method of accounting, 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business metrics to evaluate our business, measure our performance, develop financial forecasts, and make strategic decisions: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Weekly Active Users (WAUs)</w:t>
      </w:r>
    </w:p>
    <w:p>
      <w:pPr>
        <w:spacing w:after="0" w:line="16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7"/>
          <w:szCs w:val="17"/>
          <w:color w:val="auto"/>
        </w:rPr>
        <w:t>We define a Weekly Active User (“</w:t>
      </w:r>
      <w:r>
        <w:rPr>
          <w:rFonts w:ascii="Arial" w:cs="Arial" w:eastAsia="Arial" w:hAnsi="Arial"/>
          <w:sz w:val="17"/>
          <w:szCs w:val="17"/>
          <w:i w:val="1"/>
          <w:iCs w:val="1"/>
          <w:color w:val="auto"/>
        </w:rPr>
        <w:t>WAU</w:t>
      </w:r>
      <w:r>
        <w:rPr>
          <w:rFonts w:ascii="Arial" w:cs="Arial" w:eastAsia="Arial" w:hAnsi="Arial"/>
          <w:sz w:val="17"/>
          <w:szCs w:val="17"/>
          <w:color w:val="auto"/>
        </w:rPr>
        <w:t>”) as a Nextdoor user who opens our application, logs on to our website, or engages with an email with monetizable content at least once during a defined 7-day period.</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w:t>
      </w:r>
    </w:p>
    <w:p>
      <w:pPr>
        <w:spacing w:after="0" w:line="138"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spacing w:after="0" w:line="135"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Our WAU for the three months ended December 31, 2021 and 2020 was 35.9 million and 27.1 million, respectively. In 2021, engagement as measured by WAUs has grown steadily as users have returned to our platform for the utility that it offers them. As illustrated below, our international WAUs have grown at a faster rate than our U.S. WAUs, and we expect this international growth to continue to outpace U.S. growth in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16827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50" w:lineRule="exact"/>
        <w:rPr>
          <w:sz w:val="20"/>
          <w:szCs w:val="20"/>
          <w:color w:val="auto"/>
        </w:rPr>
      </w:pPr>
    </w:p>
    <w:p>
      <w:pPr>
        <w:jc w:val="both"/>
        <w:ind w:firstLine="324"/>
        <w:spacing w:after="0" w:line="219" w:lineRule="auto"/>
        <w:tabs>
          <w:tab w:leader="none" w:pos="419" w:val="left"/>
        </w:tabs>
        <w:numPr>
          <w:ilvl w:val="0"/>
          <w:numId w:val="33"/>
        </w:numPr>
        <w:rPr>
          <w:rFonts w:ascii="Arial" w:cs="Arial" w:eastAsia="Arial" w:hAnsi="Arial"/>
          <w:sz w:val="23"/>
          <w:szCs w:val="23"/>
          <w:color w:val="auto"/>
          <w:vertAlign w:val="superscript"/>
        </w:rPr>
      </w:pPr>
      <w:r>
        <w:rPr>
          <w:rFonts w:ascii="Arial" w:cs="Arial" w:eastAsia="Arial" w:hAnsi="Arial"/>
          <w:sz w:val="14"/>
          <w:szCs w:val="14"/>
          <w:color w:val="auto"/>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w:t>
      </w:r>
      <w:r>
        <w:rPr>
          <w:rFonts w:ascii="Arial" w:cs="Arial" w:eastAsia="Arial" w:hAnsi="Arial"/>
          <w:sz w:val="14"/>
          <w:szCs w:val="14"/>
          <w:i w:val="1"/>
          <w:iCs w:val="1"/>
          <w:color w:val="auto"/>
        </w:rPr>
        <w:t>CPM</w:t>
      </w:r>
      <w:r>
        <w:rPr>
          <w:rFonts w:ascii="Arial" w:cs="Arial" w:eastAsia="Arial" w:hAnsi="Arial"/>
          <w:sz w:val="14"/>
          <w:szCs w:val="14"/>
          <w:color w:val="auto"/>
        </w:rPr>
        <w:t>”) basis or on a cost per click (“</w:t>
      </w:r>
      <w:r>
        <w:rPr>
          <w:rFonts w:ascii="Arial" w:cs="Arial" w:eastAsia="Arial" w:hAnsi="Arial"/>
          <w:sz w:val="14"/>
          <w:szCs w:val="14"/>
          <w:i w:val="1"/>
          <w:iCs w:val="1"/>
          <w:color w:val="auto"/>
        </w:rPr>
        <w:t>CPC</w:t>
      </w:r>
      <w:r>
        <w:rPr>
          <w:rFonts w:ascii="Arial" w:cs="Arial" w:eastAsia="Arial" w:hAnsi="Arial"/>
          <w:sz w:val="14"/>
          <w:szCs w:val="14"/>
          <w:color w:val="auto"/>
        </w:rPr>
        <w:t>”) basis or, with respect to neighborhood sponsorships and local deals, on a fixed-fee basis. While we have the ability to serve ads in all emails with monetizable content, we currently only do so on a portion of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Average Weekly Active Users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5796915" cy="5628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6915" cy="562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Weekly Active User (ARPU)</w:t>
      </w:r>
    </w:p>
    <w:p>
      <w:pPr>
        <w:spacing w:after="0" w:line="16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8" w:name="page59"/>
    <w:bookmarkEnd w:id="58"/>
    <w:p>
      <w:pPr>
        <w:spacing w:after="0" w:line="119"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Our ARPU for the years ended December 31, 2021 and 2020 was $6.13 and $4.62, respectively. Our ARPU reflects the seasonality of our advertising revenue, with the fourth quarter typically being the strongest quarter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93345</wp:posOffset>
            </wp:positionV>
            <wp:extent cx="4458970" cy="27762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58970" cy="277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Quarterly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115570</wp:posOffset>
            </wp:positionV>
            <wp:extent cx="5216525" cy="2692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6525" cy="269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Growth in and Engagement of Users. </w:t>
      </w:r>
      <w:r>
        <w:rPr>
          <w:rFonts w:ascii="Arial" w:cs="Arial" w:eastAsia="Arial" w:hAnsi="Arial"/>
          <w:sz w:val="18"/>
          <w:szCs w:val="18"/>
          <w:color w:val="auto"/>
        </w:rPr>
        <w:t>We measure growth in, and engagement of, users by tracking WAUs. As the size and engagement of our user base</w:t>
      </w:r>
      <w:r>
        <w:rPr>
          <w:rFonts w:ascii="Arial" w:cs="Arial" w:eastAsia="Arial" w:hAnsi="Arial"/>
          <w:sz w:val="18"/>
          <w:szCs w:val="18"/>
          <w:i w:val="1"/>
          <w:iCs w:val="1"/>
          <w:color w:val="auto"/>
        </w:rPr>
        <w:t xml:space="preserve"> </w:t>
      </w:r>
      <w:r>
        <w:rPr>
          <w:rFonts w:ascii="Arial" w:cs="Arial" w:eastAsia="Arial" w:hAnsi="Arial"/>
          <w:sz w:val="18"/>
          <w:szCs w:val="18"/>
          <w:color w:val="auto"/>
        </w:rPr>
        <w:t>grows, we believe the potential to increase our revenue grows.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9" w:name="page60"/>
    <w:bookmarkEnd w:id="59"/>
    <w:p>
      <w:pPr>
        <w:spacing w:after="0" w:line="200" w:lineRule="exact"/>
        <w:rPr>
          <w:sz w:val="20"/>
          <w:szCs w:val="20"/>
          <w:color w:val="auto"/>
        </w:rPr>
      </w:pPr>
    </w:p>
    <w:p>
      <w:pPr>
        <w:spacing w:after="0" w:line="31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may face challenges increasing the size and engagement of our user base due to a number of factors including competition, challenges in acquiring and engaging users, or changes in regulations.</w:t>
      </w:r>
    </w:p>
    <w:p>
      <w:pPr>
        <w:spacing w:after="0" w:line="127"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i w:val="1"/>
          <w:iCs w:val="1"/>
          <w:color w:val="auto"/>
        </w:rPr>
        <w:t>Growth in Monetization</w:t>
      </w:r>
      <w:r>
        <w:rPr>
          <w:rFonts w:ascii="Arial" w:cs="Arial" w:eastAsia="Arial" w:hAnsi="Arial"/>
          <w:sz w:val="18"/>
          <w:szCs w:val="18"/>
          <w:color w:val="auto"/>
        </w:rPr>
        <w:t>. Monetization trends, which are reflected in our ARPU, are a key factor that affects our revenue and financial results. To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monetization, we are focused on serving more national brands by building out our salesforce, and enhancing our self-serve tools for customers of all sizes. We are also focused on increasing our user base and engagement in the United States and internationally, which will increase the opportunities for businesses to advertise on Nextdoor.</w:t>
      </w:r>
    </w:p>
    <w:p>
      <w:pPr>
        <w:spacing w:after="0" w:line="136"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There are many variables that impact ARPU, including the number of ad impressions shown on our platform and the price per ad, which depends on a number of factors including the engagement of our user base, the number and diversity of our customers, seasonality of advertising spend, our customers’ advertising objectives, advertising performance, the effectiveness of our advertising products, our ability to measure that effectiveness for our customer, and the effect of geographic differences on each of these factors.</w:t>
      </w:r>
    </w:p>
    <w:p>
      <w:pPr>
        <w:spacing w:after="0" w:line="13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Due to our decision to focus our earliest monetization efforts in the United States, we have less experience monetizing international markets and therefore may experience challenges scaling and monetizing these markets. The international advertising market is also less mature than the U.S. digital advertising market.</w:t>
      </w:r>
    </w:p>
    <w:p>
      <w:pPr>
        <w:spacing w:after="0" w:line="137"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i w:val="1"/>
          <w:iCs w:val="1"/>
          <w:color w:val="auto"/>
        </w:rPr>
        <w:t xml:space="preserve">Investment for Growth. </w:t>
      </w:r>
      <w:r>
        <w:rPr>
          <w:rFonts w:ascii="Arial" w:cs="Arial" w:eastAsia="Arial" w:hAnsi="Arial"/>
          <w:sz w:val="18"/>
          <w:szCs w:val="18"/>
          <w:color w:val="auto"/>
        </w:rPr>
        <w:t>We intend to continue to invest in technology that we believe will enhance user and customer experiences. We also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invest heavily in our advertising products, including our self-serve advertising platform and first-party and third-party ad measurement tools, as well as our sales team. Our ability to grow our user base, attract new advertisers, increase our revenue, and expand our total addressable market will depend, in part, on our ability to continue innovating.</w:t>
      </w:r>
    </w:p>
    <w:p>
      <w:pPr>
        <w:spacing w:after="0" w:line="13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i w:val="1"/>
          <w:iCs w:val="1"/>
          <w:color w:val="auto"/>
        </w:rPr>
        <w:t xml:space="preserve">International Expansion. </w:t>
      </w:r>
      <w:r>
        <w:rPr>
          <w:rFonts w:ascii="Arial" w:cs="Arial" w:eastAsia="Arial" w:hAnsi="Arial"/>
          <w:sz w:val="17"/>
          <w:szCs w:val="17"/>
          <w:color w:val="auto"/>
        </w:rPr>
        <w:t>Our early proof points from launches in certain countries outside of the United States show user engagement across international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on par with the U.S. market. We believe that increased international monetization presents an important opportunity for growth, and we are working on localizing our product and expanding our operations to better serve our international user and customer base. We are still in the early stages of global expansion and will continue to evaluate expansion opportunities in our current international markets, and also in additional geographies. Over time, we believe that international WAUs can grow rapidly. We also believe that we can increase the monetization of users in international markets and that we can increase long-term ARPU for international WAUs from current levels. While we expect to grow ARPU for international WAUs, we still expect this to be lower than ARPU for U.S. WAUs. We expect that our international expansion will require significant investment. Although our investments in international expansion may adversely affect our operating results in the near term, we believe that they will contribute to our long-term growth. If our near-term investments do not lead to increased international WAUs and ARPU and expected revenue growth over time, we may not achieve or, if achieved, maintain profitability and our growth rates may slow or decline.</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Industry advertising spend tends to be strongest in the fourth quarter, and we observe a similar pattern in our historical revenue. Our</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growth has partially masked these trends in historical periods.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generate substantially all of our revenue from the delivery of advertisements on our platform which includes the delivery of advertising impressions sold on a CPM basis and CPC basis, as well as neighborhood sponsorships and local deals which are sold on a fixed-fee basis. The majority of our revenue is generated in the United States.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4"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products and credit card transaction fees related to processing customer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19"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expect cost of revenue will increase on an absolute dollar basis as neighbor activity on our platform increases. While we expect to realize scale benefits over time, our cost of revenue as a percentage of revenue may vary from period-to-period and is expected to increase modestly over the near and medium term as we invest in new products and features to further increase platform engagement.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Research and development expenses consist primarily of personnel-related costs, including salaries, benefits,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18" w:lineRule="exact"/>
        <w:rPr>
          <w:sz w:val="20"/>
          <w:szCs w:val="20"/>
          <w:color w:val="auto"/>
        </w:rPr>
      </w:pPr>
    </w:p>
    <w:p>
      <w:pPr>
        <w:jc w:val="both"/>
        <w:ind w:firstLine="318"/>
        <w:spacing w:after="0" w:line="347" w:lineRule="auto"/>
        <w:rPr>
          <w:sz w:val="20"/>
          <w:szCs w:val="20"/>
          <w:color w:val="auto"/>
        </w:rPr>
      </w:pPr>
      <w:r>
        <w:rPr>
          <w:rFonts w:ascii="Arial" w:cs="Arial" w:eastAsia="Arial" w:hAnsi="Arial"/>
          <w:sz w:val="15"/>
          <w:szCs w:val="15"/>
          <w:color w:val="auto"/>
        </w:rPr>
        <w:t>We expect research and development expenses will increase on an absolute dollar basis due to investments that we are making in our platform. We expect that research and development expenses as a percentage of revenue will vary from period-to-period over the short term and decrease over the long term.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4"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Sales and marketing expenses consist of personnel-related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small and mid-sized customer acquisition, and neighbor services, which includes personnel-related costs for our neighbor support team, our outsourced neighbor support function, and verification costs.</w:t>
      </w:r>
    </w:p>
    <w:p>
      <w:pPr>
        <w:spacing w:after="0" w:line="13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Performance marketing costs related to user acquisition largely consist of the distribution of mailed invitations and, to a lesser extent,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92"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We expect sales and marketing expenses will increase on an absolute dollar basis due to continued investment in sales activities, increased investment in marketing to acquire users, small and mid-sized customers, and further investment in international expansion. We expect sales and marketing expenses as a percentage of revenue will vary from period-to-period over the short term and decrease over the long term.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4"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5"/>
          <w:szCs w:val="15"/>
          <w:color w:val="auto"/>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85"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5"/>
          <w:szCs w:val="15"/>
          <w:color w:val="auto"/>
        </w:rPr>
        <w:t>We expect general and administrative expenses will increase on an absolute dollar basis for the foreseeable future to support our growth as well as due to additional costs associated with legal, accounting, compliance, investor relations, and other costs as a result of operating as a public company. We expect general and administrative expenses as a percentage of revenue will vary from period-to-period over the short term and decrease over the long term.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consists of interest earned on our cash, cash equivalents, and marketable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income (expense), net consists primarily of unrealized gains and losses from the re-measurement of monetary assets and liabilities denominated in non-functional currencies, and foreign currency transaction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color w:val="auto"/>
        </w:rPr>
        <w:t>The results of operations presented below should be reviewed in conjunction with our consolidated financial statements and related notes thereto included elsewhere in this Annual Report. The following table sets forth our consolidated results of operations for the periods presented.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123,284</w:t>
            </w:r>
          </w:p>
        </w:tc>
        <w:tc>
          <w:tcPr>
            <w:tcW w:w="0" w:type="dxa"/>
            <w:vAlign w:val="bottom"/>
          </w:tcPr>
          <w:p>
            <w:pPr>
              <w:spacing w:after="0"/>
              <w:rPr>
                <w:sz w:val="1"/>
                <w:szCs w:val="1"/>
                <w:color w:val="auto"/>
              </w:rPr>
            </w:pPr>
          </w:p>
        </w:tc>
      </w:tr>
      <w:tr>
        <w:trPr>
          <w:trHeight w:val="225"/>
        </w:trPr>
        <w:tc>
          <w:tcPr>
            <w:tcW w:w="8260" w:type="dxa"/>
            <w:vAlign w:val="bottom"/>
          </w:tcPr>
          <w:p>
            <w:pPr>
              <w:ind w:left="20"/>
              <w:spacing w:after="0" w:line="225" w:lineRule="exact"/>
              <w:rPr>
                <w:sz w:val="20"/>
                <w:szCs w:val="20"/>
                <w:color w:val="auto"/>
              </w:rPr>
            </w:pPr>
            <w:r>
              <w:rPr>
                <w:rFonts w:ascii="Arial" w:cs="Arial" w:eastAsia="Arial" w:hAnsi="Arial"/>
                <w:sz w:val="18"/>
                <w:szCs w:val="18"/>
                <w:color w:val="auto"/>
              </w:rPr>
              <w:t>Costs and expenses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25"/>
        </w:trPr>
        <w:tc>
          <w:tcPr>
            <w:tcW w:w="82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69,231</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199,935</w:t>
            </w:r>
          </w:p>
        </w:tc>
        <w:tc>
          <w:tcPr>
            <w:tcW w:w="0" w:type="dxa"/>
            <w:vAlign w:val="bottom"/>
          </w:tcPr>
          <w:p>
            <w:pPr>
              <w:spacing w:after="0"/>
              <w:rPr>
                <w:sz w:val="1"/>
                <w:szCs w:val="1"/>
                <w:color w:val="auto"/>
              </w:rPr>
            </w:pPr>
          </w:p>
        </w:tc>
      </w:tr>
      <w:tr>
        <w:trPr>
          <w:trHeight w:val="218"/>
        </w:trPr>
        <w:tc>
          <w:tcPr>
            <w:tcW w:w="8260" w:type="dxa"/>
            <w:vAlign w:val="bottom"/>
          </w:tcPr>
          <w:p>
            <w:pPr>
              <w:ind w:left="34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(76,651)</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(75,107)</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2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26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8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10,235</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components of our consolidated statements of operations as a percentage of revenue for each of the periods presented:</w:t>
      </w:r>
    </w:p>
    <w:p>
      <w:pPr>
        <w:spacing w:after="0" w:line="241"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(as a percentage of total revenue)</w:t>
            </w:r>
          </w:p>
        </w:tc>
        <w:tc>
          <w:tcPr>
            <w:tcW w:w="15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w:t>
            </w:r>
          </w:p>
        </w:tc>
      </w:tr>
      <w:tr>
        <w:trPr>
          <w:trHeight w:val="225"/>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56</w:t>
            </w:r>
          </w:p>
        </w:tc>
      </w:tr>
      <w:tr>
        <w:trPr>
          <w:trHeight w:val="22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w:t>
            </w:r>
          </w:p>
        </w:tc>
      </w:tr>
      <w:tr>
        <w:trPr>
          <w:trHeight w:val="225"/>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w:t>
            </w:r>
          </w:p>
        </w:tc>
      </w:tr>
      <w:tr>
        <w:trPr>
          <w:trHeight w:val="21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5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r>
      <w:tr>
        <w:trPr>
          <w:trHeight w:val="218"/>
        </w:trPr>
        <w:tc>
          <w:tcPr>
            <w:tcW w:w="8000" w:type="dxa"/>
            <w:vAlign w:val="bottom"/>
          </w:tcPr>
          <w:p>
            <w:pPr>
              <w:ind w:left="340"/>
              <w:spacing w:after="0"/>
              <w:rPr>
                <w:sz w:val="20"/>
                <w:szCs w:val="20"/>
                <w:color w:val="auto"/>
              </w:rPr>
            </w:pPr>
            <w:r>
              <w:rPr>
                <w:rFonts w:ascii="Arial" w:cs="Arial" w:eastAsia="Arial" w:hAnsi="Arial"/>
                <w:sz w:val="18"/>
                <w:szCs w:val="18"/>
                <w:color w:val="auto"/>
              </w:rPr>
              <w:t>Loss from operations</w:t>
            </w:r>
          </w:p>
        </w:tc>
        <w:tc>
          <w:tcPr>
            <w:tcW w:w="1580" w:type="dxa"/>
            <w:vAlign w:val="bottom"/>
          </w:tcPr>
          <w:p>
            <w:pPr>
              <w:ind w:left="11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580" w:type="dxa"/>
            <w:vAlign w:val="bottom"/>
          </w:tcPr>
          <w:p>
            <w:pPr>
              <w:ind w:left="1120"/>
              <w:spacing w:after="0"/>
              <w:rPr>
                <w:sz w:val="20"/>
                <w:szCs w:val="20"/>
                <w:color w:val="auto"/>
              </w:rPr>
            </w:pPr>
            <w:r>
              <w:rPr>
                <w:rFonts w:ascii="Arial" w:cs="Arial" w:eastAsia="Arial" w:hAnsi="Arial"/>
                <w:sz w:val="18"/>
                <w:szCs w:val="18"/>
                <w:color w:val="auto"/>
              </w:rPr>
              <w:t>(62)</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1</w:t>
            </w:r>
          </w:p>
        </w:tc>
      </w:tr>
      <w:tr>
        <w:trPr>
          <w:trHeight w:val="219"/>
        </w:trPr>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158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(61)</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44"/>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5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5"/>
              </w:rPr>
              <w:t>(50)%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1"/>
              </w:rPr>
              <w:t>(61)%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Pr>
          <w:p>
            <w:pPr>
              <w:spacing w:after="0"/>
              <w:rPr>
                <w:sz w:val="16"/>
                <w:szCs w:val="16"/>
                <w:color w:val="auto"/>
              </w:rPr>
            </w:pPr>
          </w:p>
        </w:tc>
        <w:tc>
          <w:tcPr>
            <w:tcW w:w="124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r>
      <w:tr>
        <w:trPr>
          <w:trHeight w:val="18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192,197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123,284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8"/>
              </w:rPr>
              <w:t>68,913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bl>
    <w:p>
      <w:pPr>
        <w:spacing w:after="0" w:line="239"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8"/>
          <w:szCs w:val="18"/>
          <w:color w:val="auto"/>
        </w:rPr>
        <w:t>Revenue increased by $68.9 million, or 56%, for the year ended December 31, 2021 compared to the year ended December 31, 2020. The increase was primarily due to increased advertiser demand across our product offerings, our growing sales team, and increased user engagement as measured by a 32% increase in Q4 WAUs. ARPU increased 33% primarily due to a 40% increase in the number of impressions delivered, which outpaced WAU growth during the period, and a 7% increase in the price per delivered impression.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r>
      <w:tr>
        <w:trPr>
          <w:trHeight w:val="18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28,813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21,586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bl>
    <w:p>
      <w:pPr>
        <w:spacing w:after="0" w:line="25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7"/>
          <w:szCs w:val="17"/>
          <w:color w:val="auto"/>
        </w:rPr>
        <w:t>Cost of revenue increased by $7.2 million, or 33%, for the year ended December 31, 2021 compared to the year ended December 31, 2020. The increase was primarily due to $4.0 million higher third-party hosting costs due to increased user growth and engagement, a $1.4 million increase in third-party costs associated with delivering and supporting our advertising products, and a $1.1 million increase in allocated personnel-related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r>
      <w:tr>
        <w:trPr>
          <w:trHeight w:val="18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97,096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69,231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bl>
    <w:p>
      <w:pPr>
        <w:spacing w:after="0" w:line="253" w:lineRule="exact"/>
        <w:rPr>
          <w:sz w:val="20"/>
          <w:szCs w:val="20"/>
          <w:color w:val="auto"/>
        </w:rPr>
      </w:pPr>
    </w:p>
    <w:p>
      <w:pPr>
        <w:jc w:val="both"/>
        <w:ind w:firstLine="318"/>
        <w:spacing w:after="0" w:line="367" w:lineRule="auto"/>
        <w:rPr>
          <w:sz w:val="20"/>
          <w:szCs w:val="20"/>
          <w:color w:val="auto"/>
        </w:rPr>
      </w:pPr>
      <w:r>
        <w:rPr>
          <w:rFonts w:ascii="Arial" w:cs="Arial" w:eastAsia="Arial" w:hAnsi="Arial"/>
          <w:sz w:val="15"/>
          <w:szCs w:val="15"/>
          <w:color w:val="auto"/>
        </w:rPr>
        <w:t>Research and development expenses increased by $27.9 million, or 40%, for the year ended December 31, 2021 compared to the year ended December 31, 2020. The increase was primarily due to a $21.9 million increase in personnel-related costs primarily driven by an increase in headcount, a $2.9 million increase in third-party software costs, and a $1.7 million increase in allocated overhead costs reflecting an increase in headcount.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r>
      <w:tr>
        <w:trPr>
          <w:trHeight w:val="18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 and other</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45,622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Brand and performance marketing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37,534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23,666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Neighbor services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11,037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19"/>
        </w:trPr>
        <w:tc>
          <w:tcPr>
            <w:tcW w:w="4640" w:type="dxa"/>
            <w:vAlign w:val="bottom"/>
          </w:tcPr>
          <w:p>
            <w:pPr>
              <w:ind w:left="20"/>
              <w:spacing w:after="0"/>
              <w:rPr>
                <w:sz w:val="20"/>
                <w:szCs w:val="20"/>
                <w:color w:val="auto"/>
              </w:rPr>
            </w:pPr>
            <w:r>
              <w:rPr>
                <w:rFonts w:ascii="Arial" w:cs="Arial" w:eastAsia="Arial" w:hAnsi="Arial"/>
                <w:sz w:val="18"/>
                <w:szCs w:val="18"/>
                <w:color w:val="auto"/>
              </w:rPr>
              <w:t>Total sales and marketing</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80,325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0"/>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Sales and marketing expenses increased by $26.1 million, or 32%, for the year ended December 31, 2021 compared to the year ended December 31, 2020. The increase was primarily due to an $11.3 million increase in personnel-related and other costs, which was primarily driven by growth in our sales team who supports large brands, a $9.9 million increase in performance marketing costs to attract small and mid-sized customers, a $4.0 million increase in performance marketing costs for user acquisition, and an increase of $0.9 million in neighbor services costs due to the growth of our user base and the corresponding neighbor support and verification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r>
      <w:tr>
        <w:trPr>
          <w:trHeight w:val="18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54,664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28,793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bl>
    <w:p>
      <w:pPr>
        <w:spacing w:after="0" w:line="253"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7"/>
          <w:szCs w:val="17"/>
          <w:color w:val="auto"/>
        </w:rPr>
        <w:t>General and administrative expenses increased by $25.9 million, or 90%, for the year ended December 31, 2021 compared to the year ended December 31, 2020. The increase was primarily due to a $14.9 million increase in personnel-related costs which was driven by an increase in headcount and also includes a one-time stock-based compensation expense of $8.5 million related to a stock option grant with a performance-based vesting condition that was satisfied upon the closing of the Merger. General and administrative expenses also experienced a $6.5 million increase in fees for professional services primarily due to costs related to preparations for and operating as a public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r>
      <w:tr>
        <w:trPr>
          <w:trHeight w:val="185"/>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253"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8"/>
          <w:szCs w:val="18"/>
          <w:color w:val="auto"/>
        </w:rPr>
        <w:t>Interest income decreased by $0.6 million, or 76%, for the year ended December 31, 2021 compared to the year ended December 31, 2020. The decrease was primarily due to a decline in effective market yields on our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Pr>
          <w:p>
            <w:pPr>
              <w:spacing w:after="0"/>
              <w:rPr>
                <w:sz w:val="16"/>
                <w:szCs w:val="16"/>
                <w:color w:val="auto"/>
              </w:rPr>
            </w:pPr>
          </w:p>
        </w:tc>
        <w:tc>
          <w:tcPr>
            <w:tcW w:w="1680" w:type="dxa"/>
            <w:vAlign w:val="bottom"/>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r>
      <w:tr>
        <w:trPr>
          <w:trHeight w:val="154"/>
        </w:trPr>
        <w:tc>
          <w:tcPr>
            <w:tcW w:w="4700" w:type="dxa"/>
            <w:vAlign w:val="bottom"/>
          </w:tcPr>
          <w:p>
            <w:pPr>
              <w:ind w:left="20"/>
              <w:spacing w:after="0" w:line="154" w:lineRule="exact"/>
              <w:rPr>
                <w:sz w:val="20"/>
                <w:szCs w:val="20"/>
                <w:color w:val="auto"/>
              </w:rPr>
            </w:pPr>
            <w:r>
              <w:rPr>
                <w:rFonts w:ascii="Arial" w:cs="Arial" w:eastAsia="Arial" w:hAnsi="Arial"/>
                <w:sz w:val="14"/>
                <w:szCs w:val="14"/>
                <w:i w:val="1"/>
                <w:iCs w:val="1"/>
                <w:color w:val="auto"/>
              </w:rPr>
              <w:t>(in thousands, except percentages)</w:t>
            </w: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19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(NM = Not Meaningful)</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bl>
    <w:p>
      <w:pPr>
        <w:spacing w:after="0" w:line="253" w:lineRule="exact"/>
        <w:rPr>
          <w:sz w:val="20"/>
          <w:szCs w:val="20"/>
          <w:color w:val="auto"/>
        </w:rPr>
      </w:pPr>
    </w:p>
    <w:p>
      <w:pPr>
        <w:jc w:val="both"/>
        <w:ind w:right="20" w:firstLine="318"/>
        <w:spacing w:after="0" w:line="327" w:lineRule="auto"/>
        <w:rPr>
          <w:sz w:val="20"/>
          <w:szCs w:val="20"/>
          <w:color w:val="auto"/>
        </w:rPr>
      </w:pPr>
      <w:r>
        <w:rPr>
          <w:rFonts w:ascii="Arial" w:cs="Arial" w:eastAsia="Arial" w:hAnsi="Arial"/>
          <w:sz w:val="17"/>
          <w:szCs w:val="17"/>
          <w:color w:val="auto"/>
        </w:rPr>
        <w:t>Other income (expense), net decreased by $1.4 million for the year ended December 31, 2021 compared to the year ended December 31, 2020. The decrease was primarily due to the periodic re-measurement of monetary assets and liabilities denominated in non-functional currencies.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6"/>
                <w:szCs w:val="16"/>
                <w:color w:val="auto"/>
              </w:rPr>
            </w:pPr>
          </w:p>
        </w:tc>
      </w:tr>
      <w:tr>
        <w:trPr>
          <w:trHeight w:val="19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239"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8"/>
          <w:szCs w:val="18"/>
          <w:color w:val="auto"/>
        </w:rPr>
        <w:t>Provision for income taxes increased by $0.1 million for the year ended December 31, 2021 compared to the year ended December 31, 2020. The increase was primarily due to state income tax expenses.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Since inception, we have generated negative cash flows from operations and have primarily financed our operations from net proceeds received from the sale of equity securities and payments received from our customers. As of December 31, 2021, we had raised an aggregate of $470.9 million, net of issuance costs, through the sales of redeemable convertible preferred stock and issuance of restricted stock. We currently have no debt outstanding. On November 5, 2021, we consummated the Reverse Recapitalization and received net cash proceeds of $628.5 million, prior to the payment of transaction costs of $5.4 million.</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generated losses from our operations, as reflected in our accumulated deficit of $480.3 million as of December 31, 2021.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expansion of our business.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we had $715.8 million in cash, cash equivalents, and marketable securities. We</w:t>
      </w:r>
    </w:p>
    <w:p>
      <w:pPr>
        <w:jc w:val="both"/>
        <w:spacing w:after="0" w:line="231" w:lineRule="auto"/>
        <w:rPr>
          <w:sz w:val="20"/>
          <w:szCs w:val="20"/>
          <w:color w:val="auto"/>
        </w:rPr>
      </w:pPr>
      <w:r>
        <w:rPr>
          <w:rFonts w:ascii="Arial" w:cs="Arial" w:eastAsia="Arial" w:hAnsi="Arial"/>
          <w:sz w:val="17"/>
          <w:szCs w:val="17"/>
          <w:color w:val="auto"/>
        </w:rPr>
        <w:t>anticipate satisfying our short 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 future equity or debt financing.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and the continuing market adoption of our platform, and our ability to obtain equity or debt financing. Our principal commitments were as follows as of December 31, 2021: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4"/>
                <w:szCs w:val="14"/>
                <w:b w:val="1"/>
                <w:bCs w:val="1"/>
                <w:color w:val="auto"/>
                <w:w w:val="90"/>
              </w:rPr>
              <w:t>Payments Due By Period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Less Than 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More Than 5 Years</w:t>
            </w:r>
          </w:p>
        </w:tc>
      </w:tr>
      <w:tr>
        <w:trPr>
          <w:trHeight w:val="219"/>
        </w:trPr>
        <w:tc>
          <w:tcPr>
            <w:tcW w:w="484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27,697</w:t>
            </w:r>
          </w:p>
        </w:tc>
      </w:tr>
      <w:tr>
        <w:trPr>
          <w:trHeight w:val="225"/>
        </w:trPr>
        <w:tc>
          <w:tcPr>
            <w:tcW w:w="484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Non-cancellable purchase commitments</w:t>
            </w:r>
            <w:r>
              <w:rPr>
                <w:rFonts w:ascii="Arial" w:cs="Arial" w:eastAsia="Arial" w:hAnsi="Arial"/>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 and commitments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132,952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29,023</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contractual commitment amounts under operating leases in the table above are primarily related to corporate office facility leases.</w:t>
      </w:r>
    </w:p>
    <w:p>
      <w:pPr>
        <w:ind w:left="320" w:right="500" w:hanging="314"/>
        <w:spacing w:after="0" w:line="247" w:lineRule="auto"/>
        <w:tabs>
          <w:tab w:leader="none" w:pos="312"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of December 31, 2021, our non-cancellable purchase commitments primarily related to third-party hosting costs. These purchase commitments were not recorded as liabilities on the consolidated balance sheet as of December 31, 2021, as we had not yet received the related services.</w:t>
      </w:r>
    </w:p>
    <w:p>
      <w:pPr>
        <w:spacing w:after="0" w:line="127"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7"/>
          <w:szCs w:val="17"/>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Years Ended December 31,</w:t>
            </w:r>
          </w:p>
        </w:tc>
      </w:tr>
      <w:tr>
        <w:trPr>
          <w:trHeight w:val="185"/>
        </w:trPr>
        <w:tc>
          <w:tcPr>
            <w:tcW w:w="78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1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(41,604)</w:t>
            </w:r>
          </w:p>
        </w:tc>
      </w:tr>
      <w:tr>
        <w:trPr>
          <w:trHeight w:val="225"/>
        </w:trPr>
        <w:tc>
          <w:tcPr>
            <w:tcW w:w="78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(149,522)</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36,792</w:t>
            </w:r>
          </w:p>
        </w:tc>
      </w:tr>
      <w:tr>
        <w:trPr>
          <w:trHeight w:val="22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Cash used in operating activities during the year ended December 31, 2021 was $51.3 million which resulted from a net loss of $(95.3) million, adjusted for non-cash charges of $52.0 million and net cash outflows of $7.9 million from changes in operating assets and liabilities. Non-cash charges primarily consisted of $47.5 million of stock-based compensation expense and $4.2 million of depreciation and amortization expense. The net cash outflows from changes in operating assets and liabilities were primarily due to an $8.2 million increase in accounts receivable, a $4.1 million increase in prepaid expenses and other current assets, and a $5.8 million decrease in operating lease liabilities due to lease payments. These amounts were partially offset by a $6.6 million decrease in operating lease right-of-use assets due to normal amortization and a $2.8 million increase in accounts payable.</w:t>
      </w:r>
    </w:p>
    <w:p>
      <w:pPr>
        <w:spacing w:after="0" w:line="9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Cash used in operating activities during the year ended December 31, 2020 was $41.6 million which resulted from a net loss of $(75.2) million, adjusted for non-cash charges of $26.2 million and net cash inflows of $7.4 million from changes in operating assets and liabilities. Non-cash charges primarily consisted of $22.6 million of stock-based compensation expense and $3.1 million of depreciation and amortization expense. The net cash inflow from changes in operating assets and liabilities was primarily the result of a $7.7 million increase in accrued expenses and other current liabilities, a $5.2 million decrease in operating lease right-of-use assets due to normal amortization, and a $2.5 million decrease in prepaid expenses and other current assets. These amounts were partially offset by a $4.5 million decrease in operating lease liabilities due to lease payments and a $3.2 million increase in accounts receivable.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used in investing activities for the year ended December 31, 2021 was $149.5 million, which consisted of purchases of marketable securities of $199.8 million and the purchase of property and equipment of $8.8 million. This was offset by proceeds from maturities of marketable securities of $56.7 million and proceeds from sales of marketable securities of $2.4 million.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provided by investing activities for the year ended December 31, 2020 was $36.8 million, which consisted of proceeds from sales of marketable securities of $21.8 million and maturities of marketable securities of $97.6 million. This was offset by the purchases of marketable securities of $77.6 million and the purchase of property and equipment of $5.0 million related to our new San Francisco headquarters.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provided by financing activities for the year ended December 31, 2021 was $637.6 million, which included $628.5 million in proceeds from the Reverse Recapitalization and $15.3 million of proceeds from the exercise of stock options, net of repurchases. This was partially offset by the payment of deferred transaction costs of $5.4 million.</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provided by financing activities for the year ended December 31, 2020 was $6.4 million, which reflected proceeds from the exercise of stock options, net of repurchases.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Adjusted EBITDA is a non-GAAP financial measure that represents our net loss adjusted for depreciation and amortization, stock-based compensation, net interest income, provision for income taxes, and acquisition-related costs.</w:t>
      </w:r>
    </w:p>
    <w:p>
      <w:pPr>
        <w:spacing w:after="0" w:line="12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net loss, the most comparable GAAP measure,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Years Ended December 31,</w:t>
            </w:r>
          </w:p>
        </w:tc>
      </w:tr>
      <w:tr>
        <w:trPr>
          <w:trHeight w:val="18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(75,234)</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3,058</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9"/>
        </w:trPr>
        <w:tc>
          <w:tcPr>
            <w:tcW w:w="82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(50,168)</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prepare our consolidated financial statements in accordance with GAAP. Preparing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critical accounting policies requiring estimates, assumptions, and judgments that we believe have the most significant impact on our consolidated financial statements are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generate a majority of our revenue from the delivery of advertising services.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64"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recognize advertising revenue after satisfying our contractual performance obligation, which, for the majority of our advertising arrangements, is when an advertising impression is displayed to users. None of our arrangements contain minimum impression guarantees. We typically bill advertisers on a monthly basis and our payment terms vary by customer type and location. We have other advertising arrangements for the sale of neighborhood sponsorship and local deals which are typically fixed-fee arrangements and revenue is recognized on a straight-line basis over the non-cancellable contractual term of the agreement, generally beginning on the date our service is made available to the customer.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certain advertising arrangements we require payment upfront from our customers. We record deferred revenue when we collect cash from customers in advance of revenue recognition.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the inception of our contracts we determine if the contract is or contains a lease. A contract is or contains a lease if it conveys the right to control the use of an identified asset for a period of time in exchange for consideration. Operating leases consist of real estate leases and are included in operating lease right-of-use assets and operating lease liabilities on our consolidated balance sheets at commencement date based on the present value of remaining fixed lease payments.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the discount rate implicit in the lease cannot be readily determined, we use the applicable incremental borrowing rate at lease commencement in order to discount lease payments to present value for purposes of performing lease classification tests and measuring the lease liability. The incremental borrowing rate is a hypothetical rate based on the rate of interest we would have to pay to borrow on a collateralized basis over a similar term and amount equal to the lease payments in a similar economic environment.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Stock-based compensation expense for stock-based awards is measured based on the grant date fair value of the awards and recognized in the consolidated statements of operations on a straight-line basis over the requisite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period of the awards. The grant date fair value of stock options granted is estimated using the Black-Scholes option pricing model. Forfeitures are accounted for as they occur. Historically, our stock option awards and restricted stock permitted early exercise. The unvested portion of shares exercised is recorded as a liability on our consolidated balance sheets and reclassified into stockholders’ equity (deficit) as vesting occurs.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Black-Scholes option-pricing model requires the use of highly subjective assumptions. These assumptions are estimated as follows:</w:t>
      </w:r>
    </w:p>
    <w:p>
      <w:pPr>
        <w:spacing w:after="0" w:line="164" w:lineRule="exact"/>
        <w:rPr>
          <w:sz w:val="20"/>
          <w:szCs w:val="20"/>
          <w:color w:val="auto"/>
        </w:rPr>
      </w:pPr>
    </w:p>
    <w:p>
      <w:pPr>
        <w:ind w:left="640" w:right="20" w:hanging="316"/>
        <w:spacing w:after="0" w:line="330" w:lineRule="auto"/>
        <w:tabs>
          <w:tab w:leader="none" w:pos="635" w:val="left"/>
        </w:tabs>
        <w:numPr>
          <w:ilvl w:val="0"/>
          <w:numId w:val="36"/>
        </w:numPr>
        <w:rPr>
          <w:rFonts w:ascii="Arial" w:cs="Arial" w:eastAsia="Arial" w:hAnsi="Arial"/>
          <w:sz w:val="15"/>
          <w:szCs w:val="15"/>
          <w:color w:val="auto"/>
        </w:rPr>
      </w:pPr>
      <w:r>
        <w:rPr>
          <w:rFonts w:ascii="Arial" w:cs="Arial" w:eastAsia="Arial" w:hAnsi="Arial"/>
          <w:sz w:val="15"/>
          <w:szCs w:val="15"/>
          <w:color w:val="auto"/>
        </w:rPr>
        <w:t>Fair Value of the Underlying Common Stock—Prior to the Reverse Recapitalization, the Board of Directors considered numerous objective and subjective factors to determine the fair value of our common stock. After the Reverse Recapitalization, the fair value of the underlying common stock is determined by the closing price, on the date of grant, of our Class A common stock, which is traded on the New York Stock Exchange.</w:t>
      </w:r>
    </w:p>
    <w:p>
      <w:pPr>
        <w:spacing w:after="0" w:line="83" w:lineRule="exact"/>
        <w:rPr>
          <w:rFonts w:ascii="Arial" w:cs="Arial" w:eastAsia="Arial" w:hAnsi="Arial"/>
          <w:sz w:val="15"/>
          <w:szCs w:val="15"/>
          <w:color w:val="auto"/>
        </w:rPr>
      </w:pPr>
    </w:p>
    <w:p>
      <w:pPr>
        <w:ind w:left="640" w:right="40" w:hanging="316"/>
        <w:spacing w:after="0" w:line="330" w:lineRule="auto"/>
        <w:tabs>
          <w:tab w:leader="none" w:pos="635" w:val="left"/>
        </w:tabs>
        <w:numPr>
          <w:ilvl w:val="0"/>
          <w:numId w:val="36"/>
        </w:numPr>
        <w:rPr>
          <w:rFonts w:ascii="Arial" w:cs="Arial" w:eastAsia="Arial" w:hAnsi="Arial"/>
          <w:sz w:val="15"/>
          <w:szCs w:val="15"/>
          <w:color w:val="auto"/>
        </w:rPr>
      </w:pPr>
      <w:r>
        <w:rPr>
          <w:rFonts w:ascii="Arial" w:cs="Arial" w:eastAsia="Arial" w:hAnsi="Arial"/>
          <w:sz w:val="15"/>
          <w:szCs w:val="15"/>
          <w:color w:val="auto"/>
        </w:rPr>
        <w:t>Expected Volatility—Expected volatility is a measure of the amount by which the stock price is expected to fluctuate. Since we do not have sufficient trading history of our common stock, we estimate the expected volatility of our stock options at their grant date by taking the weighted average historical volatility of a group of comparable publicly traded companies over a period equal to the expected term of the options;</w:t>
      </w:r>
    </w:p>
    <w:p>
      <w:pPr>
        <w:spacing w:after="0" w:line="83" w:lineRule="exact"/>
        <w:rPr>
          <w:rFonts w:ascii="Arial" w:cs="Arial" w:eastAsia="Arial" w:hAnsi="Arial"/>
          <w:sz w:val="15"/>
          <w:szCs w:val="15"/>
          <w:color w:val="auto"/>
        </w:rPr>
      </w:pPr>
    </w:p>
    <w:p>
      <w:pPr>
        <w:ind w:left="640" w:right="520" w:hanging="316"/>
        <w:spacing w:after="0" w:line="330" w:lineRule="auto"/>
        <w:tabs>
          <w:tab w:leader="none" w:pos="635" w:val="left"/>
        </w:tabs>
        <w:numPr>
          <w:ilvl w:val="0"/>
          <w:numId w:val="36"/>
        </w:numPr>
        <w:rPr>
          <w:rFonts w:ascii="Arial" w:cs="Arial" w:eastAsia="Arial" w:hAnsi="Arial"/>
          <w:sz w:val="15"/>
          <w:szCs w:val="15"/>
          <w:color w:val="auto"/>
        </w:rPr>
      </w:pPr>
      <w:r>
        <w:rPr>
          <w:rFonts w:ascii="Arial" w:cs="Arial" w:eastAsia="Arial" w:hAnsi="Arial"/>
          <w:sz w:val="15"/>
          <w:szCs w:val="15"/>
          <w:color w:val="auto"/>
        </w:rPr>
        <w:t>Expected Term—We determine the expected term based on the average period the stock options are expected to remain outstanding using the simplified method,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83" w:lineRule="exact"/>
        <w:rPr>
          <w:rFonts w:ascii="Arial" w:cs="Arial" w:eastAsia="Arial" w:hAnsi="Arial"/>
          <w:sz w:val="15"/>
          <w:szCs w:val="15"/>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 Free Interest Rate—We use the U.S. Treasury yield for our risk-free interest rate that corresponds with the expected term;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Dividend Yield—We utilize a dividend yield of zero, as we do not currently issue dividends and do not expect to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Significant judgment is required in determining our uncertain tax positions. We recognize a tax benefit from an uncertain tax position only if it is more likely than not that the tax position will be sustained on examination by the taxing authorities, based on the technical merits of the position.</w:t>
      </w:r>
    </w:p>
    <w:p>
      <w:pPr>
        <w:spacing w:after="0" w:line="1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Deferred income taxes are recognized for differences between financial reporting and tax bases of assets and liabilities at the enacted statutory tax rates in effect for the years in which the temporary differences are expected to reverse. We make an assessment of the likelihood that the resulting deferred tax assets will be realized. A valuation allowance is provided when it is more likely than not that some portion or all of a deferred tax asset will not be realized.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are an “emerging growth company” as defined in Section 2(a) of the Securities Act, and have elected to take advantage of the benefits of the extended transition period for complying with new or revised accounting standards. We expect to use this extended transition period for complying with new or revised accounting standards until the earlier of the date we (a) are no longer an emerging growth company or (b) affirmatively and irrevocably opt out of the extended transition period provided for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audited consolidated financial statements included elsewhere in this Annual Report for the recent accounting pronouncements adopted and the recent accounting pronouncements not yet adopted for the years ended December 31, 2021 and 2020.</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we intend to rely on the other exemptions and reduced reporting requirements provided by the JOBS Act. Subject to certain conditions set forth in the JOBS Act, as an emerging growth company,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Dodd-Frank Wall Street Reform and Consumer Protection Act; and (c) disclose certain executive compensation-related items such as the comparison of the Chief Executive Officer’s compensation to median employee compensation.</w:t>
      </w:r>
    </w:p>
    <w:p>
      <w:pPr>
        <w:spacing w:after="0" w:line="9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will remain an emerging growth company under the JOBS Act until the earliest of (a) the last day of our first fiscal year following the fifth anniversary of the IPO, (b) the last date of the fiscal year in which our total annual gross revenue is at least $1.1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2 to our consolidated financial statements included elsewhere in this Annual Report for more information regarding recently issued accounting pronouncements.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December 31, 2021, we had cash and cash equivalents of $521.8 million and marketable securities of $194.0 million. Our cash and cash equivalents consist of cash in bank accounts, demand deposits, and money market funds.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During the years ended December 31, 2021 and 2020, we do not believe a 10% change in the relative value of the U.S. Dollar would have materially affected our consolidated financial statements. To date, we have not had a formal hedging program with respect to foreign currency, but we may do so in the future if our exposure to foreign currency should become more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8.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72"/>
        </w:trPr>
        <w:tc>
          <w:tcPr>
            <w:tcW w:w="7320" w:type="dxa"/>
            <w:vAlign w:val="bottom"/>
            <w:gridSpan w:val="7"/>
          </w:tcPr>
          <w:p>
            <w:pPr>
              <w:spacing w:after="0" w:line="152" w:lineRule="exact"/>
              <w:rPr>
                <w:rFonts w:ascii="Arial" w:cs="Arial" w:eastAsia="Arial" w:hAnsi="Arial"/>
                <w:sz w:val="17"/>
                <w:szCs w:val="17"/>
                <w:color w:val="0000FF"/>
              </w:rPr>
            </w:pPr>
            <w:hyperlink w:anchor="page72">
              <w:r>
                <w:rPr>
                  <w:rFonts w:ascii="Arial" w:cs="Arial" w:eastAsia="Arial" w:hAnsi="Arial"/>
                  <w:sz w:val="17"/>
                  <w:szCs w:val="17"/>
                  <w:color w:val="0000FF"/>
                </w:rPr>
                <w:t xml:space="preserve">Report of Independent Registered Public Accounting Firm </w:t>
              </w:r>
            </w:hyperlink>
            <w:r>
              <w:rPr>
                <w:rFonts w:ascii="Arial" w:cs="Arial" w:eastAsia="Arial" w:hAnsi="Arial"/>
                <w:sz w:val="17"/>
                <w:szCs w:val="17"/>
                <w:color w:val="000000"/>
              </w:rPr>
              <w:t>(PCAOB</w:t>
            </w:r>
            <w:r>
              <w:rPr>
                <w:rFonts w:ascii="Arial" w:cs="Arial" w:eastAsia="Arial" w:hAnsi="Arial"/>
                <w:sz w:val="17"/>
                <w:szCs w:val="17"/>
                <w:color w:val="0000FF"/>
              </w:rPr>
              <w:t xml:space="preserve"> </w:t>
            </w:r>
            <w:r>
              <w:rPr>
                <w:rFonts w:ascii="Arial" w:cs="Arial" w:eastAsia="Arial" w:hAnsi="Arial"/>
                <w:sz w:val="17"/>
                <w:szCs w:val="17"/>
                <w:color w:val="000000"/>
              </w:rPr>
              <w:t>ID: 42)</w:t>
            </w:r>
          </w:p>
        </w:tc>
        <w:tc>
          <w:tcPr>
            <w:tcW w:w="2560" w:type="dxa"/>
            <w:vAlign w:val="bottom"/>
          </w:tcPr>
          <w:p>
            <w:pPr>
              <w:spacing w:after="0"/>
              <w:rPr>
                <w:sz w:val="14"/>
                <w:szCs w:val="14"/>
                <w:color w:val="auto"/>
              </w:rPr>
            </w:pPr>
          </w:p>
        </w:tc>
        <w:tc>
          <w:tcPr>
            <w:tcW w:w="760" w:type="dxa"/>
            <w:vAlign w:val="bottom"/>
            <w:gridSpan w:val="2"/>
          </w:tcPr>
          <w:p>
            <w:pPr>
              <w:jc w:val="center"/>
              <w:ind w:left="495"/>
              <w:spacing w:after="0" w:line="152" w:lineRule="exact"/>
              <w:rPr>
                <w:rFonts w:ascii="Arial" w:cs="Arial" w:eastAsia="Arial" w:hAnsi="Arial"/>
                <w:sz w:val="17"/>
                <w:szCs w:val="17"/>
                <w:color w:val="0000FF"/>
                <w:w w:val="94"/>
              </w:rPr>
            </w:pPr>
            <w:hyperlink w:anchor="page72">
              <w:r>
                <w:rPr>
                  <w:rFonts w:ascii="Arial" w:cs="Arial" w:eastAsia="Arial" w:hAnsi="Arial"/>
                  <w:sz w:val="17"/>
                  <w:szCs w:val="17"/>
                  <w:color w:val="0000FF"/>
                  <w:w w:val="94"/>
                </w:rPr>
                <w:t>69</w:t>
              </w:r>
            </w:hyperlink>
          </w:p>
        </w:tc>
        <w:tc>
          <w:tcPr>
            <w:tcW w:w="580" w:type="dxa"/>
            <w:vAlign w:val="bottom"/>
          </w:tcPr>
          <w:p>
            <w:pPr>
              <w:spacing w:after="0"/>
              <w:rPr>
                <w:sz w:val="14"/>
                <w:szCs w:val="14"/>
                <w:color w:val="auto"/>
              </w:rPr>
            </w:pPr>
          </w:p>
        </w:tc>
      </w:tr>
      <w:tr>
        <w:trPr>
          <w:trHeight w:val="27"/>
        </w:trPr>
        <w:tc>
          <w:tcPr>
            <w:tcW w:w="20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40" w:type="dxa"/>
            <w:vAlign w:val="bottom"/>
            <w:gridSpan w:val="2"/>
            <w:shd w:val="clear" w:color="auto" w:fill="0000FF"/>
          </w:tcPr>
          <w:p>
            <w:pPr>
              <w:spacing w:after="0"/>
              <w:rPr>
                <w:sz w:val="2"/>
                <w:szCs w:val="2"/>
                <w:color w:val="auto"/>
              </w:rPr>
            </w:pPr>
          </w:p>
        </w:tc>
        <w:tc>
          <w:tcPr>
            <w:tcW w:w="2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2060" w:type="dxa"/>
            <w:vAlign w:val="bottom"/>
          </w:tcPr>
          <w:p>
            <w:pPr>
              <w:spacing w:after="0"/>
              <w:rPr>
                <w:rFonts w:ascii="Arial" w:cs="Arial" w:eastAsia="Arial" w:hAnsi="Arial"/>
                <w:sz w:val="18"/>
                <w:szCs w:val="18"/>
                <w:color w:val="0000FF"/>
                <w:w w:val="86"/>
              </w:rPr>
            </w:pPr>
            <w:hyperlink w:anchor="page72">
              <w:r>
                <w:rPr>
                  <w:rFonts w:ascii="Arial" w:cs="Arial" w:eastAsia="Arial" w:hAnsi="Arial"/>
                  <w:sz w:val="18"/>
                  <w:szCs w:val="18"/>
                  <w:color w:val="0000FF"/>
                  <w:w w:val="86"/>
                </w:rPr>
                <w:t>Consolidated Balance Sheets</w:t>
              </w:r>
            </w:hyperlink>
          </w:p>
        </w:tc>
        <w:tc>
          <w:tcPr>
            <w:tcW w:w="5260" w:type="dxa"/>
            <w:vAlign w:val="bottom"/>
            <w:gridSpan w:val="6"/>
          </w:tcPr>
          <w:p>
            <w:pPr>
              <w:spacing w:after="0"/>
              <w:rPr>
                <w:sz w:val="18"/>
                <w:szCs w:val="18"/>
                <w:color w:val="auto"/>
              </w:rPr>
            </w:pPr>
          </w:p>
        </w:tc>
        <w:tc>
          <w:tcPr>
            <w:tcW w:w="2560" w:type="dxa"/>
            <w:vAlign w:val="bottom"/>
          </w:tcPr>
          <w:p>
            <w:pPr>
              <w:spacing w:after="0"/>
              <w:rPr>
                <w:sz w:val="18"/>
                <w:szCs w:val="18"/>
                <w:color w:val="auto"/>
              </w:rPr>
            </w:pPr>
          </w:p>
        </w:tc>
        <w:tc>
          <w:tcPr>
            <w:tcW w:w="760" w:type="dxa"/>
            <w:vAlign w:val="bottom"/>
            <w:gridSpan w:val="2"/>
          </w:tcPr>
          <w:p>
            <w:pPr>
              <w:jc w:val="center"/>
              <w:ind w:left="495"/>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70</w:t>
              </w:r>
            </w:hyperlink>
          </w:p>
        </w:tc>
        <w:tc>
          <w:tcPr>
            <w:tcW w:w="580" w:type="dxa"/>
            <w:vAlign w:val="bottom"/>
          </w:tcPr>
          <w:p>
            <w:pPr>
              <w:spacing w:after="0"/>
              <w:rPr>
                <w:sz w:val="18"/>
                <w:szCs w:val="18"/>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5"/>
        </w:trPr>
        <w:tc>
          <w:tcPr>
            <w:tcW w:w="9880" w:type="dxa"/>
            <w:vAlign w:val="bottom"/>
            <w:gridSpan w:val="8"/>
          </w:tcPr>
          <w:p>
            <w:pPr>
              <w:spacing w:after="0" w:line="205" w:lineRule="exact"/>
              <w:rPr>
                <w:rFonts w:ascii="Arial" w:cs="Arial" w:eastAsia="Arial" w:hAnsi="Arial"/>
                <w:sz w:val="18"/>
                <w:szCs w:val="18"/>
                <w:color w:val="0000FF"/>
              </w:rPr>
            </w:pPr>
            <w:hyperlink w:anchor="page73">
              <w:r>
                <w:rPr>
                  <w:rFonts w:ascii="Arial" w:cs="Arial" w:eastAsia="Arial" w:hAnsi="Arial"/>
                  <w:sz w:val="18"/>
                  <w:szCs w:val="18"/>
                  <w:color w:val="0000FF"/>
                </w:rPr>
                <w:t>Consolidated Statements of Operations</w:t>
              </w:r>
            </w:hyperlink>
          </w:p>
        </w:tc>
        <w:tc>
          <w:tcPr>
            <w:tcW w:w="760" w:type="dxa"/>
            <w:vAlign w:val="bottom"/>
            <w:gridSpan w:val="2"/>
          </w:tcPr>
          <w:p>
            <w:pPr>
              <w:jc w:val="center"/>
              <w:ind w:left="495"/>
              <w:spacing w:after="0" w:line="205"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71</w:t>
              </w:r>
            </w:hyperlink>
          </w:p>
        </w:tc>
        <w:tc>
          <w:tcPr>
            <w:tcW w:w="580" w:type="dxa"/>
            <w:vAlign w:val="bottom"/>
          </w:tcPr>
          <w:p>
            <w:pPr>
              <w:spacing w:after="0"/>
              <w:rPr>
                <w:sz w:val="17"/>
                <w:szCs w:val="17"/>
                <w:color w:val="auto"/>
              </w:rPr>
            </w:pPr>
          </w:p>
        </w:tc>
      </w:tr>
      <w:tr>
        <w:trPr>
          <w:trHeight w:val="20"/>
        </w:trPr>
        <w:tc>
          <w:tcPr>
            <w:tcW w:w="2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5"/>
        </w:trPr>
        <w:tc>
          <w:tcPr>
            <w:tcW w:w="3480" w:type="dxa"/>
            <w:vAlign w:val="bottom"/>
            <w:gridSpan w:val="5"/>
          </w:tcPr>
          <w:p>
            <w:pPr>
              <w:spacing w:after="0" w:line="205" w:lineRule="exact"/>
              <w:rPr>
                <w:rFonts w:ascii="Arial" w:cs="Arial" w:eastAsia="Arial" w:hAnsi="Arial"/>
                <w:sz w:val="18"/>
                <w:szCs w:val="18"/>
                <w:color w:val="0000FF"/>
                <w:w w:val="87"/>
              </w:rPr>
            </w:pPr>
            <w:hyperlink w:anchor="page74">
              <w:r>
                <w:rPr>
                  <w:rFonts w:ascii="Arial" w:cs="Arial" w:eastAsia="Arial" w:hAnsi="Arial"/>
                  <w:sz w:val="18"/>
                  <w:szCs w:val="18"/>
                  <w:color w:val="0000FF"/>
                  <w:w w:val="87"/>
                </w:rPr>
                <w:t>Consolidated Statements of Comprehensive Loss</w:t>
              </w:r>
            </w:hyperlink>
          </w:p>
        </w:tc>
        <w:tc>
          <w:tcPr>
            <w:tcW w:w="6400" w:type="dxa"/>
            <w:vAlign w:val="bottom"/>
            <w:gridSpan w:val="3"/>
          </w:tcPr>
          <w:p>
            <w:pPr>
              <w:spacing w:after="0"/>
              <w:rPr>
                <w:sz w:val="17"/>
                <w:szCs w:val="17"/>
                <w:color w:val="auto"/>
              </w:rPr>
            </w:pPr>
          </w:p>
        </w:tc>
        <w:tc>
          <w:tcPr>
            <w:tcW w:w="760" w:type="dxa"/>
            <w:vAlign w:val="bottom"/>
            <w:gridSpan w:val="2"/>
          </w:tcPr>
          <w:p>
            <w:pPr>
              <w:jc w:val="center"/>
              <w:ind w:left="495"/>
              <w:spacing w:after="0" w:line="205"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72</w:t>
              </w:r>
            </w:hyperlink>
          </w:p>
        </w:tc>
        <w:tc>
          <w:tcPr>
            <w:tcW w:w="580" w:type="dxa"/>
            <w:vAlign w:val="bottom"/>
          </w:tcPr>
          <w:p>
            <w:pPr>
              <w:spacing w:after="0"/>
              <w:rPr>
                <w:sz w:val="17"/>
                <w:szCs w:val="17"/>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5"/>
        </w:trPr>
        <w:tc>
          <w:tcPr>
            <w:tcW w:w="9880" w:type="dxa"/>
            <w:vAlign w:val="bottom"/>
            <w:gridSpan w:val="8"/>
          </w:tcPr>
          <w:p>
            <w:pPr>
              <w:spacing w:after="0" w:line="205" w:lineRule="exact"/>
              <w:rPr>
                <w:rFonts w:ascii="Arial" w:cs="Arial" w:eastAsia="Arial" w:hAnsi="Arial"/>
                <w:sz w:val="18"/>
                <w:szCs w:val="18"/>
                <w:color w:val="0000FF"/>
              </w:rPr>
            </w:pPr>
            <w:hyperlink w:anchor="page75">
              <w:r>
                <w:rPr>
                  <w:rFonts w:ascii="Arial" w:cs="Arial" w:eastAsia="Arial" w:hAnsi="Arial"/>
                  <w:sz w:val="18"/>
                  <w:szCs w:val="18"/>
                  <w:color w:val="0000FF"/>
                </w:rPr>
                <w:t>Consolidated Statements of Redeemable Convertible Preferred Stock and Stockholders’ Equity (Deficit</w:t>
              </w:r>
            </w:hyperlink>
            <w:r>
              <w:rPr>
                <w:rFonts w:ascii="Arial" w:cs="Arial" w:eastAsia="Arial" w:hAnsi="Arial"/>
                <w:sz w:val="18"/>
                <w:szCs w:val="18"/>
                <w:color w:val="000000"/>
              </w:rPr>
              <w:t>)</w:t>
            </w:r>
          </w:p>
        </w:tc>
        <w:tc>
          <w:tcPr>
            <w:tcW w:w="760" w:type="dxa"/>
            <w:vAlign w:val="bottom"/>
            <w:gridSpan w:val="2"/>
          </w:tcPr>
          <w:p>
            <w:pPr>
              <w:jc w:val="center"/>
              <w:ind w:left="495"/>
              <w:spacing w:after="0" w:line="205"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580" w:type="dxa"/>
            <w:vAlign w:val="bottom"/>
          </w:tcPr>
          <w:p>
            <w:pPr>
              <w:spacing w:after="0"/>
              <w:rPr>
                <w:sz w:val="17"/>
                <w:szCs w:val="17"/>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5"/>
        </w:trPr>
        <w:tc>
          <w:tcPr>
            <w:tcW w:w="2820" w:type="dxa"/>
            <w:vAlign w:val="bottom"/>
            <w:gridSpan w:val="3"/>
          </w:tcPr>
          <w:p>
            <w:pPr>
              <w:spacing w:after="0" w:line="205" w:lineRule="exact"/>
              <w:rPr>
                <w:rFonts w:ascii="Arial" w:cs="Arial" w:eastAsia="Arial" w:hAnsi="Arial"/>
                <w:sz w:val="18"/>
                <w:szCs w:val="18"/>
                <w:color w:val="0000FF"/>
                <w:w w:val="87"/>
              </w:rPr>
            </w:pPr>
            <w:hyperlink w:anchor="page76">
              <w:r>
                <w:rPr>
                  <w:rFonts w:ascii="Arial" w:cs="Arial" w:eastAsia="Arial" w:hAnsi="Arial"/>
                  <w:sz w:val="18"/>
                  <w:szCs w:val="18"/>
                  <w:color w:val="0000FF"/>
                  <w:w w:val="87"/>
                </w:rPr>
                <w:t>Consolidated Statements of Cash Flows</w:t>
              </w:r>
            </w:hyperlink>
          </w:p>
        </w:tc>
        <w:tc>
          <w:tcPr>
            <w:tcW w:w="4500" w:type="dxa"/>
            <w:vAlign w:val="bottom"/>
            <w:gridSpan w:val="4"/>
          </w:tcPr>
          <w:p>
            <w:pPr>
              <w:spacing w:after="0"/>
              <w:rPr>
                <w:sz w:val="17"/>
                <w:szCs w:val="17"/>
                <w:color w:val="auto"/>
              </w:rPr>
            </w:pPr>
          </w:p>
        </w:tc>
        <w:tc>
          <w:tcPr>
            <w:tcW w:w="2560" w:type="dxa"/>
            <w:vAlign w:val="bottom"/>
          </w:tcPr>
          <w:p>
            <w:pPr>
              <w:spacing w:after="0"/>
              <w:rPr>
                <w:sz w:val="17"/>
                <w:szCs w:val="17"/>
                <w:color w:val="auto"/>
              </w:rPr>
            </w:pPr>
          </w:p>
        </w:tc>
        <w:tc>
          <w:tcPr>
            <w:tcW w:w="760" w:type="dxa"/>
            <w:vAlign w:val="bottom"/>
            <w:gridSpan w:val="2"/>
          </w:tcPr>
          <w:p>
            <w:pPr>
              <w:jc w:val="center"/>
              <w:ind w:left="495"/>
              <w:spacing w:after="0" w:line="205"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74</w:t>
              </w:r>
            </w:hyperlink>
          </w:p>
        </w:tc>
        <w:tc>
          <w:tcPr>
            <w:tcW w:w="580" w:type="dxa"/>
            <w:vAlign w:val="bottom"/>
          </w:tcPr>
          <w:p>
            <w:pPr>
              <w:spacing w:after="0"/>
              <w:rPr>
                <w:sz w:val="17"/>
                <w:szCs w:val="17"/>
                <w:color w:val="auto"/>
              </w:rPr>
            </w:pPr>
          </w:p>
        </w:tc>
      </w:tr>
      <w:tr>
        <w:trPr>
          <w:trHeight w:val="20"/>
        </w:trPr>
        <w:tc>
          <w:tcPr>
            <w:tcW w:w="282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5"/>
        </w:trPr>
        <w:tc>
          <w:tcPr>
            <w:tcW w:w="3360" w:type="dxa"/>
            <w:vAlign w:val="bottom"/>
            <w:gridSpan w:val="4"/>
          </w:tcPr>
          <w:p>
            <w:pPr>
              <w:spacing w:after="0" w:line="205" w:lineRule="exact"/>
              <w:rPr>
                <w:rFonts w:ascii="Arial" w:cs="Arial" w:eastAsia="Arial" w:hAnsi="Arial"/>
                <w:sz w:val="18"/>
                <w:szCs w:val="18"/>
                <w:color w:val="0000FF"/>
                <w:w w:val="87"/>
              </w:rPr>
            </w:pPr>
            <w:hyperlink w:anchor="page77">
              <w:r>
                <w:rPr>
                  <w:rFonts w:ascii="Arial" w:cs="Arial" w:eastAsia="Arial" w:hAnsi="Arial"/>
                  <w:sz w:val="18"/>
                  <w:szCs w:val="18"/>
                  <w:color w:val="0000FF"/>
                  <w:w w:val="87"/>
                </w:rPr>
                <w:t>Notes to the Consolidated Financial Statements</w:t>
              </w:r>
            </w:hyperlink>
          </w:p>
        </w:tc>
        <w:tc>
          <w:tcPr>
            <w:tcW w:w="6520" w:type="dxa"/>
            <w:vAlign w:val="bottom"/>
            <w:gridSpan w:val="4"/>
          </w:tcPr>
          <w:p>
            <w:pPr>
              <w:spacing w:after="0"/>
              <w:rPr>
                <w:sz w:val="17"/>
                <w:szCs w:val="17"/>
                <w:color w:val="auto"/>
              </w:rPr>
            </w:pPr>
          </w:p>
        </w:tc>
        <w:tc>
          <w:tcPr>
            <w:tcW w:w="760" w:type="dxa"/>
            <w:vAlign w:val="bottom"/>
            <w:gridSpan w:val="2"/>
          </w:tcPr>
          <w:p>
            <w:pPr>
              <w:jc w:val="center"/>
              <w:ind w:left="495"/>
              <w:spacing w:after="0" w:line="205"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75</w:t>
              </w:r>
            </w:hyperlink>
          </w:p>
        </w:tc>
        <w:tc>
          <w:tcPr>
            <w:tcW w:w="580" w:type="dxa"/>
            <w:vAlign w:val="bottom"/>
          </w:tcPr>
          <w:p>
            <w:pPr>
              <w:spacing w:after="0"/>
              <w:rPr>
                <w:sz w:val="17"/>
                <w:szCs w:val="17"/>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71" w:name="page72"/>
    <w:bookmarkEnd w:id="71"/>
    <w:p>
      <w:pPr>
        <w:spacing w:after="0" w:line="113" w:lineRule="exact"/>
        <w:rPr>
          <w:sz w:val="20"/>
          <w:szCs w:val="20"/>
          <w:color w:val="auto"/>
        </w:rPr>
      </w:pPr>
    </w:p>
    <w:p>
      <w:pPr>
        <w:ind w:right="3360" w:firstLine="3407"/>
        <w:spacing w:after="0" w:line="42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Nextdoor Holdings,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We have audited the accompanying consolidated balance sheets of Nextdoor Holdings, Inc. (the Company) as of December 31, 2021 and 2020, the related consolidated statements of operations, comprehensive loss, redeemable convertible preferred stock and stockholders' equity (deficit)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2018.</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Redwood City, California</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1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Nextdoor Holdings, Inc.</w:t>
      </w:r>
    </w:p>
    <w:p>
      <w:pPr>
        <w:spacing w:after="0" w:line="2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83,642</w:t>
            </w:r>
          </w:p>
        </w:tc>
        <w:tc>
          <w:tcPr>
            <w:tcW w:w="0" w:type="dxa"/>
            <w:vAlign w:val="bottom"/>
          </w:tcPr>
          <w:p>
            <w:pPr>
              <w:spacing w:after="0"/>
              <w:rPr>
                <w:sz w:val="1"/>
                <w:szCs w:val="1"/>
                <w:color w:val="auto"/>
              </w:rPr>
            </w:pPr>
          </w:p>
        </w:tc>
      </w:tr>
      <w:tr>
        <w:trPr>
          <w:trHeight w:val="209"/>
        </w:trPr>
        <w:tc>
          <w:tcPr>
            <w:tcW w:w="802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193,999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53,341</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 of allowance of $425 and $313 as of December 31, 2021 and 2020, respectively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21,818</w:t>
            </w:r>
          </w:p>
        </w:tc>
        <w:tc>
          <w:tcPr>
            <w:tcW w:w="0" w:type="dxa"/>
            <w:vAlign w:val="bottom"/>
          </w:tcPr>
          <w:p>
            <w:pPr>
              <w:spacing w:after="0"/>
              <w:rPr>
                <w:sz w:val="1"/>
                <w:szCs w:val="1"/>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16,259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5,453</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cash, current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03"/>
        </w:trPr>
        <w:tc>
          <w:tcPr>
            <w:tcW w:w="802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761,743</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165,355</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59,422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37,776</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08"/>
        </w:trPr>
        <w:tc>
          <w:tcPr>
            <w:tcW w:w="8020" w:type="dxa"/>
            <w:vAlign w:val="bottom"/>
          </w:tcPr>
          <w:p>
            <w:pPr>
              <w:ind w:left="44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840,086</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217,747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 Redeemable Convertible Preferred Stock and Stockholders' Equity (Deficit)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Operating lease liabilities, current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7,131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3,348</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Liability for unvested restricted stock</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10,483</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14,998</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32,183</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Operating lease liabilities, non-current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61,598</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36,254</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95,101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68,437</w:t>
            </w:r>
          </w:p>
        </w:tc>
        <w:tc>
          <w:tcPr>
            <w:tcW w:w="0" w:type="dxa"/>
            <w:vAlign w:val="bottom"/>
          </w:tcPr>
          <w:p>
            <w:pPr>
              <w:spacing w:after="0"/>
              <w:rPr>
                <w:sz w:val="1"/>
                <w:szCs w:val="1"/>
                <w:color w:val="auto"/>
              </w:rPr>
            </w:pPr>
          </w:p>
        </w:tc>
      </w:tr>
      <w:tr>
        <w:trPr>
          <w:trHeight w:val="190"/>
        </w:trPr>
        <w:tc>
          <w:tcPr>
            <w:tcW w:w="8020" w:type="dxa"/>
            <w:vAlign w:val="bottom"/>
          </w:tcPr>
          <w:p>
            <w:pPr>
              <w:ind w:left="240"/>
              <w:spacing w:after="0"/>
              <w:rPr>
                <w:sz w:val="20"/>
                <w:szCs w:val="20"/>
                <w:color w:val="auto"/>
              </w:rPr>
            </w:pPr>
            <w:r>
              <w:rPr>
                <w:rFonts w:ascii="Arial" w:cs="Arial" w:eastAsia="Arial" w:hAnsi="Arial"/>
                <w:sz w:val="16"/>
                <w:szCs w:val="16"/>
                <w:color w:val="auto"/>
              </w:rPr>
              <w:t>Commitments and contingencies (Note 9)</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Redeemable convertible preferred stock, $0.0001 par value; no shares authorized, issued, and outstanding as of</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20" w:type="dxa"/>
            <w:vAlign w:val="bottom"/>
            <w:shd w:val="clear" w:color="auto" w:fill="CCEEFF"/>
          </w:tcPr>
          <w:p>
            <w:pPr>
              <w:ind w:left="260"/>
              <w:spacing w:after="0" w:line="159" w:lineRule="exact"/>
              <w:rPr>
                <w:sz w:val="20"/>
                <w:szCs w:val="20"/>
                <w:color w:val="auto"/>
              </w:rPr>
            </w:pPr>
            <w:r>
              <w:rPr>
                <w:rFonts w:ascii="Arial" w:cs="Arial" w:eastAsia="Arial" w:hAnsi="Arial"/>
                <w:sz w:val="16"/>
                <w:szCs w:val="16"/>
                <w:color w:val="auto"/>
                <w:w w:val="90"/>
              </w:rPr>
              <w:t>December 31, 2021; 190,477 shares authorized, issued, and outstanding as of December 31, 2020; aggregate liquidation</w:t>
            </w:r>
          </w:p>
        </w:tc>
        <w:tc>
          <w:tcPr>
            <w:tcW w:w="38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447,166</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preference of $447,890 as of December 31, 2020</w:t>
            </w:r>
          </w:p>
        </w:tc>
        <w:tc>
          <w:tcPr>
            <w:tcW w:w="3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Stockholders' equity (deficit):</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w w:val="90"/>
              </w:rPr>
              <w:t>Class A Common stock, $0.0001 par value; 2,500,000 shares authorized as of December 31, 2021; 78,954 shares issued</w:t>
            </w: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2"/>
              </w:rPr>
              <w:t>and outstanding as of December 31, 2021; no shares authorized, issued, and outstanding as of December 31, 2020</w:t>
            </w:r>
          </w:p>
        </w:tc>
        <w:tc>
          <w:tcPr>
            <w:tcW w:w="3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40"/>
              <w:spacing w:after="0" w:line="162" w:lineRule="exact"/>
              <w:rPr>
                <w:sz w:val="20"/>
                <w:szCs w:val="20"/>
                <w:color w:val="auto"/>
              </w:rPr>
            </w:pPr>
            <w:r>
              <w:rPr>
                <w:rFonts w:ascii="Arial" w:cs="Arial" w:eastAsia="Arial" w:hAnsi="Arial"/>
                <w:sz w:val="16"/>
                <w:szCs w:val="16"/>
                <w:color w:val="auto"/>
                <w:w w:val="90"/>
              </w:rPr>
              <w:t>Class B Common stock, $0.0001 par value; 500,000 and 375,788 shares authorized as of December 31, 2021 and 2020,</w:t>
            </w: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8020" w:type="dxa"/>
            <w:vAlign w:val="bottom"/>
          </w:tcPr>
          <w:p>
            <w:pPr>
              <w:ind w:left="400"/>
              <w:spacing w:after="0"/>
              <w:rPr>
                <w:sz w:val="20"/>
                <w:szCs w:val="20"/>
                <w:color w:val="auto"/>
              </w:rPr>
            </w:pPr>
            <w:r>
              <w:rPr>
                <w:rFonts w:ascii="Arial" w:cs="Arial" w:eastAsia="Arial" w:hAnsi="Arial"/>
                <w:sz w:val="16"/>
                <w:szCs w:val="16"/>
                <w:color w:val="auto"/>
                <w:w w:val="93"/>
              </w:rPr>
              <w:t>respectively; 304,701 and 103,777 shares issued and outstanding as of December 31, 2021 and 2020, respectively</w:t>
            </w:r>
          </w:p>
        </w:tc>
        <w:tc>
          <w:tcPr>
            <w:tcW w:w="3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1,225,815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87,945</w:t>
            </w:r>
          </w:p>
        </w:tc>
        <w:tc>
          <w:tcPr>
            <w:tcW w:w="0" w:type="dxa"/>
            <w:vAlign w:val="bottom"/>
          </w:tcPr>
          <w:p>
            <w:pPr>
              <w:spacing w:after="0"/>
              <w:rPr>
                <w:sz w:val="1"/>
                <w:szCs w:val="1"/>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(480,339)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(385,014)</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stockholders' equity (deficit)</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744,985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(297,856)</w:t>
            </w:r>
          </w:p>
        </w:tc>
        <w:tc>
          <w:tcPr>
            <w:tcW w:w="0" w:type="dxa"/>
            <w:vAlign w:val="bottom"/>
          </w:tcPr>
          <w:p>
            <w:pPr>
              <w:spacing w:after="0"/>
              <w:rPr>
                <w:sz w:val="1"/>
                <w:szCs w:val="1"/>
                <w:color w:val="auto"/>
              </w:rPr>
            </w:pPr>
          </w:p>
        </w:tc>
      </w:tr>
      <w:tr>
        <w:trPr>
          <w:trHeight w:val="233"/>
        </w:trPr>
        <w:tc>
          <w:tcPr>
            <w:tcW w:w="8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liabilities, redeemable convertible preferred stock and stockholders' equity (deficit)</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840,086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0"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Years Ended</w:t>
      </w: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5093970</wp:posOffset>
            </wp:positionH>
            <wp:positionV relativeFrom="paragraph">
              <wp:posOffset>11430</wp:posOffset>
            </wp:positionV>
            <wp:extent cx="2044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123,284</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69,231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28,793</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199,935</w:t>
            </w:r>
          </w:p>
        </w:tc>
        <w:tc>
          <w:tcPr>
            <w:tcW w:w="0" w:type="dxa"/>
            <w:vAlign w:val="bottom"/>
          </w:tcPr>
          <w:p>
            <w:pPr>
              <w:spacing w:after="0"/>
              <w:rPr>
                <w:sz w:val="1"/>
                <w:szCs w:val="1"/>
                <w:color w:val="auto"/>
              </w:rPr>
            </w:pPr>
          </w:p>
        </w:tc>
      </w:tr>
      <w:tr>
        <w:trPr>
          <w:trHeight w:val="218"/>
        </w:trPr>
        <w:tc>
          <w:tcPr>
            <w:tcW w:w="8020" w:type="dxa"/>
            <w:vAlign w:val="bottom"/>
          </w:tcPr>
          <w:p>
            <w:pPr>
              <w:ind w:left="420"/>
              <w:spacing w:after="0" w:line="204" w:lineRule="exact"/>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(94,806)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(76,651)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(75,107)</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420"/>
              <w:spacing w:after="0" w:line="205" w:lineRule="exact"/>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color w:val="auto"/>
              </w:rPr>
              <w:t>Net loss per share attributable to Class A and Class B common stockholders, basic and diluted</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2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Weighted average shares used in computing net loss per share attributable to Class A and Class B common</w:t>
            </w: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146,337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90,190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78"/>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219"/>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(95,325)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(75,234)</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unrealized loss on available-for-sale marketable securities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9"/>
        </w:trPr>
        <w:tc>
          <w:tcPr>
            <w:tcW w:w="802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other comprehensive income (loss)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18"/>
        </w:trPr>
        <w:tc>
          <w:tcPr>
            <w:tcW w:w="8020" w:type="dxa"/>
            <w:vAlign w:val="bottom"/>
          </w:tcPr>
          <w:p>
            <w:pPr>
              <w:ind w:left="440"/>
              <w:spacing w:after="0" w:line="204" w:lineRule="exact"/>
              <w:rPr>
                <w:sz w:val="20"/>
                <w:szCs w:val="20"/>
                <w:color w:val="auto"/>
              </w:rPr>
            </w:pPr>
            <w:r>
              <w:rPr>
                <w:rFonts w:ascii="Arial" w:cs="Arial" w:eastAsia="Arial" w:hAnsi="Arial"/>
                <w:sz w:val="18"/>
                <w:szCs w:val="18"/>
                <w:color w:val="auto"/>
              </w:rPr>
              <w:t>Comprehensive loss</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(95,057)</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(76,066)</w:t>
            </w: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ind w:left="5040"/>
        <w:spacing w:after="0"/>
        <w:rPr>
          <w:sz w:val="20"/>
          <w:szCs w:val="20"/>
          <w:color w:val="auto"/>
        </w:rPr>
      </w:pPr>
      <w:r>
        <w:rPr>
          <w:rFonts w:ascii="Arial" w:cs="Arial" w:eastAsia="Arial" w:hAnsi="Arial"/>
          <w:sz w:val="18"/>
          <w:szCs w:val="18"/>
          <w:b w:val="1"/>
          <w:bCs w:val="1"/>
          <w:color w:val="auto"/>
        </w:rPr>
        <w:t>Nextdoor Holdings, Inc.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EQUITY (DEFICIT)</w:t>
      </w:r>
    </w:p>
    <w:p>
      <w:pPr>
        <w:spacing w:after="0" w:line="1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17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Redeemable Convertible</w:t>
            </w:r>
          </w:p>
        </w:tc>
        <w:tc>
          <w:tcPr>
            <w:tcW w:w="60" w:type="dxa"/>
            <w:vAlign w:val="bottom"/>
          </w:tcPr>
          <w:p>
            <w:pPr>
              <w:spacing w:after="0"/>
              <w:rPr>
                <w:sz w:val="16"/>
                <w:szCs w:val="16"/>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8"/>
              </w:rPr>
              <w:t>Class A Common Stock</w:t>
            </w:r>
          </w:p>
        </w:tc>
        <w:tc>
          <w:tcPr>
            <w:tcW w:w="168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w w:val="98"/>
              </w:rPr>
              <w:t>Class B Common Stock</w:t>
            </w: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740" w:type="dxa"/>
            <w:vAlign w:val="bottom"/>
            <w:tcBorders>
              <w:right w:val="single" w:sz="8" w:color="auto"/>
            </w:tcBorders>
            <w:gridSpan w:val="5"/>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1680" w:type="dxa"/>
            <w:vAlign w:val="bottom"/>
            <w:gridSpan w:val="5"/>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53"/>
        </w:trPr>
        <w:tc>
          <w:tcPr>
            <w:tcW w:w="23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180"/>
              <w:spacing w:after="0" w:line="119" w:lineRule="exact"/>
              <w:rPr>
                <w:sz w:val="20"/>
                <w:szCs w:val="20"/>
                <w:color w:val="auto"/>
              </w:rPr>
            </w:pPr>
            <w:r>
              <w:rPr>
                <w:rFonts w:ascii="Arial" w:cs="Arial" w:eastAsia="Arial" w:hAnsi="Arial"/>
                <w:sz w:val="13"/>
                <w:szCs w:val="13"/>
                <w:b w:val="1"/>
                <w:bCs w:val="1"/>
                <w:color w:val="auto"/>
              </w:rPr>
              <w:t>Paid-in</w:t>
            </w:r>
          </w:p>
        </w:tc>
        <w:tc>
          <w:tcPr>
            <w:tcW w:w="1060" w:type="dxa"/>
            <w:vAlign w:val="bottom"/>
            <w:gridSpan w:val="3"/>
            <w:vMerge w:val="restart"/>
          </w:tcPr>
          <w:p>
            <w:pPr>
              <w:ind w:left="20"/>
              <w:spacing w:after="0" w:line="119" w:lineRule="exact"/>
              <w:rPr>
                <w:sz w:val="20"/>
                <w:szCs w:val="20"/>
                <w:color w:val="auto"/>
              </w:rPr>
            </w:pPr>
            <w:r>
              <w:rPr>
                <w:rFonts w:ascii="Arial" w:cs="Arial" w:eastAsia="Arial" w:hAnsi="Arial"/>
                <w:sz w:val="13"/>
                <w:szCs w:val="13"/>
                <w:b w:val="1"/>
                <w:bCs w:val="1"/>
                <w:color w:val="auto"/>
              </w:rPr>
              <w:t>Comprehensive</w:t>
            </w:r>
          </w:p>
        </w:tc>
        <w:tc>
          <w:tcPr>
            <w:tcW w:w="940" w:type="dxa"/>
            <w:vAlign w:val="bottom"/>
            <w:gridSpan w:val="3"/>
            <w:vMerge w:val="restart"/>
          </w:tcPr>
          <w:p>
            <w:pPr>
              <w:ind w:left="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4"/>
                <w:szCs w:val="4"/>
                <w:color w:val="auto"/>
              </w:rPr>
            </w:pPr>
          </w:p>
        </w:tc>
        <w:tc>
          <w:tcPr>
            <w:tcW w:w="720" w:type="dxa"/>
            <w:vAlign w:val="bottom"/>
            <w:vMerge w:val="restart"/>
          </w:tcPr>
          <w:p>
            <w:pPr>
              <w:jc w:val="center"/>
              <w:ind w:right="62"/>
              <w:spacing w:after="0" w:line="11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46"/>
        </w:trPr>
        <w:tc>
          <w:tcPr>
            <w:tcW w:w="236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right w:val="single" w:sz="8" w:color="auto"/>
            </w:tcBorders>
            <w:vMerge w:val="restart"/>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vMerge w:val="restart"/>
          </w:tcPr>
          <w:p>
            <w:pPr>
              <w:spacing w:after="0"/>
              <w:rPr>
                <w:sz w:val="4"/>
                <w:szCs w:val="4"/>
                <w:color w:val="auto"/>
              </w:rPr>
            </w:pPr>
          </w:p>
        </w:tc>
        <w:tc>
          <w:tcPr>
            <w:tcW w:w="7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3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5"/>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Balances as of December 31, 2019</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190,477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447,166</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(309,780)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(257,296)</w:t>
            </w:r>
          </w:p>
        </w:tc>
        <w:tc>
          <w:tcPr>
            <w:tcW w:w="0" w:type="dxa"/>
            <w:vAlign w:val="bottom"/>
          </w:tcPr>
          <w:p>
            <w:pPr>
              <w:spacing w:after="0"/>
              <w:rPr>
                <w:sz w:val="1"/>
                <w:szCs w:val="1"/>
                <w:color w:val="auto"/>
              </w:rPr>
            </w:pPr>
          </w:p>
        </w:tc>
      </w:tr>
      <w:tr>
        <w:trPr>
          <w:trHeight w:val="162"/>
        </w:trPr>
        <w:tc>
          <w:tcPr>
            <w:tcW w:w="2360" w:type="dxa"/>
            <w:vAlign w:val="bottom"/>
          </w:tcPr>
          <w:p>
            <w:pPr>
              <w:ind w:left="240"/>
              <w:spacing w:after="0" w:line="162" w:lineRule="exact"/>
              <w:rPr>
                <w:sz w:val="20"/>
                <w:szCs w:val="20"/>
                <w:color w:val="auto"/>
              </w:rPr>
            </w:pPr>
            <w:r>
              <w:rPr>
                <w:rFonts w:ascii="Arial" w:cs="Arial" w:eastAsia="Arial" w:hAnsi="Arial"/>
                <w:sz w:val="16"/>
                <w:szCs w:val="16"/>
                <w:color w:val="auto"/>
                <w:w w:val="91"/>
              </w:rPr>
              <w:t>Issuance of common stock upon</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60" w:type="dxa"/>
            <w:vAlign w:val="bottom"/>
          </w:tcPr>
          <w:p>
            <w:pPr>
              <w:ind w:left="400"/>
              <w:spacing w:after="0" w:line="159" w:lineRule="exact"/>
              <w:rPr>
                <w:sz w:val="20"/>
                <w:szCs w:val="20"/>
                <w:color w:val="auto"/>
              </w:rPr>
            </w:pPr>
            <w:r>
              <w:rPr>
                <w:rFonts w:ascii="Arial" w:cs="Arial" w:eastAsia="Arial" w:hAnsi="Arial"/>
                <w:sz w:val="16"/>
                <w:szCs w:val="16"/>
                <w:color w:val="auto"/>
                <w:w w:val="94"/>
              </w:rPr>
              <w:t>exercise of stock options, net</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60" w:type="dxa"/>
            <w:vAlign w:val="bottom"/>
          </w:tcPr>
          <w:p>
            <w:pPr>
              <w:ind w:left="400"/>
              <w:spacing w:after="0" w:line="159" w:lineRule="exact"/>
              <w:rPr>
                <w:sz w:val="20"/>
                <w:szCs w:val="20"/>
                <w:color w:val="auto"/>
              </w:rPr>
            </w:pPr>
            <w:r>
              <w:rPr>
                <w:rFonts w:ascii="Arial" w:cs="Arial" w:eastAsia="Arial" w:hAnsi="Arial"/>
                <w:sz w:val="16"/>
                <w:szCs w:val="16"/>
                <w:color w:val="auto"/>
              </w:rPr>
              <w:t>of repurchases of unvested</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6,801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6,367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6,367</w:t>
            </w:r>
          </w:p>
        </w:tc>
        <w:tc>
          <w:tcPr>
            <w:tcW w:w="0" w:type="dxa"/>
            <w:vAlign w:val="bottom"/>
          </w:tcPr>
          <w:p>
            <w:pPr>
              <w:spacing w:after="0"/>
              <w:rPr>
                <w:sz w:val="1"/>
                <w:szCs w:val="1"/>
                <w:color w:val="auto"/>
              </w:rPr>
            </w:pPr>
          </w:p>
        </w:tc>
      </w:tr>
      <w:tr>
        <w:trPr>
          <w:trHeight w:val="206"/>
        </w:trPr>
        <w:tc>
          <w:tcPr>
            <w:tcW w:w="2360" w:type="dxa"/>
            <w:vAlign w:val="bottom"/>
          </w:tcPr>
          <w:p>
            <w:pPr>
              <w:ind w:left="400"/>
              <w:spacing w:after="0"/>
              <w:rPr>
                <w:sz w:val="20"/>
                <w:szCs w:val="20"/>
                <w:color w:val="auto"/>
              </w:rPr>
            </w:pPr>
            <w:r>
              <w:rPr>
                <w:rFonts w:ascii="Arial" w:cs="Arial" w:eastAsia="Arial" w:hAnsi="Arial"/>
                <w:sz w:val="16"/>
                <w:szCs w:val="16"/>
                <w:color w:val="auto"/>
              </w:rPr>
              <w:t>common stock</w:t>
            </w: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w w:val="96"/>
              </w:rPr>
              <w:t>Cancellation of restricted stock</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w w:val="95"/>
              </w:rPr>
              <w:t>and unvested common stock</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issued in connection with</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acquisition, net of common</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 issued</w:t>
            </w: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40"/>
              <w:spacing w:after="0" w:line="162" w:lineRule="exact"/>
              <w:rPr>
                <w:sz w:val="20"/>
                <w:szCs w:val="20"/>
                <w:color w:val="auto"/>
              </w:rPr>
            </w:pPr>
            <w:r>
              <w:rPr>
                <w:rFonts w:ascii="Arial" w:cs="Arial" w:eastAsia="Arial" w:hAnsi="Arial"/>
                <w:sz w:val="16"/>
                <w:szCs w:val="16"/>
                <w:color w:val="auto"/>
              </w:rPr>
              <w:t>Release of holdback stock in</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6"/>
        </w:trPr>
        <w:tc>
          <w:tcPr>
            <w:tcW w:w="2360" w:type="dxa"/>
            <w:vAlign w:val="bottom"/>
          </w:tcPr>
          <w:p>
            <w:pPr>
              <w:ind w:left="400"/>
              <w:spacing w:after="0"/>
              <w:rPr>
                <w:sz w:val="20"/>
                <w:szCs w:val="20"/>
                <w:color w:val="auto"/>
              </w:rPr>
            </w:pPr>
            <w:r>
              <w:rPr>
                <w:rFonts w:ascii="Arial" w:cs="Arial" w:eastAsia="Arial" w:hAnsi="Arial"/>
                <w:sz w:val="16"/>
                <w:szCs w:val="16"/>
                <w:color w:val="auto"/>
              </w:rPr>
              <w:t>connection with acquisition</w:t>
            </w: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w w:val="93"/>
              </w:rPr>
              <w:t>Vesting of early exercised stock</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options</w:t>
            </w: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240"/>
              <w:spacing w:after="0"/>
              <w:rPr>
                <w:sz w:val="20"/>
                <w:szCs w:val="20"/>
                <w:color w:val="auto"/>
              </w:rPr>
            </w:pPr>
            <w:r>
              <w:rPr>
                <w:rFonts w:ascii="Arial" w:cs="Arial" w:eastAsia="Arial" w:hAnsi="Arial"/>
                <w:sz w:val="16"/>
                <w:szCs w:val="16"/>
                <w:color w:val="auto"/>
              </w:rPr>
              <w:t>Vesting of restricted stock</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214"/>
        </w:trPr>
        <w:tc>
          <w:tcPr>
            <w:tcW w:w="2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22,608</w:t>
            </w:r>
          </w:p>
        </w:tc>
        <w:tc>
          <w:tcPr>
            <w:tcW w:w="0" w:type="dxa"/>
            <w:vAlign w:val="bottom"/>
          </w:tcPr>
          <w:p>
            <w:pPr>
              <w:spacing w:after="0"/>
              <w:rPr>
                <w:sz w:val="1"/>
                <w:szCs w:val="1"/>
                <w:color w:val="auto"/>
              </w:rPr>
            </w:pPr>
          </w:p>
        </w:tc>
      </w:tr>
      <w:tr>
        <w:trPr>
          <w:trHeight w:val="210"/>
        </w:trPr>
        <w:tc>
          <w:tcPr>
            <w:tcW w:w="2360" w:type="dxa"/>
            <w:vAlign w:val="bottom"/>
          </w:tcPr>
          <w:p>
            <w:pPr>
              <w:ind w:left="240"/>
              <w:spacing w:after="0"/>
              <w:rPr>
                <w:sz w:val="20"/>
                <w:szCs w:val="20"/>
                <w:color w:val="auto"/>
              </w:rPr>
            </w:pPr>
            <w:r>
              <w:rPr>
                <w:rFonts w:ascii="Arial" w:cs="Arial" w:eastAsia="Arial" w:hAnsi="Arial"/>
                <w:sz w:val="16"/>
                <w:szCs w:val="16"/>
                <w:color w:val="auto"/>
              </w:rPr>
              <w:t>Other comprehensive loss</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(75,234)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(75,234)</w:t>
            </w:r>
          </w:p>
        </w:tc>
        <w:tc>
          <w:tcPr>
            <w:tcW w:w="0" w:type="dxa"/>
            <w:vAlign w:val="bottom"/>
          </w:tcPr>
          <w:p>
            <w:pPr>
              <w:spacing w:after="0"/>
              <w:rPr>
                <w:sz w:val="1"/>
                <w:szCs w:val="1"/>
                <w:color w:val="auto"/>
              </w:rPr>
            </w:pPr>
          </w:p>
        </w:tc>
      </w:tr>
      <w:tr>
        <w:trPr>
          <w:trHeight w:val="220"/>
        </w:trPr>
        <w:tc>
          <w:tcPr>
            <w:tcW w:w="2360" w:type="dxa"/>
            <w:vAlign w:val="bottom"/>
          </w:tcPr>
          <w:p>
            <w:pPr>
              <w:ind w:left="20"/>
              <w:spacing w:after="0"/>
              <w:rPr>
                <w:sz w:val="20"/>
                <w:szCs w:val="20"/>
                <w:color w:val="auto"/>
              </w:rPr>
            </w:pPr>
            <w:r>
              <w:rPr>
                <w:rFonts w:ascii="Arial" w:cs="Arial" w:eastAsia="Arial" w:hAnsi="Arial"/>
                <w:sz w:val="16"/>
                <w:szCs w:val="16"/>
                <w:color w:val="auto"/>
                <w:w w:val="92"/>
              </w:rPr>
              <w:t>Balances as of December 31, 2020</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190,477</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447,166</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103,777</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87,945</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(797)</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6"/>
              </w:rPr>
              <w:t>(385,014)</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9"/>
              </w:rPr>
              <w:t>(297,856)</w:t>
            </w: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Conversion of redeemable</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convertible preferred stock</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w w:val="92"/>
              </w:rPr>
              <w:t>into Class B common stock in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w w:val="96"/>
              </w:rPr>
              <w:t>connection with the Reverse</w:t>
            </w:r>
          </w:p>
        </w:tc>
        <w:tc>
          <w:tcPr>
            <w:tcW w:w="7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w w:val="93"/>
              </w:rPr>
              <w:t>(190,477)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(447,166)</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190,477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447,147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447,166</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Recapitalization</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40"/>
              <w:spacing w:after="0" w:line="162" w:lineRule="exact"/>
              <w:rPr>
                <w:sz w:val="20"/>
                <w:szCs w:val="20"/>
                <w:color w:val="auto"/>
              </w:rPr>
            </w:pPr>
            <w:r>
              <w:rPr>
                <w:rFonts w:ascii="Arial" w:cs="Arial" w:eastAsia="Arial" w:hAnsi="Arial"/>
                <w:sz w:val="16"/>
                <w:szCs w:val="16"/>
                <w:color w:val="auto"/>
                <w:w w:val="91"/>
              </w:rPr>
              <w:t>Issuance of common stock upon</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60" w:type="dxa"/>
            <w:vAlign w:val="bottom"/>
          </w:tcPr>
          <w:p>
            <w:pPr>
              <w:ind w:left="400"/>
              <w:spacing w:after="0" w:line="159" w:lineRule="exact"/>
              <w:rPr>
                <w:sz w:val="20"/>
                <w:szCs w:val="20"/>
                <w:color w:val="auto"/>
              </w:rPr>
            </w:pPr>
            <w:r>
              <w:rPr>
                <w:rFonts w:ascii="Arial" w:cs="Arial" w:eastAsia="Arial" w:hAnsi="Arial"/>
                <w:sz w:val="16"/>
                <w:szCs w:val="16"/>
                <w:color w:val="auto"/>
                <w:w w:val="93"/>
              </w:rPr>
              <w:t>the Reverse Recapitalization,</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78,954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622,580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622,588</w:t>
            </w:r>
          </w:p>
        </w:tc>
        <w:tc>
          <w:tcPr>
            <w:tcW w:w="0" w:type="dxa"/>
            <w:vAlign w:val="bottom"/>
          </w:tcPr>
          <w:p>
            <w:pPr>
              <w:spacing w:after="0"/>
              <w:rPr>
                <w:sz w:val="1"/>
                <w:szCs w:val="1"/>
                <w:color w:val="auto"/>
              </w:rPr>
            </w:pPr>
          </w:p>
        </w:tc>
      </w:tr>
      <w:tr>
        <w:trPr>
          <w:trHeight w:val="206"/>
        </w:trPr>
        <w:tc>
          <w:tcPr>
            <w:tcW w:w="2360" w:type="dxa"/>
            <w:vAlign w:val="bottom"/>
          </w:tcPr>
          <w:p>
            <w:pPr>
              <w:ind w:left="400"/>
              <w:spacing w:after="0"/>
              <w:rPr>
                <w:sz w:val="20"/>
                <w:szCs w:val="20"/>
                <w:color w:val="auto"/>
              </w:rPr>
            </w:pPr>
            <w:r>
              <w:rPr>
                <w:rFonts w:ascii="Arial" w:cs="Arial" w:eastAsia="Arial" w:hAnsi="Arial"/>
                <w:sz w:val="16"/>
                <w:szCs w:val="16"/>
                <w:color w:val="auto"/>
              </w:rPr>
              <w:t>net of issuance costs</w:t>
            </w: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2"/>
              </w:rPr>
              <w:t>Release of restricted stock units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360" w:type="dxa"/>
            <w:vAlign w:val="bottom"/>
          </w:tcPr>
          <w:p>
            <w:pPr>
              <w:ind w:left="240"/>
              <w:spacing w:after="0" w:line="162" w:lineRule="exact"/>
              <w:rPr>
                <w:sz w:val="20"/>
                <w:szCs w:val="20"/>
                <w:color w:val="auto"/>
              </w:rPr>
            </w:pPr>
            <w:r>
              <w:rPr>
                <w:rFonts w:ascii="Arial" w:cs="Arial" w:eastAsia="Arial" w:hAnsi="Arial"/>
                <w:sz w:val="16"/>
                <w:szCs w:val="16"/>
                <w:color w:val="auto"/>
                <w:w w:val="97"/>
              </w:rPr>
              <w:t>Tax withholdings on release of</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(863)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06"/>
        </w:trPr>
        <w:tc>
          <w:tcPr>
            <w:tcW w:w="2360" w:type="dxa"/>
            <w:vAlign w:val="bottom"/>
          </w:tcPr>
          <w:p>
            <w:pPr>
              <w:ind w:left="400"/>
              <w:spacing w:after="0"/>
              <w:rPr>
                <w:sz w:val="20"/>
                <w:szCs w:val="20"/>
                <w:color w:val="auto"/>
              </w:rPr>
            </w:pPr>
            <w:r>
              <w:rPr>
                <w:rFonts w:ascii="Arial" w:cs="Arial" w:eastAsia="Arial" w:hAnsi="Arial"/>
                <w:sz w:val="16"/>
                <w:szCs w:val="16"/>
                <w:color w:val="auto"/>
              </w:rPr>
              <w:t>restricted stock units</w:t>
            </w: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w w:val="91"/>
              </w:rPr>
              <w:t>Issuance of common stock upon</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w w:val="94"/>
              </w:rPr>
              <w:t>exercise of stock options, net</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ind w:left="400"/>
              <w:spacing w:after="0" w:line="159" w:lineRule="exact"/>
              <w:rPr>
                <w:sz w:val="20"/>
                <w:szCs w:val="20"/>
                <w:color w:val="auto"/>
              </w:rPr>
            </w:pPr>
            <w:r>
              <w:rPr>
                <w:rFonts w:ascii="Arial" w:cs="Arial" w:eastAsia="Arial" w:hAnsi="Arial"/>
                <w:sz w:val="16"/>
                <w:szCs w:val="16"/>
                <w:color w:val="auto"/>
              </w:rPr>
              <w:t>of repurchases of unvested</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15,333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15,334</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common stock</w:t>
            </w: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40"/>
              <w:spacing w:after="0" w:line="162" w:lineRule="exact"/>
              <w:rPr>
                <w:sz w:val="20"/>
                <w:szCs w:val="20"/>
                <w:color w:val="auto"/>
              </w:rPr>
            </w:pPr>
            <w:r>
              <w:rPr>
                <w:rFonts w:ascii="Arial" w:cs="Arial" w:eastAsia="Arial" w:hAnsi="Arial"/>
                <w:sz w:val="16"/>
                <w:szCs w:val="16"/>
                <w:color w:val="auto"/>
              </w:rPr>
              <w:t>Issuance of common stock in</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360" w:type="dxa"/>
            <w:vAlign w:val="bottom"/>
          </w:tcPr>
          <w:p>
            <w:pPr>
              <w:ind w:left="400"/>
              <w:spacing w:after="0"/>
              <w:rPr>
                <w:sz w:val="20"/>
                <w:szCs w:val="20"/>
                <w:color w:val="auto"/>
              </w:rPr>
            </w:pPr>
            <w:r>
              <w:rPr>
                <w:rFonts w:ascii="Arial" w:cs="Arial" w:eastAsia="Arial" w:hAnsi="Arial"/>
                <w:sz w:val="16"/>
                <w:szCs w:val="16"/>
                <w:color w:val="auto"/>
              </w:rPr>
              <w:t>connection with acquisition</w:t>
            </w: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color w:val="auto"/>
                <w:w w:val="93"/>
              </w:rPr>
              <w:t>Vesting of early exercised stock</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options</w:t>
            </w: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240"/>
              <w:spacing w:after="0"/>
              <w:rPr>
                <w:sz w:val="20"/>
                <w:szCs w:val="20"/>
                <w:color w:val="auto"/>
              </w:rPr>
            </w:pPr>
            <w:r>
              <w:rPr>
                <w:rFonts w:ascii="Arial" w:cs="Arial" w:eastAsia="Arial" w:hAnsi="Arial"/>
                <w:sz w:val="16"/>
                <w:szCs w:val="16"/>
                <w:color w:val="auto"/>
              </w:rPr>
              <w:t>Vesting of restricted stock</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5,717</w:t>
            </w: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47,514</w:t>
            </w:r>
          </w:p>
        </w:tc>
        <w:tc>
          <w:tcPr>
            <w:tcW w:w="0" w:type="dxa"/>
            <w:vAlign w:val="bottom"/>
          </w:tcPr>
          <w:p>
            <w:pPr>
              <w:spacing w:after="0"/>
              <w:rPr>
                <w:sz w:val="1"/>
                <w:szCs w:val="1"/>
                <w:color w:val="auto"/>
              </w:rPr>
            </w:pPr>
          </w:p>
        </w:tc>
      </w:tr>
      <w:tr>
        <w:trPr>
          <w:trHeight w:val="209"/>
        </w:trPr>
        <w:tc>
          <w:tcPr>
            <w:tcW w:w="2360" w:type="dxa"/>
            <w:vAlign w:val="bottom"/>
          </w:tcPr>
          <w:p>
            <w:pPr>
              <w:ind w:left="240"/>
              <w:spacing w:after="0"/>
              <w:rPr>
                <w:sz w:val="20"/>
                <w:szCs w:val="20"/>
                <w:color w:val="auto"/>
              </w:rPr>
            </w:pPr>
            <w:r>
              <w:rPr>
                <w:rFonts w:ascii="Arial" w:cs="Arial" w:eastAsia="Arial" w:hAnsi="Arial"/>
                <w:sz w:val="16"/>
                <w:szCs w:val="16"/>
                <w:color w:val="auto"/>
              </w:rPr>
              <w:t>Other comprehensive income</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(95,325)</w:t>
            </w:r>
          </w:p>
        </w:tc>
        <w:tc>
          <w:tcPr>
            <w:tcW w:w="0" w:type="dxa"/>
            <w:vAlign w:val="bottom"/>
          </w:tcPr>
          <w:p>
            <w:pPr>
              <w:spacing w:after="0"/>
              <w:rPr>
                <w:sz w:val="1"/>
                <w:szCs w:val="1"/>
                <w:color w:val="auto"/>
              </w:rPr>
            </w:pPr>
          </w:p>
        </w:tc>
      </w:tr>
      <w:tr>
        <w:trPr>
          <w:trHeight w:val="261"/>
        </w:trPr>
        <w:tc>
          <w:tcPr>
            <w:tcW w:w="2360" w:type="dxa"/>
            <w:vAlign w:val="bottom"/>
          </w:tcPr>
          <w:p>
            <w:pPr>
              <w:ind w:left="20"/>
              <w:spacing w:after="0"/>
              <w:rPr>
                <w:sz w:val="20"/>
                <w:szCs w:val="20"/>
                <w:color w:val="auto"/>
              </w:rPr>
            </w:pPr>
            <w:r>
              <w:rPr>
                <w:rFonts w:ascii="Arial" w:cs="Arial" w:eastAsia="Arial" w:hAnsi="Arial"/>
                <w:sz w:val="16"/>
                <w:szCs w:val="16"/>
                <w:color w:val="auto"/>
                <w:w w:val="92"/>
              </w:rPr>
              <w:t>Balances as of December 31, 2021</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78,954</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304,701</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1,225,815</w:t>
            </w:r>
          </w:p>
        </w:tc>
        <w:tc>
          <w:tcPr>
            <w:tcW w:w="80" w:type="dxa"/>
            <w:vAlign w:val="bottom"/>
          </w:tcPr>
          <w:p>
            <w:pPr>
              <w:spacing w:after="0"/>
              <w:rPr>
                <w:sz w:val="22"/>
                <w:szCs w:val="2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(480,339)</w:t>
            </w:r>
          </w:p>
        </w:tc>
        <w:tc>
          <w:tcPr>
            <w:tcW w:w="8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744,985</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right="420" w:firstLine="6"/>
        <w:spacing w:after="0" w:line="265" w:lineRule="auto"/>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Reverse Recapitalization (as defined in Note 1) have been retroactively restated to reflect the exchange ratio of 3.1057 established in the Merger Agreement as described in Note 3.</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(95,325)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(75,234)</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3,058</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22,608</w:t>
            </w:r>
          </w:p>
        </w:tc>
        <w:tc>
          <w:tcPr>
            <w:tcW w:w="0" w:type="dxa"/>
            <w:vAlign w:val="bottom"/>
          </w:tcPr>
          <w:p>
            <w:pPr>
              <w:spacing w:after="0"/>
              <w:rPr>
                <w:sz w:val="1"/>
                <w:szCs w:val="1"/>
                <w:color w:val="auto"/>
              </w:rPr>
            </w:pPr>
          </w:p>
        </w:tc>
      </w:tr>
      <w:tr>
        <w:trPr>
          <w:trHeight w:val="209"/>
        </w:trPr>
        <w:tc>
          <w:tcPr>
            <w:tcW w:w="8020" w:type="dxa"/>
            <w:vAlign w:val="bottom"/>
          </w:tcPr>
          <w:p>
            <w:pPr>
              <w:ind w:left="240"/>
              <w:spacing w:after="0"/>
              <w:rPr>
                <w:sz w:val="20"/>
                <w:szCs w:val="20"/>
                <w:color w:val="auto"/>
              </w:rPr>
            </w:pPr>
            <w:r>
              <w:rPr>
                <w:rFonts w:ascii="Arial" w:cs="Arial" w:eastAsia="Arial" w:hAnsi="Arial"/>
                <w:sz w:val="16"/>
                <w:szCs w:val="16"/>
                <w:color w:val="auto"/>
              </w:rPr>
              <w:t>Bad debt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0" w:type="dxa"/>
            <w:vAlign w:val="bottom"/>
          </w:tcPr>
          <w:p>
            <w:pPr>
              <w:spacing w:after="0"/>
              <w:rPr>
                <w:sz w:val="1"/>
                <w:szCs w:val="1"/>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2,472</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209"/>
        </w:trPr>
        <w:tc>
          <w:tcPr>
            <w:tcW w:w="802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(4,529)</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7,689</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(51,268)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(41,604)</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(5,023)</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marketable securities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(77,600)</w:t>
            </w:r>
          </w:p>
        </w:tc>
        <w:tc>
          <w:tcPr>
            <w:tcW w:w="0" w:type="dxa"/>
            <w:vAlign w:val="bottom"/>
          </w:tcPr>
          <w:p>
            <w:pPr>
              <w:spacing w:after="0"/>
              <w:rPr>
                <w:sz w:val="1"/>
                <w:szCs w:val="1"/>
                <w:color w:val="auto"/>
              </w:rPr>
            </w:pPr>
          </w:p>
        </w:tc>
      </w:tr>
      <w:tr>
        <w:trPr>
          <w:trHeight w:val="209"/>
        </w:trPr>
        <w:tc>
          <w:tcPr>
            <w:tcW w:w="8020" w:type="dxa"/>
            <w:vAlign w:val="bottom"/>
          </w:tcPr>
          <w:p>
            <w:pPr>
              <w:ind w:left="240"/>
              <w:spacing w:after="0"/>
              <w:rPr>
                <w:sz w:val="20"/>
                <w:szCs w:val="20"/>
                <w:color w:val="auto"/>
              </w:rPr>
            </w:pPr>
            <w:r>
              <w:rPr>
                <w:rFonts w:ascii="Arial" w:cs="Arial" w:eastAsia="Arial" w:hAnsi="Arial"/>
                <w:sz w:val="16"/>
                <w:szCs w:val="16"/>
                <w:color w:val="auto"/>
              </w:rPr>
              <w:t>Sales of marketable securities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21,826</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Maturities of marketable securities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97,589</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provided by (used in) investing activities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36,792</w:t>
            </w:r>
          </w:p>
        </w:tc>
        <w:tc>
          <w:tcPr>
            <w:tcW w:w="0" w:type="dxa"/>
            <w:vAlign w:val="bottom"/>
          </w:tcPr>
          <w:p>
            <w:pPr>
              <w:spacing w:after="0"/>
              <w:rPr>
                <w:sz w:val="1"/>
                <w:szCs w:val="1"/>
                <w:color w:val="auto"/>
              </w:rPr>
            </w:pP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Proceeds from exercise of stock options, net of repurchases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6,367</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the Reverse Recapitalization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628,489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Payment of transaction costs related to the Reverse Recapitalization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withholdings on release of restricted stock units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provided by financing activities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637,576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03"/>
        </w:trPr>
        <w:tc>
          <w:tcPr>
            <w:tcW w:w="8020" w:type="dxa"/>
            <w:vAlign w:val="bottom"/>
          </w:tcPr>
          <w:p>
            <w:pPr>
              <w:ind w:left="34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437,069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83,984</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521,812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84,743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521,812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83,642</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521,812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84,743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Supplemental cash flow disclosures: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6"/>
                <w:szCs w:val="16"/>
                <w:color w:val="auto"/>
              </w:rPr>
              <w:t>Cash paid for taxes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investing and financing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340"/>
              <w:spacing w:after="0"/>
              <w:rPr>
                <w:sz w:val="20"/>
                <w:szCs w:val="20"/>
                <w:color w:val="auto"/>
              </w:rPr>
            </w:pPr>
            <w:r>
              <w:rPr>
                <w:rFonts w:ascii="Arial" w:cs="Arial" w:eastAsia="Arial" w:hAnsi="Arial"/>
                <w:sz w:val="16"/>
                <w:szCs w:val="16"/>
                <w:color w:val="auto"/>
              </w:rPr>
              <w:t>Vesting of restricted stock and early exercised stock options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6,159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6,240</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 liabilities arising from obtaining right-of-use assets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40,790</w:t>
            </w:r>
          </w:p>
        </w:tc>
        <w:tc>
          <w:tcPr>
            <w:tcW w:w="0" w:type="dxa"/>
            <w:vAlign w:val="bottom"/>
          </w:tcPr>
          <w:p>
            <w:pPr>
              <w:spacing w:after="0"/>
              <w:rPr>
                <w:sz w:val="1"/>
                <w:szCs w:val="1"/>
                <w:color w:val="auto"/>
              </w:rPr>
            </w:pPr>
          </w:p>
        </w:tc>
      </w:tr>
      <w:tr>
        <w:trPr>
          <w:trHeight w:val="209"/>
        </w:trPr>
        <w:tc>
          <w:tcPr>
            <w:tcW w:w="8020" w:type="dxa"/>
            <w:vAlign w:val="bottom"/>
          </w:tcPr>
          <w:p>
            <w:pPr>
              <w:ind w:left="340"/>
              <w:spacing w:after="0"/>
              <w:rPr>
                <w:sz w:val="20"/>
                <w:szCs w:val="20"/>
                <w:color w:val="auto"/>
              </w:rPr>
            </w:pPr>
            <w:r>
              <w:rPr>
                <w:rFonts w:ascii="Arial" w:cs="Arial" w:eastAsia="Arial" w:hAnsi="Arial"/>
                <w:sz w:val="16"/>
                <w:szCs w:val="16"/>
                <w:color w:val="auto"/>
              </w:rPr>
              <w:t>Unpaid deferred transaction costs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340"/>
              <w:spacing w:after="0" w:line="165" w:lineRule="exact"/>
              <w:rPr>
                <w:sz w:val="20"/>
                <w:szCs w:val="20"/>
                <w:color w:val="auto"/>
              </w:rPr>
            </w:pPr>
            <w:r>
              <w:rPr>
                <w:rFonts w:ascii="Arial" w:cs="Arial" w:eastAsia="Arial" w:hAnsi="Arial"/>
                <w:sz w:val="16"/>
                <w:szCs w:val="16"/>
                <w:color w:val="auto"/>
                <w:w w:val="95"/>
              </w:rPr>
              <w:t>Conversion of redeemable convertible preferred stock into Class B common stock in connection with the Reverse</w:t>
            </w:r>
          </w:p>
        </w:tc>
        <w:tc>
          <w:tcPr>
            <w:tcW w:w="38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447,166</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Recapitalization</w:t>
            </w:r>
          </w:p>
        </w:tc>
        <w:tc>
          <w:tcPr>
            <w:tcW w:w="3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77" w:name="page78"/>
    <w:bookmarkEnd w:id="7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Nextdoor Holdings, Inc. (“Nextdoor” or the “Company”) is headquartered in San Francisco, California. Nextdoor’s purpose is to cultivate a kinder world where everyone has a neighborhood they can rely on. That purpose enables the Company’s mission to be the neighborhood hub for trusted connections and the exchange of helpful information, goods, and services.</w:t>
      </w:r>
    </w:p>
    <w:p>
      <w:pPr>
        <w:spacing w:after="0" w:line="1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November 5, 2021 (the “Closing”), the Company consummated the transactions contemplated by the Agreement and Plan of Merger, dated July 6, 2021, as amended on September 30, 2021 (the “Merger Agreement”), by and among Khosla Ventures Acquisition Co. II (“KVSB”), a special purpose acquisition company, Lorelei Merger Sub Inc. (“Merger Sub”), and Nextdoor, Inc. (“Legacy Nextdoor”), with Legacy Nextdoor surviving as a wholly owned subsidiary of KVSB (the “Merger” and, collectively with the other transactions that occurred in connection with the Merger, including the PIPE Investment (as described in Note 3, the “Reverse Recapitalization”). In connection with the Closing, KVSB was renamed to Nextdoor Holdings, Inc. Reported results from operations included herein prior to the Reverse Recapitalization are those of Legacy Nextdoor.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See Note 3 - Reverse Recapitalization for further details.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Merger was accounted for as a reverse recapitalization in accordance with GAAP. This determination was primarily based on the evaluation of the following facts and circumstances:</w:t>
      </w:r>
    </w:p>
    <w:p>
      <w:pPr>
        <w:spacing w:after="0" w:line="128"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Legacy Nextdoor stockholders had a relative majority of the voting power of Nextdoor;</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Board of Directors of Nextdoor had ten members, and Legacy Nextdoor stockholders had the ability to nominate a majority of the members of the Board of Directors;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Legacy Nextdoor’s senior management comprised the senior management roles of Nextdoor and were responsible for the day-to-day operations;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Nextdoor assumed the Nextdoor Holdings, Inc. name and Legacy Nextdoor’s corporate headquarters;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intended strategy and operations of Nextdoor continued Legacy Nextdoor’s strategy and operations to leverage technology to connect millions of neighbors online and in real life to build stronger, more vibrant, and resilient neighborhoods.</w:t>
      </w:r>
    </w:p>
    <w:p>
      <w:pPr>
        <w:spacing w:after="0" w:line="128"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Under this method of accounting, 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shares and corresponding capital amounts and all per share data related to Legacy Nextdoor’s outstanding redeemable convertible preferred stock, common stock, and stock-based awards prior to the Reverse Recapitalization have been retroactively adjusted using the Exchange Ratio (as defined in Note 3). The conversion of the outstanding shares of Legacy Nextdoor redeemable convertible preferred stock into shares of Class B common stock in connection with the Reverse Recapitalization and the issuance of Class A common stock are presented as of the Closing of the Merger in the consolidated statements of redeemable convertible preferred stock and stockholders’ equity (deficit).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functional currency of the Company’s international subsidiaries is generally their local currency. The financial statements of these subsidiaries are translated into U.S. dollars using month-end exchange rates for assets and liabilities, historical exchange rates for equity, and average exchange rates for revenue and expenses. Translation gains and losses are recorded in accumulated other comprehensive income (loss) as a component of stockholders’ equity (deficit). Unrealized foreign exchange gains and losses due to the re-measurement of monetary assets and liabilities denominated in non-functional currencies and realized foreign exchange gains and losses on foreign exchange transactions are recorded in other income (expense), net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consist of highly liquid investments with insignificant interest rate risk and original maturities of three months or less at the time of purchase. Cash and cash equivalents include demand deposits and money market accounts. Interest is accrued as earned. Cash and cash equivalents are recorded at cost, which approximates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marketable securities are comprised of commercial paper, corporate securities, U.S. Treasury securities, and asset-backed securities. The Company determines the appropriate classification of its investments at the time of purchase and reevaluates such designation at each balance sheet date. The Company has classified and accounted for its investments as available-for-sale securities as the Company may sell these securities at any time for use in its current operations or for other purposes, even prior to maturity. As a result, the Company classifies its investments, including securities with stated maturities beyond 12 months, within current assets on the consolidated balance sheets.</w:t>
      </w:r>
    </w:p>
    <w:p>
      <w:pPr>
        <w:spacing w:after="0" w:line="12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Available-for-sale securities are recorded at fair value each reporting period. Unrealized gains and losses on these investments are reported as a separate component of accumulated other comprehensive income (loss) on the consolidated balance sheets until realized. Interest income is reported within interest income in the consolidated statements of operations. The Company periodically evaluates its marketable securities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the financial condition and near-term prospects of the investee. Realized gains and losses are determined based on the specific identification method and are reported in other income (expense), net in the consolidated statements of operations. If the Company determines that the decline in an investment’s fair value is other than temporary, the difference is recognized as an impairment loss in the consolidated statements of operations. The Company did not consider any of its investments to be other-than-temporarily impaired for the years ended December 31, 2021 and 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certain assets and liabilities at fair value, which is the expected exchange price that would be received for an asset or an exit price paid to transfer a liability in an orderly transaction between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participants on the measurement date. Assets and liabilities measured at fair value are classified into the following categories based on the degree to which the inputs the Company uses to measure the fair values are observable in active markets. The Company uses the most observable inputs available when measuring fair value.</w:t>
      </w:r>
    </w:p>
    <w:p>
      <w:pPr>
        <w:spacing w:after="0" w:line="1"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Level 1: Observable inputs such as unadjusted quoted prices for identical assets or liabilities in active markets;</w:t>
      </w:r>
    </w:p>
    <w:p>
      <w:pPr>
        <w:spacing w:after="0" w:line="152" w:lineRule="exact"/>
        <w:rPr>
          <w:rFonts w:ascii="Arial" w:cs="Arial" w:eastAsia="Arial" w:hAnsi="Arial"/>
          <w:sz w:val="18"/>
          <w:szCs w:val="18"/>
          <w:color w:val="auto"/>
        </w:rPr>
      </w:pPr>
    </w:p>
    <w:p>
      <w:pPr>
        <w:ind w:left="640" w:right="300" w:hanging="316"/>
        <w:spacing w:after="0" w:line="294"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Level 2: Observable inputs such as quoted prices for similar assets or liabilities in active markets, quoted prices for identical assets or liabilities in inactive markets, or inputs that are derived principally from or corroborated by observable market data or other means; and</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are significant to the fair value of the assets or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records accounts receivable at the original invoiced amount. The Company maintains an allowance for doubtful accounts for any receivables it may be unable to collect and reduces the allowance when it determines that it will be unable to collect specific receivables. The Company determines the allowance based on its receivables’ age, the customers’ credit quality, and current economic conditions, among other factors that may affect the customers’ ability to pay.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6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The Company’s restricted cash balance is primarily invested in a savings account and pledged as collateral for standby letters of credit as security deposits for the Company’s office leases. As of December 31, 2021 and 2020, the Company had restricted cash balances of $0 million and $1.1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are recorded at cost, less accumulated depreciation and amortization. Depreciation and amortization are computed using the straight-line method over the estimated useful lives of the assets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40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174"/>
        </w:trPr>
        <w:tc>
          <w:tcPr>
            <w:tcW w:w="7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w w:val="94"/>
              </w:rPr>
              <w:t>Shorter of the estimated useful life of 5 years</w:t>
            </w:r>
          </w:p>
        </w:tc>
        <w:tc>
          <w:tcPr>
            <w:tcW w:w="0" w:type="dxa"/>
            <w:vAlign w:val="bottom"/>
          </w:tcPr>
          <w:p>
            <w:pPr>
              <w:spacing w:after="0"/>
              <w:rPr>
                <w:sz w:val="1"/>
                <w:szCs w:val="1"/>
                <w:color w:val="auto"/>
              </w:rPr>
            </w:pPr>
          </w:p>
        </w:tc>
      </w:tr>
      <w:tr>
        <w:trPr>
          <w:trHeight w:val="224"/>
        </w:trPr>
        <w:tc>
          <w:tcPr>
            <w:tcW w:w="7840" w:type="dxa"/>
            <w:vAlign w:val="bottom"/>
            <w:vMerge w:val="continue"/>
            <w:shd w:val="clear" w:color="auto" w:fill="CCEEFF"/>
          </w:tcPr>
          <w:p>
            <w:pPr>
              <w:spacing w:after="0"/>
              <w:rPr>
                <w:sz w:val="19"/>
                <w:szCs w:val="19"/>
                <w:color w:val="auto"/>
              </w:rPr>
            </w:pP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or the lease term</w:t>
            </w:r>
          </w:p>
        </w:tc>
        <w:tc>
          <w:tcPr>
            <w:tcW w:w="0" w:type="dxa"/>
            <w:vAlign w:val="bottom"/>
          </w:tcPr>
          <w:p>
            <w:pPr>
              <w:spacing w:after="0"/>
              <w:rPr>
                <w:sz w:val="1"/>
                <w:szCs w:val="1"/>
                <w:color w:val="auto"/>
              </w:rPr>
            </w:pPr>
          </w:p>
        </w:tc>
      </w:tr>
      <w:tr>
        <w:trPr>
          <w:trHeight w:val="410"/>
        </w:trPr>
        <w:tc>
          <w:tcPr>
            <w:tcW w:w="7840" w:type="dxa"/>
            <w:vAlign w:val="bottom"/>
          </w:tcPr>
          <w:p>
            <w:pPr>
              <w:spacing w:after="0"/>
              <w:rPr>
                <w:sz w:val="20"/>
                <w:szCs w:val="20"/>
                <w:color w:val="auto"/>
              </w:rPr>
            </w:pPr>
            <w:r>
              <w:rPr>
                <w:rFonts w:ascii="Arial" w:cs="Arial" w:eastAsia="Arial" w:hAnsi="Arial"/>
                <w:sz w:val="18"/>
                <w:szCs w:val="18"/>
                <w:color w:val="auto"/>
              </w:rPr>
              <w:t>Maintenance and repair costs are expensed as incurred.</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Company capitalizes internal-use software costs when preliminary development efforts are successfully completed, management has authorized and committed project funding, and it is probable that the project will be completed, and the software will be used as intended. Costs related to preliminary project activities and post-implementation activities are expensed as incurred and costs related to the application development stage are capitalized. Capitalized costs are recorded as part of property and equipment, net. The capitalized costs related to internal-use software are amortized on a straight-line basis over an estimated useful life of two to three years. Management evaluates the useful lives of these assets on an annual basis and tests for impairment whenever events or changes in circumstances occur that could impact the recoverability of these assets. The Company capitalized no internal-use software costs and $0.2 million of internal-use software costs for the years ended December 31, 2021 and 2020,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includes the results of operations of the businesses that it acquires from the date of acquisition. The Company accounts for its acquisitions using the acquisition method of accounting. The Company allocates the fair value of purchase consideration to the tangible assets acquired, liabilities assumed, and intangible assets acquired, based on their estimated fair values.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intangible assets. Significant estimates in valuing certain identifiable assets include, but are not limited to, expected long-term market growth, future expected operating expenses, appropriate discount rates, and useful lives. Management’s estimates of fair value are based upon assumptions believed to be reasonable, but which are inherently uncertain and unpredictable and, as a result, actual results may differ from estimates. Acquisition costs, such as legal and consulting fees, are expensed as incurred. During the measurement period, the Company may record adjustments to the assets acquired and liabilities assumed, with the corresponding offset to goodwill. Upon the conclusion of the measurement period, which is not to exceed one year from the acquisition date, any subsequent adjustments are recorded in the consolidated statements of operations. See Note 4 - Acquisitions for additional information regarding the Company’s acquisition.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Acquired Intangible Assets</w:t>
      </w:r>
    </w:p>
    <w:p>
      <w:pPr>
        <w:spacing w:after="0" w:line="16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Goodwill represents the excess of the purchase price over the fair value of net assets acquired in connection with business combinations accounted for using the acquisition method of accounting. Goodwill is not amortized, but is tested for impairment at least annually, in the fourth quarter, or whenever events or changes in circumstances indicate that goodwill might be impaired. For all periods presented the Company had one reporting unit. The Company’s test for goodwill impairment starts with a qualitative assessment to determine whether it is necessary to perform the quantitative goodwill impairment test. If the Company determines, based on the qualitative factors, that the fair value of the reporting unit is more likely than not to be less than the carrying amount, then a quantitative goodwill impairment test is required. There was no impairment of goodwill recorded for the years ended December 31, 2021 and 2020.</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Intangible assets consist of identifiable intangible assets, including customer relationships and developed technology, resulting from the Company’s acquisitions. Acquired intangible assets are recorded at cost, net of accumulated amortization. Intangible assets are amortized on a straight-line basis over their estimated useful lives. Amortization costs are recorded in sales and marketing in the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Property and equipment and other long-lived assets, such as finite-lived intangible assets, subject to amortization,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impairment is indicated, an impairment loss is recognized as the amount by which the carrying amount exceeds the fair value. No impairment was required for long-lived assets for the years ended December 31, 2021 and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Results and disclosure requirements for all periods presented are presented under ASU 2016-02, Leases (“Topic 842”).</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various lease agreements related to real estate that are all classified as operating leases. At the inception of the Company’s contracts it determines if the contract is or contains a lease. A contract is or contains a lease if it conveys the right to control the use of an identified asset for a period of time in exchange for consideration. The Company has elected not to separate the lease and non-lease components within the contract. For leases that have greater than a 12-month lease term, right-of-use (“ROU”) assets and operating lease liabilities are recognized on the consolidated balance sheets at commencement date based on the present value of remaining fixed lease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the Company’s leases include options to extend the lease, with renewal terms that can extend the lease term from one month to five years. If the Company is reasonably certain to exercise an option to extend a lease, the extension period is included as part of the ROU asset and the operating lease liability.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the discount rate implicit in the lease cannot be readily determined, the Company uses its incremental borrowing rate at lease commencement in order to discount lease payments to present value for purposes of performing lease classification tests and measuring the lease liability. The Company’s incremental borrowing rate represents the rate of interest the Company would have to pay to borrow, on a collateralized basis, over a similar term an amount equal to the lease payments in a similar economic environment.</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lease ROU asset also includes accrued lease expense resulting from the straight-line accounting under prior accounting methods, which is now being amortized over the remaining life of the lease.</w:t>
      </w:r>
    </w:p>
    <w:p>
      <w:pPr>
        <w:spacing w:after="0" w:line="12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Company’s lease payments are largely fixed. Variable lease payments exist in circumstances such as payments for property tax, insurance, and common area maintenance. Variable lease payments are recognized in operating expense in the period in which the obligation for those payments are incurred. Certain of the Company’s leases include an option to early terminate the lease. The Company’s leases may contain early termination options which may result in an early termination fee. The Company early terminated one of its leases in October 2020 and incurred an early termination fee of $0.1 million. The Company has a significant lease for its new headquarters in San Francisco, California, which does not include an option to early terminate. The first portion of the lease commenced in June 2020 and the second, and final portion of the lease, commenced in January 2021.</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Company’s leases, it has elected to not apply the recognition requirements to leases of twelve months or less. These leases are expensed on a straight-line basis and no operating lease liability will be recorded.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Customer Risks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Financial instruments that are exposed to concentrations of credit risk consist principally of cash and cash equivalents, marketable securities and accounts receivable. The Company maintains cash and cash equivalents and marketable securities with domestic and foreign financial institutions and at times may exceed federally insured limits. The Company performs periodic evaluations of the relative credit standing of these institutions. The Company maintains investments in U.S. government debt and agency securities, corporate debt securities, and commercial paper that carry high credit ratings and accordingly, minimal credit risk exists with respect to these balances.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One customer represented 10% or more of accounts receivable and no customer represented 10% or more of revenue as of and for the year ended December 31, 2021. No customer represented 10% or more of accounts receivable or revenue as of and for the year ended December 31,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a majority of its revenue from the delivery of advertising services.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53"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advertising revenue after satisfying its contractual performance obligation, which, for the majority of its advertising arrangements, is when an advertising impression is displayed to users. None of the Company’s arrangements contain minimum impression guarantees. The Company typically bills advertisers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monthly basis and the payment terms vary by customer type and location. The Company has other advertising arrangements for the sale of neighborhood sponsorship and local deals which are typically fixed-fee arrangements and revenue is recognized on a straight-line basis over the non-cancellable contractual term of the agreement, generally beginning on the date its service is made available to the customer.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6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certain advertising arrangements the Company requires payment upfront from its customers. The Company records deferred revenue when it collects cash from customers in advance of revenue recognition. As of December 31, 2021 and 2020, deferred revenue was $3.4 million and $2.6 million, respectively, and included within accrued expenses and other current liabilities on the consolidated balance sheets. For the years ended December 31, 2021 and 2020, revenue recognized from deferred revenue at the beginning of each year was $2.5 million and $0.7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sales commissions as incurred because the expected period of benefit is less than one year. These costs are recorded within sales and marketing expenses in the consolidated statements of operations.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Cost of revenue consists primarily of expenses associated with the delivery of the Company’s revenue generating activities, including third-party costs of hosting its platform and allocated personnel-related costs, including salaries, benefits and stock-based compensation for employees engaged in development of its revenue generating products. Cost of revenue also includes third-party costs associated with delivering and supporting its advertising products and credit card transaction fees related to processing customer transactions.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consist primarily of personnel-related costs, including salaries, benefits and stock-based compensation for its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Sales and marketing expenses consist primarily of personnel-related costs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small and mid-sized customer acquisition, and neighbor services, which includes personnel-related costs for the Company's neighbor support team, its outsourced neighbor support function, and verification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Advertising costs which consist primarily of brand and performance marketing are expensed as incurred and are included in sales and marketing expense in the consolidated statements of operations. Total advertising costs incurred were $37.5 million and $23.7 million for the years ended December 31, 2021 and 2020,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income taxes are recognized for differences between financial reporting and tax bases of assets and liabilities at the enacted statutory tax rates in effect for the years in which the temporary differences are expected to reverse.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U.S. net deferred tax assets have been fully offset by a valuation allowance.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operates in various tax jurisdictions which are subject to audit by various tax authorities. The Company recognizes a tax benefit from an uncertain tax position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cumulative likelihood of being realized upon settlement. The Company recognizes interest and penalties related to unrecognized tax benefits in the income tax provision in the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Company presents net loss per share attributable to common stockholders in conformity with the two-class method required for multiple classes of common stock and participating securities. Under the two-class method, net loss is attributed to common stockholders and participating securities based on their participation rights. The rights, including the liquidation and dividend rights, of the Class A common stock and Class B common stock are substantially identical, other than voting rights. Accordingly, the Class A common stock and Class B common stock share proportionately in the Company’s net losses. The Company considers its redeemable convertible preferred stock (prior to the Reverse Recapitalization), early exercised stock options, and unvested restricted stock to be participating securities and contractually entitles the holders of such shares to participate in dividends but does not contractually obligate the holders of such shares to participate in the Company’s losses. As such, net losses for the periods presented were not allocated to these securities.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computes basic net loss per share attributable to common stockholders by dividing the net loss attributable to common stockholders by the weighted average number of shares of common stock outstanding during the period, adjusted for outstanding shares that are subject to repurchase. Diluted net loss per share attributable to common stockholders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all potentially dilutive securities are anti-dilutive.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Stock-based compensation expense for stock-based awards granted to employees and non-employees is measured based on the grant date fair value of the awards and recognized in the consolidated statements of operations on a straight-line basis over the period during which services are provided in exchange for the award, generally, the vesting period of the award. The grant date fair value of stock options granted is estimated using the Black-Scholes option pricing model. Forfeitures are accounted for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has one reportable and operating segment. The Company’s chief operating decision maker is its Chief Executive Officer (“CEO”), who reviews financial information presented on a consolidated basis for purposes of making operating decisions, assessing financial performance, and allocating resources. See Note 14 - Geographical Information for more details on the Company’s revenue and long-lived assets by jurisdiction.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color w:val="auto"/>
        </w:rPr>
        <w:t>. ASU 2018-13 changes the disclosure requirements for fair value measurement. The Company adopted this standard as of January 1,</w:t>
      </w:r>
      <w:r>
        <w:rPr>
          <w:rFonts w:ascii="Arial" w:cs="Arial" w:eastAsia="Arial" w:hAnsi="Arial"/>
          <w:sz w:val="17"/>
          <w:szCs w:val="17"/>
          <w:i w:val="1"/>
          <w:iCs w:val="1"/>
          <w:color w:val="auto"/>
        </w:rPr>
        <w:t xml:space="preserve"> </w:t>
      </w:r>
      <w:r>
        <w:rPr>
          <w:rFonts w:ascii="Arial" w:cs="Arial" w:eastAsia="Arial" w:hAnsi="Arial"/>
          <w:sz w:val="17"/>
          <w:szCs w:val="17"/>
          <w:color w:val="auto"/>
        </w:rPr>
        <w:t>2020, and the adoption did not have a material impact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and has since issued various amendments including ASU 2018-19, ASU 2019-04, and ASU 2019-05. The guidance and related amendments modify the accounting for credit losses for most financial assets and require the use of an expected loss model, replacing the currently used incurred loss method. Under this model, entities will be required to estimate the lifetime expected credit loss on such instruments and record an allowance to offset the amortized cost basis of the financial asset, resulting in a net presentation of the amount expected to be collected on the financial asset. The new guidance will be effective for the Company beginning January 1, 2023, though early adoption is permitted. The Company is currently evaluating the impact of this standard on its consolidated financial statements and related disclosures.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 Topic 740 – Simplifying the Accounting for Income Taxes</w:t>
      </w:r>
      <w:r>
        <w:rPr>
          <w:rFonts w:ascii="Arial" w:cs="Arial" w:eastAsia="Arial" w:hAnsi="Arial"/>
          <w:sz w:val="18"/>
          <w:szCs w:val="18"/>
          <w:color w:val="auto"/>
        </w:rPr>
        <w:t>, which simplifies the accounting for income taxes by removing certain exceptions to the general principals in Topic 740. The amendments also improve consistent application of and simplify GAAP for other areas of Topic 740 by clarifying and amending existing guidance. The ASU is effective for fiscal years beginning after December 15, 2021, with early adoption permitted. The Company is currently evaluating the impact of this standard on its consolidated financial statements and related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Recapitalization</w:t>
      </w:r>
    </w:p>
    <w:p>
      <w:pPr>
        <w:spacing w:after="0" w:line="17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Pursuant to the Merger Agreement, as described in Note 1, Merger Sub merged with and into Legacy Nextdoor, with Legacy Nextdoor surviving the Merger. Legacy Nextdoor became a wholly owned subsidiary of KVSB and KVSB was immediately renamed Nextdoor Holdings, Inc. Upon the consummation of the Merger, the following events contemplated by the Merger Agreement occurred, based on Legacy Nextdoor’s capitalization as of November 5, 2021:</w:t>
      </w:r>
    </w:p>
    <w:p>
      <w:pPr>
        <w:spacing w:after="0" w:line="84" w:lineRule="exact"/>
        <w:rPr>
          <w:sz w:val="20"/>
          <w:szCs w:val="20"/>
          <w:color w:val="auto"/>
        </w:rPr>
      </w:pPr>
    </w:p>
    <w:p>
      <w:pPr>
        <w:ind w:left="640" w:hanging="316"/>
        <w:spacing w:after="0" w:line="294"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61,331,815 issued and outstanding shares of Legacy Nextdoor redeemable convertible preferred stock were converted into 61,331,815 shares of Legacy Nextdoor common stock at the conversion rate as calculated pursuant to Legacy Nextdoor’s certificate of incorporation;</w:t>
      </w:r>
    </w:p>
    <w:p>
      <w:pPr>
        <w:spacing w:after="0" w:line="104" w:lineRule="exact"/>
        <w:rPr>
          <w:rFonts w:ascii="Arial" w:cs="Arial" w:eastAsia="Arial" w:hAnsi="Arial"/>
          <w:sz w:val="17"/>
          <w:szCs w:val="17"/>
          <w:color w:val="auto"/>
        </w:rPr>
      </w:pPr>
    </w:p>
    <w:p>
      <w:pPr>
        <w:jc w:val="both"/>
        <w:ind w:left="640" w:hanging="316"/>
        <w:spacing w:after="0" w:line="330" w:lineRule="auto"/>
        <w:tabs>
          <w:tab w:leader="none" w:pos="635" w:val="left"/>
        </w:tabs>
        <w:numPr>
          <w:ilvl w:val="0"/>
          <w:numId w:val="41"/>
        </w:numPr>
        <w:rPr>
          <w:rFonts w:ascii="Arial" w:cs="Arial" w:eastAsia="Arial" w:hAnsi="Arial"/>
          <w:sz w:val="15"/>
          <w:szCs w:val="15"/>
          <w:color w:val="auto"/>
        </w:rPr>
      </w:pPr>
      <w:r>
        <w:rPr>
          <w:rFonts w:ascii="Arial" w:cs="Arial" w:eastAsia="Arial" w:hAnsi="Arial"/>
          <w:sz w:val="15"/>
          <w:szCs w:val="15"/>
          <w:color w:val="auto"/>
        </w:rPr>
        <w:t>all 97,886,321 issued and outstanding shares of Legacy Nextdoor common stock (including Legacy Nextdoor common stock resulting from the conversion of the Legacy Nextdoor redeemable convertible preferred stock) were converted into 304,003,976 shares of Nextdoor Class B common stock after giving effect to the exchange ratio of 3.1057 as calculated in accordance with the Merger Agreement (“Exchange Ratio”);</w:t>
      </w:r>
    </w:p>
    <w:p>
      <w:pPr>
        <w:spacing w:after="0" w:line="83"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19,196,313 granted and outstanding unexercised Legacy Nextdoor options were converted into 59,616,898 Nextdoor options exercisable for shares of Nextdoor Class B common stock with the same terms and vesting conditions except for the number of shares exercisable and the exercise price, each of which was adjusted by the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19" w:lineRule="exact"/>
        <w:rPr>
          <w:sz w:val="20"/>
          <w:szCs w:val="20"/>
          <w:color w:val="auto"/>
        </w:rPr>
      </w:pPr>
    </w:p>
    <w:p>
      <w:pPr>
        <w:jc w:val="both"/>
        <w:ind w:left="640" w:hanging="316"/>
        <w:spacing w:after="0" w:line="25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866,687 granted and outstanding unvested Legacy Nextdoor restricted stock units (“RSUs”) were converted into 2,691,577 Nextdoor RSUs for shares of Nextdoor Class B common stock with the same terms and vesting conditions except for the number of shares, which was adjusted by the Exchange Ratio; and</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entitlement to receive 58,135 shares of Legacy Nextdoor common stock pursuant to the Pixel Labs Merger Agreement converted into the right to receive 180,549 shares of Nextdoor Class B common stock, which was adjusted by the Exchange Ratio.</w:t>
      </w:r>
    </w:p>
    <w:p>
      <w:pPr>
        <w:spacing w:after="0" w:line="12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were 304,003,976 shares of Nextdoor Class B common stock issued and outstanding as of the Closing and Nextdoor options and RSUs covering 62,308,475 shares reserved for the potential future issuance of Nextdoor Class B common stock as of the Closing.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Closing of the Merger:</w:t>
      </w:r>
    </w:p>
    <w:p>
      <w:pPr>
        <w:spacing w:after="0" w:line="164" w:lineRule="exact"/>
        <w:rPr>
          <w:sz w:val="20"/>
          <w:szCs w:val="20"/>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KVSB Class B founder shares, consisting of 5,000,000 shares of KVSB Class B common stock, automatically converted into an aggregate of 7,347,249 shares of Nextdoor Class A common stock;</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KVSB Class K founder shares, consisting of 5,000,000 shares of KVSB Class K common stock, converted into an aggregate of 3,061,354 shares of Nextdoor Class A common stock;</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1,132,688 private placement sponsor shares of KVSB Class A common stock converted into shares of Nextdoor Class A common stock on a one-to-one basis;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40,412,372 shares of KVSB Class A common stock held by KVSB public stockholders, net of the redemption of 1,222,040 shares of KVSB Class A common stock, converted into Nextdoor Class A common stock on a one-to-one basis.</w:t>
      </w:r>
    </w:p>
    <w:p>
      <w:pPr>
        <w:spacing w:after="0" w:line="1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July 6, 2021, concurrently with the execution of the Merger Agreement, KVSB entered into subscription agreements with certain investors (collectively, the “PIPE Investors”), pursuant to, and on the terms and subject to the conditions of which, the PIPE Investors subscribed for an aggregate of 27,000,000 shares of Class A common stock, which included 750,000 shares of Nextdoor Class A common stock to the KVSB sponsor and 4,500,000 shares of Nextdoor Class A common stock to certain Legacy Nextdoor stockholders, including 500,000 shares of Nextdoor Class A common stock to Nextdoor's Chief Executive Officer and President, for an aggregate purchase price of $270.0 million (the “PIPE Investment”). The PIPE Investment was consummated substantially concurrently with the Closing of the Merger.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were 78,953,663 shares of Nextdoor Class A common stock issued and outstanding as of the Closing.</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holder of shares of Class A common stock is entitled to one vote for each share of Class A common stock held on all matters submitted to a vote of stockholders and each holder of shares of Class B common stock is entitled to 10 votes for each share of Class B common stock held on all matters submitted to a vote of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number of shares of common stock issued and outstanding immediately following the Reverse Recapitalization: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40" w:type="dxa"/>
            <w:vAlign w:val="bottom"/>
            <w:tcBorders>
              <w:bottom w:val="single" w:sz="8" w:color="CCEEFF"/>
            </w:tcBorders>
          </w:tcPr>
          <w:p>
            <w:pPr>
              <w:spacing w:after="0"/>
              <w:rPr>
                <w:sz w:val="17"/>
                <w:szCs w:val="17"/>
                <w:color w:val="auto"/>
              </w:rPr>
            </w:pPr>
          </w:p>
        </w:tc>
        <w:tc>
          <w:tcPr>
            <w:tcW w:w="3000" w:type="dxa"/>
            <w:vAlign w:val="bottom"/>
            <w:tcBorders>
              <w:top w:val="single" w:sz="8" w:color="auto"/>
              <w:bottom w:val="single" w:sz="8" w:color="auto"/>
            </w:tcBorders>
          </w:tcPr>
          <w:p>
            <w:pPr>
              <w:jc w:val="right"/>
              <w:ind w:right="1213"/>
              <w:spacing w:after="0"/>
              <w:rPr>
                <w:sz w:val="20"/>
                <w:szCs w:val="20"/>
                <w:color w:val="auto"/>
              </w:rPr>
            </w:pPr>
            <w:r>
              <w:rPr>
                <w:rFonts w:ascii="Arial" w:cs="Arial" w:eastAsia="Arial" w:hAnsi="Arial"/>
                <w:sz w:val="14"/>
                <w:szCs w:val="14"/>
                <w:b w:val="1"/>
                <w:bCs w:val="1"/>
                <w:color w:val="auto"/>
              </w:rPr>
              <w:t>Shares</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KVSB Class A common stock, outstanding prior to Reverse Recapitalization</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42,767,100</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Less: redemption of KVSB Class A common stock</w:t>
            </w:r>
          </w:p>
        </w:tc>
        <w:tc>
          <w:tcPr>
            <w:tcW w:w="3000" w:type="dxa"/>
            <w:vAlign w:val="bottom"/>
          </w:tcPr>
          <w:p>
            <w:pPr>
              <w:jc w:val="right"/>
              <w:spacing w:after="0"/>
              <w:rPr>
                <w:sz w:val="20"/>
                <w:szCs w:val="20"/>
                <w:color w:val="auto"/>
              </w:rPr>
            </w:pPr>
            <w:r>
              <w:rPr>
                <w:rFonts w:ascii="Arial" w:cs="Arial" w:eastAsia="Arial" w:hAnsi="Arial"/>
                <w:sz w:val="18"/>
                <w:szCs w:val="18"/>
                <w:color w:val="auto"/>
              </w:rPr>
              <w:t>(1,222,040)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KVSB Class B founder shares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7,347,249</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Conversion of KVSB Class K common stock</w:t>
            </w:r>
          </w:p>
        </w:tc>
        <w:tc>
          <w:tcPr>
            <w:tcW w:w="3000" w:type="dxa"/>
            <w:vAlign w:val="bottom"/>
          </w:tcPr>
          <w:p>
            <w:pPr>
              <w:jc w:val="right"/>
              <w:spacing w:after="0"/>
              <w:rPr>
                <w:sz w:val="20"/>
                <w:szCs w:val="20"/>
                <w:color w:val="auto"/>
              </w:rPr>
            </w:pPr>
            <w:r>
              <w:rPr>
                <w:rFonts w:ascii="Arial" w:cs="Arial" w:eastAsia="Arial" w:hAnsi="Arial"/>
                <w:sz w:val="18"/>
                <w:szCs w:val="18"/>
                <w:color w:val="auto"/>
              </w:rPr>
              <w:t>3,061,354</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to PIPE Investors</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27,000,000</w:t>
            </w:r>
          </w:p>
        </w:tc>
      </w:tr>
      <w:tr>
        <w:trPr>
          <w:trHeight w:val="218"/>
        </w:trPr>
        <w:tc>
          <w:tcPr>
            <w:tcW w:w="8240" w:type="dxa"/>
            <w:vAlign w:val="bottom"/>
          </w:tcPr>
          <w:p>
            <w:pPr>
              <w:ind w:left="20"/>
              <w:spacing w:after="0"/>
              <w:rPr>
                <w:sz w:val="20"/>
                <w:szCs w:val="20"/>
                <w:color w:val="auto"/>
              </w:rPr>
            </w:pPr>
            <w:r>
              <w:rPr>
                <w:rFonts w:ascii="Arial" w:cs="Arial" w:eastAsia="Arial" w:hAnsi="Arial"/>
                <w:sz w:val="18"/>
                <w:szCs w:val="18"/>
                <w:color w:val="auto"/>
              </w:rPr>
              <w:t>Nextdoor Class A common stock</w:t>
            </w:r>
          </w:p>
        </w:tc>
        <w:tc>
          <w:tcPr>
            <w:tcW w:w="3000" w:type="dxa"/>
            <w:vAlign w:val="bottom"/>
          </w:tcPr>
          <w:p>
            <w:pPr>
              <w:jc w:val="right"/>
              <w:spacing w:after="0"/>
              <w:rPr>
                <w:sz w:val="20"/>
                <w:szCs w:val="20"/>
                <w:color w:val="auto"/>
              </w:rPr>
            </w:pPr>
            <w:r>
              <w:rPr>
                <w:rFonts w:ascii="Arial" w:cs="Arial" w:eastAsia="Arial" w:hAnsi="Arial"/>
                <w:sz w:val="18"/>
                <w:szCs w:val="18"/>
                <w:color w:val="auto"/>
              </w:rPr>
              <w:t>78,953,663</w:t>
            </w:r>
          </w:p>
        </w:tc>
      </w:tr>
      <w:tr>
        <w:trPr>
          <w:trHeight w:val="266"/>
        </w:trPr>
        <w:tc>
          <w:tcPr>
            <w:tcW w:w="824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r>
      <w:tr>
        <w:trPr>
          <w:trHeight w:val="225"/>
        </w:trPr>
        <w:tc>
          <w:tcPr>
            <w:tcW w:w="824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Conversion of Legacy Nextdoor common stock </w:t>
            </w:r>
            <w:r>
              <w:rPr>
                <w:rFonts w:ascii="Arial" w:cs="Arial" w:eastAsia="Arial" w:hAnsi="Arial"/>
                <w:sz w:val="22"/>
                <w:szCs w:val="22"/>
                <w:color w:val="auto"/>
                <w:vertAlign w:val="superscript"/>
              </w:rPr>
              <w:t>(1)</w:t>
            </w:r>
          </w:p>
        </w:tc>
        <w:tc>
          <w:tcPr>
            <w:tcW w:w="3000" w:type="dxa"/>
            <w:vAlign w:val="bottom"/>
          </w:tcPr>
          <w:p>
            <w:pPr>
              <w:jc w:val="right"/>
              <w:spacing w:after="0"/>
              <w:rPr>
                <w:sz w:val="20"/>
                <w:szCs w:val="20"/>
                <w:color w:val="auto"/>
              </w:rPr>
            </w:pPr>
            <w:r>
              <w:rPr>
                <w:rFonts w:ascii="Arial" w:cs="Arial" w:eastAsia="Arial" w:hAnsi="Arial"/>
                <w:sz w:val="18"/>
                <w:szCs w:val="18"/>
                <w:color w:val="auto"/>
              </w:rPr>
              <w:t>113,526,555</w:t>
            </w:r>
          </w:p>
        </w:tc>
      </w:tr>
      <w:tr>
        <w:trPr>
          <w:trHeight w:val="225"/>
        </w:trPr>
        <w:tc>
          <w:tcPr>
            <w:tcW w:w="82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Conversion of Legacy Nextdoor redeemable convertible preferred stock </w:t>
            </w:r>
            <w:r>
              <w:rPr>
                <w:rFonts w:ascii="Arial" w:cs="Arial" w:eastAsia="Arial" w:hAnsi="Arial"/>
                <w:sz w:val="22"/>
                <w:szCs w:val="22"/>
                <w:color w:val="auto"/>
                <w:vertAlign w:val="superscript"/>
              </w:rPr>
              <w:t>(2)</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190,477,421</w:t>
            </w:r>
          </w:p>
        </w:tc>
      </w:tr>
      <w:tr>
        <w:trPr>
          <w:trHeight w:val="218"/>
        </w:trPr>
        <w:tc>
          <w:tcPr>
            <w:tcW w:w="8240" w:type="dxa"/>
            <w:vAlign w:val="bottom"/>
          </w:tcPr>
          <w:p>
            <w:pPr>
              <w:ind w:left="20"/>
              <w:spacing w:after="0"/>
              <w:rPr>
                <w:sz w:val="20"/>
                <w:szCs w:val="20"/>
                <w:color w:val="auto"/>
              </w:rPr>
            </w:pPr>
            <w:r>
              <w:rPr>
                <w:rFonts w:ascii="Arial" w:cs="Arial" w:eastAsia="Arial" w:hAnsi="Arial"/>
                <w:sz w:val="18"/>
                <w:szCs w:val="18"/>
                <w:color w:val="auto"/>
              </w:rPr>
              <w:t>Nextdoor Class B common stock</w:t>
            </w:r>
          </w:p>
        </w:tc>
        <w:tc>
          <w:tcPr>
            <w:tcW w:w="3000" w:type="dxa"/>
            <w:vAlign w:val="bottom"/>
          </w:tcPr>
          <w:p>
            <w:pPr>
              <w:jc w:val="right"/>
              <w:spacing w:after="0"/>
              <w:rPr>
                <w:sz w:val="20"/>
                <w:szCs w:val="20"/>
                <w:color w:val="auto"/>
              </w:rPr>
            </w:pPr>
            <w:r>
              <w:rPr>
                <w:rFonts w:ascii="Arial" w:cs="Arial" w:eastAsia="Arial" w:hAnsi="Arial"/>
                <w:sz w:val="18"/>
                <w:szCs w:val="18"/>
                <w:color w:val="auto"/>
              </w:rPr>
              <w:t>304,003,976</w:t>
            </w:r>
          </w:p>
        </w:tc>
      </w:tr>
      <w:tr>
        <w:trPr>
          <w:trHeight w:val="265"/>
        </w:trPr>
        <w:tc>
          <w:tcPr>
            <w:tcW w:w="8240" w:type="dxa"/>
            <w:vAlign w:val="bottom"/>
            <w:shd w:val="clear" w:color="auto" w:fill="CCEEFF"/>
          </w:tcPr>
          <w:p>
            <w:pPr>
              <w:spacing w:after="0"/>
              <w:rPr>
                <w:sz w:val="23"/>
                <w:szCs w:val="23"/>
                <w:color w:val="auto"/>
              </w:rPr>
            </w:pPr>
          </w:p>
        </w:tc>
        <w:tc>
          <w:tcPr>
            <w:tcW w:w="3000" w:type="dxa"/>
            <w:vAlign w:val="bottom"/>
            <w:tcBorders>
              <w:bottom w:val="single" w:sz="8" w:color="auto"/>
            </w:tcBorders>
            <w:shd w:val="clear" w:color="auto" w:fill="CCEEFF"/>
          </w:tcPr>
          <w:p>
            <w:pPr>
              <w:spacing w:after="0"/>
              <w:rPr>
                <w:sz w:val="23"/>
                <w:szCs w:val="23"/>
                <w:color w:val="auto"/>
              </w:rPr>
            </w:pPr>
          </w:p>
        </w:tc>
      </w:tr>
      <w:tr>
        <w:trPr>
          <w:trHeight w:val="219"/>
        </w:trPr>
        <w:tc>
          <w:tcPr>
            <w:tcW w:w="8240" w:type="dxa"/>
            <w:vAlign w:val="bottom"/>
          </w:tcPr>
          <w:p>
            <w:pPr>
              <w:ind w:left="20"/>
              <w:spacing w:after="0"/>
              <w:rPr>
                <w:sz w:val="20"/>
                <w:szCs w:val="20"/>
                <w:color w:val="auto"/>
              </w:rPr>
            </w:pPr>
            <w:r>
              <w:rPr>
                <w:rFonts w:ascii="Arial" w:cs="Arial" w:eastAsia="Arial" w:hAnsi="Arial"/>
                <w:sz w:val="18"/>
                <w:szCs w:val="18"/>
                <w:color w:val="auto"/>
              </w:rPr>
              <w:t>Total shares of common stock immediately after Reverse Recapitalization</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382,957,639</w:t>
            </w:r>
          </w:p>
        </w:tc>
      </w:tr>
      <w:tr>
        <w:trPr>
          <w:trHeight w:val="20"/>
        </w:trPr>
        <w:tc>
          <w:tcPr>
            <w:tcW w:w="824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60" w:firstLine="6"/>
        <w:spacing w:after="0" w:line="265" w:lineRule="auto"/>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Upon the completion of the Reverse Recapitalization, the 36,554,506 outstanding shares of Legacy Nextdoor common stock were converted into shares of Nextdoor Class B common stock using the Exchange Ratio.</w:t>
      </w:r>
    </w:p>
    <w:p>
      <w:pPr>
        <w:spacing w:after="0" w:line="121" w:lineRule="exact"/>
        <w:rPr>
          <w:rFonts w:ascii="Arial" w:cs="Arial" w:eastAsia="Arial" w:hAnsi="Arial"/>
          <w:sz w:val="14"/>
          <w:szCs w:val="14"/>
          <w:color w:val="auto"/>
        </w:rPr>
      </w:pPr>
    </w:p>
    <w:p>
      <w:pPr>
        <w:ind w:right="260" w:firstLine="6"/>
        <w:spacing w:after="0" w:line="265" w:lineRule="auto"/>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Upon the completion of the Reverse Recapitalization, all 61,331,815 outstanding shares of Legacy Nextdoor redeemable convertible preferred stock converted into Legacy Nextdoor common stock on a one-to-one basis, which were then converted into shares of Nextdoor Class B common stock using the Exchange Ratio.</w:t>
      </w:r>
    </w:p>
    <w:p>
      <w:pPr>
        <w:spacing w:after="0" w:line="12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connection with the Reverse Recapitalization, the Company raised $628.5 million of proceeds, presented as cash flows from financing activities, which included the contribution of $416.4 million of funds held in KVSB’s trust account, $0.2 million of cash held in KVSB’s operating cash account, and $270.0 million of proceeds from the PIPE Investment, net of $12.2 million paid to redeem 1,222,040 public shares of KVSB’s Class A common stock and $45.9 million in transaction costs incurred by KVSB. Legacy Nextdoor incurred $5.7 million of transaction costs, which consisted of direct incremental legal, accounting, consulting, and other fees which were recorded as deferred transaction costs and upon completion of the Reverse Recapitalization were reclassified to additional paid-in capital as a reduction of the net proceeds received.</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reconciles the elements of the Reverse Recapitalization to the consolidated statements of cash flows and the consolidated statements of redeemable convertible preferred stock and stockholders' equity (deficit)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85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right"/>
              <w:ind w:right="1115"/>
              <w:spacing w:after="0"/>
              <w:rPr>
                <w:sz w:val="20"/>
                <w:szCs w:val="20"/>
                <w:color w:val="auto"/>
              </w:rPr>
            </w:pPr>
            <w:r>
              <w:rPr>
                <w:rFonts w:ascii="Arial" w:cs="Arial" w:eastAsia="Arial" w:hAnsi="Arial"/>
                <w:sz w:val="14"/>
                <w:szCs w:val="14"/>
                <w:b w:val="1"/>
                <w:bCs w:val="1"/>
                <w:color w:val="auto"/>
              </w:rPr>
              <w:t>2021</w:t>
            </w:r>
          </w:p>
        </w:tc>
      </w:tr>
      <w:tr>
        <w:trPr>
          <w:trHeight w:val="21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in KVSB's trust account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416,359</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Funds held in KVSB's operating cash account</w:t>
            </w:r>
          </w:p>
        </w:tc>
        <w:tc>
          <w:tcPr>
            <w:tcW w:w="3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PIPE Investment</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Less: amount paid to redeem public shares of KVSB's Class A common stock</w:t>
            </w:r>
          </w:p>
        </w:tc>
        <w:tc>
          <w:tcPr>
            <w:tcW w:w="3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(12,221)</w:t>
            </w: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transaction costs incurred by KVSB</w:t>
            </w:r>
          </w:p>
        </w:tc>
        <w:tc>
          <w:tcPr>
            <w:tcW w:w="3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(45,843)</w:t>
            </w:r>
          </w:p>
        </w:tc>
      </w:tr>
      <w:tr>
        <w:trPr>
          <w:trHeight w:val="218"/>
        </w:trPr>
        <w:tc>
          <w:tcPr>
            <w:tcW w:w="8560" w:type="dxa"/>
            <w:vAlign w:val="bottom"/>
          </w:tcPr>
          <w:p>
            <w:pPr>
              <w:ind w:left="20"/>
              <w:spacing w:after="0"/>
              <w:rPr>
                <w:sz w:val="20"/>
                <w:szCs w:val="20"/>
                <w:color w:val="auto"/>
              </w:rPr>
            </w:pPr>
            <w:r>
              <w:rPr>
                <w:rFonts w:ascii="Arial" w:cs="Arial" w:eastAsia="Arial" w:hAnsi="Arial"/>
                <w:sz w:val="18"/>
                <w:szCs w:val="18"/>
                <w:color w:val="auto"/>
              </w:rPr>
              <w:t>Proceeds from the Reverse Recapitalization</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628,489</w:t>
            </w:r>
          </w:p>
        </w:tc>
      </w:tr>
      <w:tr>
        <w:trPr>
          <w:trHeight w:val="226"/>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non-cash liabilities assumed from KVSB</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Less: unpaid deferred transaction costs</w:t>
            </w:r>
          </w:p>
        </w:tc>
        <w:tc>
          <w:tcPr>
            <w:tcW w:w="3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payment of transaction costs related to the Reverse Recapitalization</w:t>
            </w:r>
          </w:p>
        </w:tc>
        <w:tc>
          <w:tcPr>
            <w:tcW w:w="3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w:t>
            </w:r>
          </w:p>
        </w:tc>
      </w:tr>
      <w:tr>
        <w:trPr>
          <w:trHeight w:val="219"/>
        </w:trPr>
        <w:tc>
          <w:tcPr>
            <w:tcW w:w="8560" w:type="dxa"/>
            <w:vAlign w:val="bottom"/>
          </w:tcPr>
          <w:p>
            <w:pPr>
              <w:ind w:left="20"/>
              <w:spacing w:after="0"/>
              <w:rPr>
                <w:sz w:val="20"/>
                <w:szCs w:val="20"/>
                <w:color w:val="auto"/>
              </w:rPr>
            </w:pPr>
            <w:r>
              <w:rPr>
                <w:rFonts w:ascii="Arial" w:cs="Arial" w:eastAsia="Arial" w:hAnsi="Arial"/>
                <w:sz w:val="18"/>
                <w:szCs w:val="18"/>
                <w:color w:val="auto"/>
              </w:rPr>
              <w:t>Net cash from issuance of common stock upon the Reverse Recapitalization, net of issuance costs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622,588</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The shares and corresponding capital amounts and all per share data related to Legacy Nextdoor’s outstanding redeemable convertible preferred stock, common stock, and stock-based awards prior to the Reverse Recapitalization have been retroactively adjusted using the Exchange Ratio.</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Pixel Labs, Inc. Business Combination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22, 2019 the Company executed a merger agreement to acquire the assets and liabilities of Pixel Labs, Inc. (“Pixel Labs”). The acquisition closed on August 27, 2019. The purchase accounting was completed in 2019 and no measurement period adjustments were recorded. The aggregate purchase consideration of $7.6 million included a time-based cash and share holdback of $0.7 million and $0.2 million, respectively, to be paid at a future date. In November 2020 final settlement of the holdback was completed.</w:t>
      </w:r>
    </w:p>
    <w:p>
      <w:pPr>
        <w:spacing w:after="0" w:line="138"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At closing, certain Pixel Labs stockholders had not completed administrative forms that were required for the Company’s common stock to be legally issued. During the years ended December 31, 2021 and 2020 an additional 20,885 and 29,665 shares, respectively, were issued as a result of the administrative forms being completed. In April 2020 the founder of Pixel Labs departed, and therefore the unvested shares granted to the founder at the time of acquisition, which were accounted for as post combination compensation cost, were cancelled as they were contingent upon continued employment.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Equivalents and Marketable Securities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amortized costs, unrealized gains and losses, and estimated fair values of the Company’s cash equivalents and marketable securities were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As of December 31, 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31"/>
        </w:trPr>
        <w:tc>
          <w:tcPr>
            <w:tcW w:w="4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11"/>
                <w:szCs w:val="11"/>
                <w:color w:val="auto"/>
              </w:rPr>
            </w:pPr>
          </w:p>
        </w:tc>
        <w:tc>
          <w:tcPr>
            <w:tcW w:w="138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Unrealized</w:t>
            </w:r>
          </w:p>
        </w:tc>
        <w:tc>
          <w:tcPr>
            <w:tcW w:w="118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Unrealized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ind w:right="396"/>
              <w:spacing w:after="0" w:line="131" w:lineRule="exact"/>
              <w:rPr>
                <w:sz w:val="20"/>
                <w:szCs w:val="20"/>
                <w:color w:val="auto"/>
              </w:rPr>
            </w:pPr>
            <w:r>
              <w:rPr>
                <w:rFonts w:ascii="Arial" w:cs="Arial" w:eastAsia="Arial" w:hAnsi="Arial"/>
                <w:sz w:val="14"/>
                <w:szCs w:val="14"/>
                <w:b w:val="1"/>
                <w:bCs w:val="1"/>
                <w:color w:val="auto"/>
              </w:rPr>
              <w:t>Estimated</w:t>
            </w:r>
          </w:p>
        </w:tc>
      </w:tr>
      <w:tr>
        <w:trPr>
          <w:trHeight w:val="185"/>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6"/>
                <w:szCs w:val="16"/>
                <w:color w:val="auto"/>
              </w:rPr>
            </w:pPr>
          </w:p>
        </w:tc>
        <w:tc>
          <w:tcPr>
            <w:tcW w:w="1380" w:type="dxa"/>
            <w:vAlign w:val="bottom"/>
            <w:gridSpan w:val="2"/>
          </w:tcPr>
          <w:p>
            <w:pPr>
              <w:ind w:left="360"/>
              <w:spacing w:after="0"/>
              <w:rPr>
                <w:sz w:val="20"/>
                <w:szCs w:val="20"/>
                <w:color w:val="auto"/>
              </w:rPr>
            </w:pPr>
            <w:r>
              <w:rPr>
                <w:rFonts w:ascii="Arial" w:cs="Arial" w:eastAsia="Arial" w:hAnsi="Arial"/>
                <w:sz w:val="14"/>
                <w:szCs w:val="14"/>
                <w:b w:val="1"/>
                <w:bCs w:val="1"/>
                <w:color w:val="auto"/>
              </w:rPr>
              <w:t>Gain</w:t>
            </w:r>
          </w:p>
        </w:tc>
        <w:tc>
          <w:tcPr>
            <w:tcW w:w="1180" w:type="dxa"/>
            <w:vAlign w:val="bottom"/>
          </w:tcPr>
          <w:p>
            <w:pPr>
              <w:jc w:val="right"/>
              <w:ind w:right="181"/>
              <w:spacing w:after="0"/>
              <w:rPr>
                <w:sz w:val="20"/>
                <w:szCs w:val="20"/>
                <w:color w:val="auto"/>
              </w:rPr>
            </w:pPr>
            <w:r>
              <w:rPr>
                <w:rFonts w:ascii="Arial" w:cs="Arial" w:eastAsia="Arial" w:hAnsi="Arial"/>
                <w:sz w:val="14"/>
                <w:szCs w:val="14"/>
                <w:b w:val="1"/>
                <w:bCs w:val="1"/>
                <w:color w:val="auto"/>
              </w:rPr>
              <w:t>Loss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6"/>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474,294</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01"/>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474,294</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83,728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83,728</w:t>
            </w: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78,363</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15,188</w:t>
            </w: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16,720</w:t>
            </w:r>
          </w:p>
        </w:tc>
      </w:tr>
      <w:tr>
        <w:trPr>
          <w:trHeight w:val="218"/>
        </w:trPr>
        <w:tc>
          <w:tcPr>
            <w:tcW w:w="470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194,016</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(41)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193,999</w:t>
            </w:r>
          </w:p>
        </w:tc>
      </w:tr>
      <w:tr>
        <w:trPr>
          <w:trHeight w:val="243"/>
        </w:trPr>
        <w:tc>
          <w:tcPr>
            <w:tcW w:w="470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668,310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0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668,293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As of December 31, 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31"/>
        </w:trPr>
        <w:tc>
          <w:tcPr>
            <w:tcW w:w="4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220" w:type="dxa"/>
            <w:vAlign w:val="bottom"/>
          </w:tcPr>
          <w:p>
            <w:pPr>
              <w:jc w:val="right"/>
              <w:ind w:right="21"/>
              <w:spacing w:after="0" w:line="131"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ind w:right="396"/>
              <w:spacing w:after="0" w:line="131" w:lineRule="exact"/>
              <w:rPr>
                <w:sz w:val="20"/>
                <w:szCs w:val="20"/>
                <w:color w:val="auto"/>
              </w:rPr>
            </w:pPr>
            <w:r>
              <w:rPr>
                <w:rFonts w:ascii="Arial" w:cs="Arial" w:eastAsia="Arial" w:hAnsi="Arial"/>
                <w:sz w:val="14"/>
                <w:szCs w:val="14"/>
                <w:b w:val="1"/>
                <w:bCs w:val="1"/>
                <w:color w:val="auto"/>
              </w:rPr>
              <w:t>Estimated</w:t>
            </w:r>
          </w:p>
        </w:tc>
      </w:tr>
      <w:tr>
        <w:trPr>
          <w:trHeight w:val="185"/>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Gain</w:t>
            </w:r>
          </w:p>
        </w:tc>
        <w:tc>
          <w:tcPr>
            <w:tcW w:w="1220" w:type="dxa"/>
            <w:vAlign w:val="bottom"/>
          </w:tcPr>
          <w:p>
            <w:pPr>
              <w:jc w:val="right"/>
              <w:ind w:right="221"/>
              <w:spacing w:after="0"/>
              <w:rPr>
                <w:sz w:val="20"/>
                <w:szCs w:val="20"/>
                <w:color w:val="auto"/>
              </w:rPr>
            </w:pPr>
            <w:r>
              <w:rPr>
                <w:rFonts w:ascii="Arial" w:cs="Arial" w:eastAsia="Arial" w:hAnsi="Arial"/>
                <w:sz w:val="14"/>
                <w:szCs w:val="14"/>
                <w:b w:val="1"/>
                <w:bCs w:val="1"/>
                <w:color w:val="auto"/>
              </w:rPr>
              <w:t>Loss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6"/>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28,371</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41"/>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28,371</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27,473</w:t>
            </w: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16,158</w:t>
            </w: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r>
      <w:tr>
        <w:trPr>
          <w:trHeight w:val="218"/>
        </w:trPr>
        <w:tc>
          <w:tcPr>
            <w:tcW w:w="470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53,342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53,341</w:t>
            </w:r>
          </w:p>
        </w:tc>
      </w:tr>
      <w:tr>
        <w:trPr>
          <w:trHeight w:val="244"/>
        </w:trPr>
        <w:tc>
          <w:tcPr>
            <w:tcW w:w="470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4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All marketable securities are designated as available-for-sale securities as of December 31, 2021 and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contractual maturities of the Company’s marketable securities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As of December 31, 2021</w:t>
            </w:r>
          </w:p>
        </w:tc>
      </w:tr>
      <w:tr>
        <w:trPr>
          <w:trHeight w:val="131"/>
        </w:trPr>
        <w:tc>
          <w:tcPr>
            <w:tcW w:w="8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11"/>
                <w:szCs w:val="11"/>
                <w:color w:val="auto"/>
              </w:rPr>
            </w:pPr>
          </w:p>
        </w:tc>
        <w:tc>
          <w:tcPr>
            <w:tcW w:w="1280" w:type="dxa"/>
            <w:vAlign w:val="bottom"/>
          </w:tcPr>
          <w:p>
            <w:pPr>
              <w:ind w:left="200"/>
              <w:spacing w:after="0" w:line="131" w:lineRule="exact"/>
              <w:rPr>
                <w:sz w:val="20"/>
                <w:szCs w:val="20"/>
                <w:color w:val="auto"/>
              </w:rPr>
            </w:pPr>
            <w:r>
              <w:rPr>
                <w:rFonts w:ascii="Arial" w:cs="Arial" w:eastAsia="Arial" w:hAnsi="Arial"/>
                <w:sz w:val="14"/>
                <w:szCs w:val="14"/>
                <w:b w:val="1"/>
                <w:bCs w:val="1"/>
                <w:color w:val="auto"/>
              </w:rPr>
              <w:t>Estimated</w:t>
            </w:r>
          </w:p>
        </w:tc>
      </w:tr>
      <w:tr>
        <w:trPr>
          <w:trHeight w:val="185"/>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80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Due within one year</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137,043</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to four years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56,956</w:t>
            </w:r>
          </w:p>
        </w:tc>
      </w:tr>
      <w:tr>
        <w:trPr>
          <w:trHeight w:val="243"/>
        </w:trPr>
        <w:tc>
          <w:tcPr>
            <w:tcW w:w="80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8"/>
        </w:trPr>
        <w:tc>
          <w:tcPr>
            <w:tcW w:w="8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As of December 31, 2020</w:t>
            </w:r>
          </w:p>
        </w:tc>
      </w:tr>
      <w:tr>
        <w:trPr>
          <w:trHeight w:val="131"/>
        </w:trPr>
        <w:tc>
          <w:tcPr>
            <w:tcW w:w="8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11"/>
                <w:szCs w:val="11"/>
                <w:color w:val="auto"/>
              </w:rPr>
            </w:pPr>
          </w:p>
        </w:tc>
        <w:tc>
          <w:tcPr>
            <w:tcW w:w="1280" w:type="dxa"/>
            <w:vAlign w:val="bottom"/>
          </w:tcPr>
          <w:p>
            <w:pPr>
              <w:ind w:left="200"/>
              <w:spacing w:after="0" w:line="131" w:lineRule="exact"/>
              <w:rPr>
                <w:sz w:val="20"/>
                <w:szCs w:val="20"/>
                <w:color w:val="auto"/>
              </w:rPr>
            </w:pPr>
            <w:r>
              <w:rPr>
                <w:rFonts w:ascii="Arial" w:cs="Arial" w:eastAsia="Arial" w:hAnsi="Arial"/>
                <w:sz w:val="14"/>
                <w:szCs w:val="14"/>
                <w:b w:val="1"/>
                <w:bCs w:val="1"/>
                <w:color w:val="auto"/>
              </w:rPr>
              <w:t>Estimated</w:t>
            </w:r>
          </w:p>
        </w:tc>
      </w:tr>
      <w:tr>
        <w:trPr>
          <w:trHeight w:val="185"/>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232"/>
        </w:trPr>
        <w:tc>
          <w:tcPr>
            <w:tcW w:w="80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Due within one year</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53,342</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53,341</w:t>
            </w:r>
          </w:p>
        </w:tc>
      </w:tr>
      <w:tr>
        <w:trPr>
          <w:trHeight w:val="28"/>
        </w:trPr>
        <w:tc>
          <w:tcPr>
            <w:tcW w:w="8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financial assets and liabilities measured at fair value on a recurring basis are classified by level within the fair value hierarchy. There were no financial assets or liabilities measured using Level 3 inputs as of December 31, 2021 and 2020. The following table presents information about the Company’s financial assets that are measured at fair value on a recurring basis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b w:val="1"/>
                <w:bCs w:val="1"/>
                <w:color w:val="auto"/>
                <w:w w:val="90"/>
              </w:rPr>
              <w:t>Fair Value Measurement as of December 31, 2021</w:t>
            </w:r>
          </w:p>
        </w:tc>
        <w:tc>
          <w:tcPr>
            <w:tcW w:w="940" w:type="dxa"/>
            <w:vAlign w:val="bottom"/>
            <w:tcBorders>
              <w:bottom w:val="single" w:sz="8" w:color="auto"/>
            </w:tcBorders>
          </w:tcPr>
          <w:p>
            <w:pPr>
              <w:spacing w:after="0"/>
              <w:rPr>
                <w:sz w:val="16"/>
                <w:szCs w:val="16"/>
                <w:color w:val="auto"/>
              </w:rPr>
            </w:pPr>
          </w:p>
        </w:tc>
      </w:tr>
      <w:tr>
        <w:trPr>
          <w:trHeight w:val="205"/>
        </w:trPr>
        <w:tc>
          <w:tcPr>
            <w:tcW w:w="6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620" w:type="dxa"/>
            <w:vAlign w:val="bottom"/>
          </w:tcPr>
          <w:p>
            <w:pPr>
              <w:spacing w:after="0"/>
              <w:rPr>
                <w:sz w:val="17"/>
                <w:szCs w:val="17"/>
                <w:color w:val="auto"/>
              </w:rPr>
            </w:pPr>
          </w:p>
        </w:tc>
        <w:tc>
          <w:tcPr>
            <w:tcW w:w="940" w:type="dxa"/>
            <w:vAlign w:val="bottom"/>
          </w:tcPr>
          <w:p>
            <w:pPr>
              <w:jc w:val="right"/>
              <w:ind w:right="534"/>
              <w:spacing w:after="0"/>
              <w:rPr>
                <w:sz w:val="20"/>
                <w:szCs w:val="20"/>
                <w:color w:val="auto"/>
              </w:rPr>
            </w:pPr>
            <w:r>
              <w:rPr>
                <w:rFonts w:ascii="Arial" w:cs="Arial" w:eastAsia="Arial" w:hAnsi="Arial"/>
                <w:sz w:val="14"/>
                <w:szCs w:val="14"/>
                <w:b w:val="1"/>
                <w:bCs w:val="1"/>
                <w:color w:val="auto"/>
                <w:w w:val="89"/>
              </w:rPr>
              <w:t>Total</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474,294</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83,728</w:t>
            </w: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Corporate securities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78,363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78,363</w:t>
            </w: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16,720</w:t>
            </w:r>
          </w:p>
        </w:tc>
      </w:tr>
      <w:tr>
        <w:trPr>
          <w:trHeight w:val="219"/>
        </w:trPr>
        <w:tc>
          <w:tcPr>
            <w:tcW w:w="6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marketable securities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193,999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193,999</w:t>
            </w:r>
          </w:p>
        </w:tc>
      </w:tr>
      <w:tr>
        <w:trPr>
          <w:trHeight w:val="218"/>
        </w:trPr>
        <w:tc>
          <w:tcPr>
            <w:tcW w:w="6360" w:type="dxa"/>
            <w:vAlign w:val="bottom"/>
          </w:tcPr>
          <w:p>
            <w:pPr>
              <w:ind w:left="20"/>
              <w:spacing w:after="0" w:line="204" w:lineRule="exact"/>
              <w:rPr>
                <w:sz w:val="20"/>
                <w:szCs w:val="20"/>
                <w:color w:val="auto"/>
              </w:rPr>
            </w:pPr>
            <w:r>
              <w:rPr>
                <w:rFonts w:ascii="Arial" w:cs="Arial" w:eastAsia="Arial" w:hAnsi="Arial"/>
                <w:sz w:val="18"/>
                <w:szCs w:val="18"/>
                <w:color w:val="auto"/>
              </w:rPr>
              <w:t>Total cash equivalents and marketable securities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474,294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193,999</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668,293</w:t>
            </w:r>
          </w:p>
        </w:tc>
      </w:tr>
      <w:tr>
        <w:trPr>
          <w:trHeight w:val="20"/>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7"/>
          </w:tcPr>
          <w:p>
            <w:pPr>
              <w:jc w:val="center"/>
              <w:ind w:right="214"/>
              <w:spacing w:after="0"/>
              <w:rPr>
                <w:sz w:val="20"/>
                <w:szCs w:val="20"/>
                <w:color w:val="auto"/>
              </w:rPr>
            </w:pPr>
            <w:r>
              <w:rPr>
                <w:rFonts w:ascii="Arial" w:cs="Arial" w:eastAsia="Arial" w:hAnsi="Arial"/>
                <w:sz w:val="14"/>
                <w:szCs w:val="14"/>
                <w:b w:val="1"/>
                <w:bCs w:val="1"/>
                <w:color w:val="auto"/>
                <w:w w:val="91"/>
              </w:rPr>
              <w:t>Fair Value Measurement as of December 31, 2020</w:t>
            </w:r>
          </w:p>
        </w:tc>
      </w:tr>
      <w:tr>
        <w:trPr>
          <w:trHeight w:val="183"/>
        </w:trPr>
        <w:tc>
          <w:tcPr>
            <w:tcW w:w="6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r>
      <w:tr>
        <w:trPr>
          <w:trHeight w:val="219"/>
        </w:trPr>
        <w:tc>
          <w:tcPr>
            <w:tcW w:w="67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28,371</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27,473</w:t>
            </w: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Corporate securities</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6,938</w:t>
            </w:r>
          </w:p>
        </w:tc>
      </w:tr>
      <w:tr>
        <w:trPr>
          <w:trHeight w:val="226"/>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r>
      <w:tr>
        <w:trPr>
          <w:trHeight w:val="225"/>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r>
      <w:tr>
        <w:trPr>
          <w:trHeight w:val="219"/>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marketable securities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53,341</w:t>
            </w:r>
          </w:p>
        </w:tc>
      </w:tr>
      <w:tr>
        <w:trPr>
          <w:trHeight w:val="218"/>
        </w:trPr>
        <w:tc>
          <w:tcPr>
            <w:tcW w:w="6720" w:type="dxa"/>
            <w:vAlign w:val="bottom"/>
          </w:tcPr>
          <w:p>
            <w:pPr>
              <w:ind w:left="20"/>
              <w:spacing w:after="0" w:line="204" w:lineRule="exact"/>
              <w:rPr>
                <w:sz w:val="20"/>
                <w:szCs w:val="20"/>
                <w:color w:val="auto"/>
              </w:rPr>
            </w:pPr>
            <w:r>
              <w:rPr>
                <w:rFonts w:ascii="Arial" w:cs="Arial" w:eastAsia="Arial" w:hAnsi="Arial"/>
                <w:sz w:val="18"/>
                <w:szCs w:val="18"/>
                <w:color w:val="auto"/>
              </w:rPr>
              <w:t>Total cash equivalents and marketable securities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53,341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81,712</w:t>
            </w: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classifies its cash equivalents, marketable securities, and restricted cash within Level 1 or Level 2 because it determines their fair values using quoted market prices or alternative pricing sources and models utilizing market observable inputs. There were no transfers between levels of the fair value hierarchy during the years ended December 31, 2021 and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Balance Sheet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2"/>
              </w:rPr>
              <w:t>As of December 31,</w:t>
            </w:r>
          </w:p>
        </w:tc>
        <w:tc>
          <w:tcPr>
            <w:tcW w:w="980" w:type="dxa"/>
            <w:vAlign w:val="bottom"/>
            <w:tcBorders>
              <w:bottom w:val="single" w:sz="8" w:color="auto"/>
            </w:tcBorders>
          </w:tcPr>
          <w:p>
            <w:pPr>
              <w:spacing w:after="0"/>
              <w:rPr>
                <w:sz w:val="16"/>
                <w:szCs w:val="16"/>
                <w:color w:val="auto"/>
              </w:rPr>
            </w:pPr>
          </w:p>
        </w:tc>
      </w:tr>
      <w:tr>
        <w:trPr>
          <w:trHeight w:val="205"/>
        </w:trPr>
        <w:tc>
          <w:tcPr>
            <w:tcW w:w="80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88"/>
              </w:rPr>
              <w:t>2,002</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center"/>
              <w:ind w:left="374"/>
              <w:spacing w:after="0"/>
              <w:rPr>
                <w:sz w:val="20"/>
                <w:szCs w:val="20"/>
                <w:color w:val="auto"/>
              </w:rPr>
            </w:pPr>
            <w:r>
              <w:rPr>
                <w:rFonts w:ascii="Arial" w:cs="Arial" w:eastAsia="Arial" w:hAnsi="Arial"/>
                <w:sz w:val="18"/>
                <w:szCs w:val="18"/>
                <w:color w:val="auto"/>
                <w:w w:val="88"/>
              </w:rPr>
              <w:t>1,174</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internal-use software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88"/>
              </w:rPr>
              <w:t>1,842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74"/>
              <w:spacing w:after="0"/>
              <w:rPr>
                <w:sz w:val="20"/>
                <w:szCs w:val="20"/>
                <w:color w:val="auto"/>
              </w:rPr>
            </w:pPr>
            <w:r>
              <w:rPr>
                <w:rFonts w:ascii="Arial" w:cs="Arial" w:eastAsia="Arial" w:hAnsi="Arial"/>
                <w:sz w:val="18"/>
                <w:szCs w:val="18"/>
                <w:color w:val="auto"/>
                <w:w w:val="88"/>
              </w:rPr>
              <w:t>2,850</w:t>
            </w:r>
          </w:p>
        </w:tc>
      </w:tr>
      <w:tr>
        <w:trPr>
          <w:trHeight w:val="219"/>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Property and equipment, gross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88"/>
              </w:rPr>
              <w:t>7,868</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1"/>
              </w:rPr>
              <w:t>(4,123)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color w:val="auto"/>
                <w:w w:val="91"/>
              </w:rPr>
              <w:t>(2,150)</w:t>
            </w:r>
          </w:p>
        </w:tc>
      </w:tr>
      <w:tr>
        <w:trPr>
          <w:trHeight w:val="243"/>
        </w:trPr>
        <w:tc>
          <w:tcPr>
            <w:tcW w:w="80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Property and equipment, net</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12,545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374"/>
              <w:spacing w:after="0"/>
              <w:rPr>
                <w:sz w:val="20"/>
                <w:szCs w:val="20"/>
                <w:color w:val="auto"/>
              </w:rPr>
            </w:pPr>
            <w:r>
              <w:rPr>
                <w:rFonts w:ascii="Arial" w:cs="Arial" w:eastAsia="Arial" w:hAnsi="Arial"/>
                <w:sz w:val="18"/>
                <w:szCs w:val="18"/>
                <w:color w:val="auto"/>
                <w:w w:val="88"/>
              </w:rPr>
              <w:t>5,718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$2.0 million and $1.0 million, for the years ended December 31, 2021 and 2020,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consist of customer relationships and developed technology arising from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As of December 31, 2021</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Carrying Amount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4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Net Carrying Amount</w:t>
            </w: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Remaining Life (years)</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Developed technology</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intangible assets, net</w:t>
            </w:r>
          </w:p>
        </w:tc>
        <w:tc>
          <w:tcPr>
            <w:tcW w:w="56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7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Carrying Amount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140"/>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4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3"/>
              </w:rPr>
              <w:t>Net Carrying Amount</w:t>
            </w: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Remaining Life (years)</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Developed technology</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intangible assets, net</w:t>
            </w:r>
          </w:p>
        </w:tc>
        <w:tc>
          <w:tcPr>
            <w:tcW w:w="560" w:type="dxa"/>
            <w:vAlign w:val="bottom"/>
            <w:tcBorders>
              <w:bottom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related to intangible assets was $2.2 million and $2.1 million for the years ended December 31, 2021 and 2020,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Expected future amortization expense for intangible assets as of December 31, 2021 was as follows (in thousands):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151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2024</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Thereafter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Amount</w:t>
      </w:r>
    </w:p>
    <w:p>
      <w:pPr>
        <w:spacing w:after="0" w:line="48" w:lineRule="exact"/>
        <w:rPr>
          <w:sz w:val="20"/>
          <w:szCs w:val="20"/>
          <w:color w:val="auto"/>
        </w:rPr>
      </w:pPr>
    </w:p>
    <w:p>
      <w:pPr>
        <w:ind w:left="2120" w:hanging="1084"/>
        <w:spacing w:after="0"/>
        <w:tabs>
          <w:tab w:leader="none" w:pos="21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1,773</w:t>
      </w:r>
    </w:p>
    <w:p>
      <w:pPr>
        <w:spacing w:after="0" w:line="52" w:lineRule="exact"/>
        <w:rPr>
          <w:rFonts w:ascii="Arial" w:cs="Arial" w:eastAsia="Arial" w:hAnsi="Arial"/>
          <w:sz w:val="15"/>
          <w:szCs w:val="15"/>
          <w:color w:val="auto"/>
        </w:rPr>
      </w:pPr>
    </w:p>
    <w:p>
      <w:pPr>
        <w:ind w:left="2120"/>
        <w:spacing w:after="0"/>
        <w:rPr>
          <w:rFonts w:ascii="Arial" w:cs="Arial" w:eastAsia="Arial" w:hAnsi="Arial"/>
          <w:sz w:val="15"/>
          <w:szCs w:val="15"/>
          <w:color w:val="auto"/>
        </w:rPr>
      </w:pPr>
      <w:r>
        <w:rPr>
          <w:rFonts w:ascii="Arial" w:cs="Arial" w:eastAsia="Arial" w:hAnsi="Arial"/>
          <w:sz w:val="15"/>
          <w:szCs w:val="15"/>
          <w:color w:val="auto"/>
        </w:rPr>
        <w:t>1,773</w:t>
      </w:r>
    </w:p>
    <w:p>
      <w:pPr>
        <w:spacing w:after="0" w:line="52" w:lineRule="exact"/>
        <w:rPr>
          <w:rFonts w:ascii="Arial" w:cs="Arial" w:eastAsia="Arial" w:hAnsi="Arial"/>
          <w:sz w:val="15"/>
          <w:szCs w:val="15"/>
          <w:color w:val="auto"/>
        </w:rPr>
      </w:pPr>
    </w:p>
    <w:p>
      <w:pPr>
        <w:ind w:left="2120"/>
        <w:spacing w:after="0"/>
        <w:rPr>
          <w:rFonts w:ascii="Arial" w:cs="Arial" w:eastAsia="Arial" w:hAnsi="Arial"/>
          <w:sz w:val="15"/>
          <w:szCs w:val="15"/>
          <w:color w:val="auto"/>
        </w:rPr>
      </w:pPr>
      <w:r>
        <w:rPr>
          <w:rFonts w:ascii="Arial" w:cs="Arial" w:eastAsia="Arial" w:hAnsi="Arial"/>
          <w:sz w:val="15"/>
          <w:szCs w:val="15"/>
          <w:color w:val="auto"/>
        </w:rPr>
        <w:t>1,054</w:t>
      </w:r>
    </w:p>
    <w:p>
      <w:pPr>
        <w:spacing w:after="0" w:line="52" w:lineRule="exact"/>
        <w:rPr>
          <w:rFonts w:ascii="Arial" w:cs="Arial" w:eastAsia="Arial" w:hAnsi="Arial"/>
          <w:sz w:val="15"/>
          <w:szCs w:val="15"/>
          <w:color w:val="auto"/>
        </w:rPr>
      </w:pPr>
    </w:p>
    <w:p>
      <w:pPr>
        <w:ind w:left="2240"/>
        <w:spacing w:after="0"/>
        <w:rPr>
          <w:rFonts w:ascii="Arial" w:cs="Arial" w:eastAsia="Arial" w:hAnsi="Arial"/>
          <w:sz w:val="15"/>
          <w:szCs w:val="15"/>
          <w:color w:val="auto"/>
        </w:rPr>
      </w:pPr>
      <w:r>
        <w:rPr>
          <w:rFonts w:ascii="Arial" w:cs="Arial" w:eastAsia="Arial" w:hAnsi="Arial"/>
          <w:sz w:val="15"/>
          <w:szCs w:val="15"/>
          <w:color w:val="auto"/>
        </w:rPr>
        <w:t>235</w:t>
      </w:r>
    </w:p>
    <w:p>
      <w:pPr>
        <w:spacing w:after="0" w:line="52" w:lineRule="exact"/>
        <w:rPr>
          <w:rFonts w:ascii="Arial" w:cs="Arial" w:eastAsia="Arial" w:hAnsi="Arial"/>
          <w:sz w:val="15"/>
          <w:szCs w:val="15"/>
          <w:color w:val="auto"/>
        </w:rPr>
      </w:pPr>
    </w:p>
    <w:p>
      <w:pPr>
        <w:ind w:left="2340"/>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10795</wp:posOffset>
            </wp:positionV>
            <wp:extent cx="9925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12" w:lineRule="exact"/>
        <w:rPr>
          <w:sz w:val="20"/>
          <w:szCs w:val="20"/>
          <w:color w:val="auto"/>
        </w:rPr>
      </w:pPr>
    </w:p>
    <w:p>
      <w:pPr>
        <w:ind w:left="2120" w:hanging="1084"/>
        <w:spacing w:after="0"/>
        <w:tabs>
          <w:tab w:leader="none" w:pos="21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4,835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33020</wp:posOffset>
            </wp:positionV>
            <wp:extent cx="9925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646430</wp:posOffset>
            </wp:positionH>
            <wp:positionV relativeFrom="paragraph">
              <wp:posOffset>58420</wp:posOffset>
            </wp:positionV>
            <wp:extent cx="9925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21590</wp:posOffset>
            </wp:positionV>
            <wp:extent cx="2044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18"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3" w:lineRule="exact"/>
        <w:rPr>
          <w:sz w:val="20"/>
          <w:szCs w:val="20"/>
          <w:color w:val="auto"/>
        </w:rPr>
      </w:pPr>
    </w:p>
    <w:p>
      <w:pPr>
        <w:sectPr>
          <w:pgSz w:w="11900" w:h="16838" w:orient="portrait"/>
          <w:cols w:equalWidth="0" w:num="2">
            <w:col w:w="8140" w:space="520"/>
            <w:col w:w="25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Liability for early exercise of unvested stock options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1,133</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2,585</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r>
      <w:tr>
        <w:trPr>
          <w:trHeight w:val="218"/>
        </w:trPr>
        <w:tc>
          <w:tcPr>
            <w:tcW w:w="8020" w:type="dxa"/>
            <w:vAlign w:val="bottom"/>
          </w:tcPr>
          <w:p>
            <w:pPr>
              <w:ind w:left="20"/>
              <w:spacing w:after="0" w:line="204" w:lineRule="exact"/>
              <w:rPr>
                <w:sz w:val="20"/>
                <w:szCs w:val="20"/>
                <w:color w:val="auto"/>
              </w:rPr>
            </w:pPr>
            <w:r>
              <w:rPr>
                <w:rFonts w:ascii="Arial" w:cs="Arial" w:eastAsia="Arial" w:hAnsi="Arial"/>
                <w:sz w:val="18"/>
                <w:szCs w:val="18"/>
                <w:color w:val="auto"/>
              </w:rPr>
              <w:t>Accrued expenses and other current liabilities</w:t>
            </w: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r>
      <w:tr>
        <w:trPr>
          <w:trHeight w:val="20"/>
        </w:trPr>
        <w:tc>
          <w:tcPr>
            <w:tcW w:w="8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has entered into various non-cancellable office facility leases in various locations with original lease periods expiring between 2020 and 2029, with its primary office location in San Francisco, California. The Company entered into a lease consisting of multiple floors for its new San Francisco headquarters in 2019, with a lease term through 2029. The first portion of the lease commenced in June 2020, and the second and final portion of the lease commenced in January 2021. The facility lease agreements generally provide for escalating rental payments. The Company's lease agreements generally do not contain any material residual value guarantees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1" w:name="page92"/>
    <w:bookmarkEnd w:id="91"/>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material restrictive covenants.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715"/>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77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2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10,798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Other information related to the Company’s operating leases was as follows (in thousands):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715"/>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83"/>
        </w:trPr>
        <w:tc>
          <w:tcPr>
            <w:tcW w:w="77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28,252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39,664</w:t>
            </w:r>
          </w:p>
        </w:tc>
        <w:tc>
          <w:tcPr>
            <w:tcW w:w="0" w:type="dxa"/>
            <w:vAlign w:val="bottom"/>
          </w:tcPr>
          <w:p>
            <w:pPr>
              <w:spacing w:after="0"/>
              <w:rPr>
                <w:sz w:val="1"/>
                <w:szCs w:val="1"/>
                <w:color w:val="auto"/>
              </w:rPr>
            </w:pPr>
          </w:p>
        </w:tc>
      </w:tr>
      <w:tr>
        <w:trPr>
          <w:trHeight w:val="450"/>
        </w:trPr>
        <w:tc>
          <w:tcPr>
            <w:tcW w:w="8020" w:type="dxa"/>
            <w:vAlign w:val="bottom"/>
            <w:gridSpan w:val="2"/>
          </w:tcPr>
          <w:p>
            <w:pPr>
              <w:spacing w:after="0"/>
              <w:rPr>
                <w:sz w:val="20"/>
                <w:szCs w:val="20"/>
                <w:color w:val="auto"/>
              </w:rPr>
            </w:pPr>
            <w:r>
              <w:rPr>
                <w:rFonts w:ascii="Arial" w:cs="Arial" w:eastAsia="Arial" w:hAnsi="Arial"/>
                <w:sz w:val="18"/>
                <w:szCs w:val="18"/>
                <w:color w:val="auto"/>
              </w:rPr>
              <w:t>Lease terms and discount rates for operating leases were as follows: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7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Weighted average remaining lease term (years)</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4"/>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464"/>
        </w:trPr>
        <w:tc>
          <w:tcPr>
            <w:tcW w:w="8300" w:type="dxa"/>
            <w:vAlign w:val="bottom"/>
            <w:gridSpan w:val="3"/>
          </w:tcPr>
          <w:p>
            <w:pPr>
              <w:spacing w:after="0"/>
              <w:rPr>
                <w:sz w:val="20"/>
                <w:szCs w:val="20"/>
                <w:color w:val="auto"/>
              </w:rPr>
            </w:pPr>
            <w:r>
              <w:rPr>
                <w:rFonts w:ascii="Arial" w:cs="Arial" w:eastAsia="Arial" w:hAnsi="Arial"/>
                <w:sz w:val="18"/>
                <w:szCs w:val="18"/>
                <w:color w:val="auto"/>
                <w:w w:val="91"/>
              </w:rPr>
              <w:t>As of December 31, 2021, future minimum lease payments under operating leases were as follows (in thousands):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10,977</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27,697</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81,029</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Present value of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68,729</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operating lease liabilities</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Long-term 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does not include lease payments that were not fixed at commencement or lease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6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December 31, 2021, the Company had non-cancellable purchase commitments with certain service providers primarily related to the provision of cloud computing services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3"/>
              </w:rPr>
              <w:t>Total Commitments</w:t>
            </w:r>
          </w:p>
        </w:tc>
      </w:tr>
      <w:tr>
        <w:trPr>
          <w:trHeight w:val="171"/>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18,978</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22,528</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10,417</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9680" w:type="dxa"/>
            <w:vAlign w:val="bottom"/>
          </w:tcPr>
          <w:p>
            <w:pPr>
              <w:ind w:left="20"/>
              <w:spacing w:after="0" w:line="204"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51,923</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December 31, 2021 and 2020.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years ended December 31, 2021 and 2020 the Company did not incur material costs to defend lawsuits or settle claims related to these indemnifications. The Company believes the fair value of these liabilities is not material and accordingly has no liabilities recorded for these agreements as of December 31, 2021 and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Redeemable Convertible Preferred Stock, Common Stock, and Stockholders’ Equity (Deficit)</w:t>
      </w:r>
    </w:p>
    <w:p>
      <w:pPr>
        <w:spacing w:after="0" w:line="157" w:lineRule="exact"/>
        <w:rPr>
          <w:sz w:val="20"/>
          <w:szCs w:val="20"/>
          <w:color w:val="auto"/>
        </w:rPr>
      </w:pPr>
    </w:p>
    <w:p>
      <w:pPr>
        <w:jc w:val="both"/>
        <w:ind w:right="20"/>
        <w:spacing w:after="0" w:line="328" w:lineRule="auto"/>
        <w:rPr>
          <w:sz w:val="20"/>
          <w:szCs w:val="20"/>
          <w:color w:val="auto"/>
        </w:rPr>
      </w:pPr>
      <w:r>
        <w:rPr>
          <w:rFonts w:ascii="Arial" w:cs="Arial" w:eastAsia="Arial" w:hAnsi="Arial"/>
          <w:sz w:val="15"/>
          <w:szCs w:val="15"/>
          <w:color w:val="auto"/>
        </w:rPr>
        <w:t>The shares and corresponding capital amounts and all per share data related to Legacy Nextdoor’s authorized and outstanding redeemable convertible preferred stock, common stock, and stock-based awards prior to the Reverse Recapitalization have been retroactively adjusted using the Exchange Ratio.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Nextdoor Redeemable Convertible Preferred Stock</w:t>
      </w:r>
    </w:p>
    <w:p>
      <w:pPr>
        <w:spacing w:after="0" w:line="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Upon the completion of the Reverse Recapitalization on November 5, 2021, all outstanding shares of Legacy Nextdoor redeemable convertible preferred stock converted into Legacy Nextdoor common stock on a one-to-one basis, which were then converted into 190,477,421 shares of Nextdoor Class B common stock as a result of the Reverse Recapitalization, using the Exchange Ratio of 3.1057.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Reverse Recapitalization, the Company's amended and restated certificate of incorporation became effective, which authorized the issuance of 50,000,000 shares of preferred stock with a par value of $0.0001 per share with such designations, voting, and other rights and preferences as may be determined from time to time by the Company's Board of Directors. As of December 31, 2021 there were no shares of preferred stock issued or outstanding.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was authorized to issue 2,500,000,000 shares of Class A common stock and 500,000,000 shares of Class B common stock as of December 31, 2021 and 375,788,212 shares of common stock as of December 31, 2020. The rights, including the liquidation and dividend rights, of the Class A common stock and Class B common stock are substantially identical, other than voting and conversion rights. The holder of each share of Class A common stock is entitled to one vote per share and the holder of each share of Class B common stock is entitled to ten votes per share. Shares of Class B common stock are convertible into an equivalent number of shares of Class A common stock at the option of the holder or upon certain events upon the terms and conditions described in the Company’s amended and restated certificate of incorporation. Class A common stock and Class B common stock are referred to, collectively, as common stock throughout the notes to these consolidated financial statements, unless otherwise indicated. Shares of common stock reserved for future issuance on an as-converted basis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2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2"/>
              </w:rPr>
              <w:t>As of December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Redeemable convertible preferred stock</w:t>
            </w:r>
          </w:p>
        </w:tc>
        <w:tc>
          <w:tcPr>
            <w:tcW w:w="22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190,477</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58,278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46,973</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 (RSUs)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reserved for future award issuances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12,558</w:t>
            </w:r>
          </w:p>
        </w:tc>
      </w:tr>
      <w:tr>
        <w:trPr>
          <w:trHeight w:val="244"/>
        </w:trPr>
        <w:tc>
          <w:tcPr>
            <w:tcW w:w="80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138,713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Repurchase</w:t>
      </w:r>
    </w:p>
    <w:p>
      <w:pPr>
        <w:spacing w:after="0" w:line="16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Certain stock option grant agreements permit exercise prior to vesting. Upon termination of service of an employee, the Company has the right to repurchase any unvested, but issued, common stock at the original purchase price. The consideration received for an exercise of an option is accounted for as a deposit of the exercise price and is recorded as a liability. Upon vesting of the shares pursuant to the grant agreements, the shares and related liability are reclassified into stockholders’ equity (deficit). As of December 31, 2021 and 2020, the Company had $0.7 million and $1.1 million recorded in accrued expenses and other current liabilities related to 421,594 and 692,990 unvested shares of common stock subject to repurchase,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Repurchase</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2018, an executive of the Company purchased 15,408,183 shares of restricted stock, subject to time-based service requirements, which vest over a forty-eight month period. The shares issued upon the purchase of restricted stock are considered to be legally issued and outstanding on the date of purchase and the executive has full voting rights. Upon termination of service, the Company may repurchase unvested shares acquired at a price equal to the price per share paid upon the exercise. Upon vesting of the shares pursuant to the grant agreements, the shares and related liability are reclassified into stockholders’ equity (deficit). As of December 31, 2021, the Company had $4.8 million recorded in deposits related to 3,210,037 unvested shares of common stock subject to repurchase. As of December 31, 2020, the Company had $10.5 million recorded in deposits related to 7,062,082 unvested shares of common stock subject to repurchase. For the years ended December 31, 2021 and 2020, the Company recorded stock-based compensation expense of $4.6 million and $4.6 million, respectively, related to this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and 2018 Equity Incentive Plans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2018, the 2008 Equity Incentive Plan (“the 2008 Plan”) was terminated, and Legacy Nextdoor’s board of directors approved the adoption of the 2018 Equity Incentive Plan (“the 2018 Plan”), which included both incentive and non-statutory stock options. The 2008 Plan and 2018 Plan (collectively, the “Legacy Equity Incentive Plans”) provided for the grant of shares of common stock to employees, directors, officers, and consultants pursuant to awards of stock options, restricted stock, or RSUs. As of December 31, 2020, the Company had reserved 4,043,637 shares of its common stock under the Legacy Equity Incentive Plans for future issuance. Options were granted at a price per share equal to the fair market value of the underlying common stock at the date of grant. Options granted generally vest over four years. RSUs granted are typically subject to a four-year vesting period and vest quarterly. While no new awards will be granted under the Legacy Equity Incentive Plans, any outstanding awards made under the Legacy Equity Incentive Plans will remain outstanding in accordance with the terms of the applicable plan and the applicable award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2021, the Company’s Board of Directors and stockholders approved the Company’s 2021 Equity Incentive Plan (the “2021 Plan”) as a successor to the Legacy Equity Incentive Plans, with the purpose of granting stock-based awards to employees, directors, officers, and consultants, including stock options, restricted stock awards, and RSUs.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As of December 31, 2021, there had been no offering period or purchase period under the 2021 ESPP.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grant options to acquire shares of Class A common stock to employees, directors, officers, and consultants at a price not less than the fair market value of the shares at the date of grant. Options granted to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four years. RSUs granted for Class A common stock generally vest on a quarterly basis over four years.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summary of the Company’s stock option activity for the year ended December 31, 2021 and related information is as follows (in thousands, except per share data):</w:t>
      </w:r>
    </w:p>
    <w:tbl>
      <w:tblPr>
        <w:tblLayout w:type="fixed"/>
        <w:tblInd w:w="0" w:type="dxa"/>
        <w:tblCellMar>
          <w:top w:w="0" w:type="dxa"/>
          <w:left w:w="0" w:type="dxa"/>
          <w:bottom w:w="0" w:type="dxa"/>
          <w:right w:w="0" w:type="dxa"/>
        </w:tblCellMar>
      </w:tblPr>
      <w:tr>
        <w:trPr>
          <w:trHeight w:val="143"/>
        </w:trPr>
        <w:tc>
          <w:tcPr>
            <w:tcW w:w="4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2"/>
                <w:szCs w:val="12"/>
                <w:color w:val="auto"/>
              </w:rPr>
            </w:pPr>
          </w:p>
        </w:tc>
        <w:tc>
          <w:tcPr>
            <w:tcW w:w="14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28,467</w:t>
            </w:r>
          </w:p>
        </w:tc>
        <w:tc>
          <w:tcPr>
            <w:tcW w:w="0" w:type="dxa"/>
            <w:vAlign w:val="bottom"/>
          </w:tcPr>
          <w:p>
            <w:pPr>
              <w:spacing w:after="0"/>
              <w:rPr>
                <w:sz w:val="1"/>
                <w:szCs w:val="1"/>
                <w:color w:val="auto"/>
              </w:rPr>
            </w:pPr>
          </w:p>
        </w:tc>
      </w:tr>
      <w:tr>
        <w:trPr>
          <w:trHeight w:val="225"/>
        </w:trPr>
        <w:tc>
          <w:tcPr>
            <w:tcW w:w="47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25,262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 or expired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Balances at December 31, 2021</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58,278</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322,799</w:t>
            </w: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spacing w:after="0"/>
              <w:rPr>
                <w:sz w:val="16"/>
                <w:szCs w:val="16"/>
                <w:color w:val="auto"/>
              </w:rPr>
            </w:pPr>
          </w:p>
        </w:tc>
        <w:tc>
          <w:tcPr>
            <w:tcW w:w="158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8"/>
                <w:szCs w:val="18"/>
                <w:color w:val="auto"/>
              </w:rPr>
              <w:t>Options vested and exercisable at December 31, 2021</w:t>
            </w:r>
          </w:p>
        </w:tc>
        <w:tc>
          <w:tcPr>
            <w:tcW w:w="1580" w:type="dxa"/>
            <w:vAlign w:val="bottom"/>
          </w:tcPr>
          <w:p>
            <w:pPr>
              <w:jc w:val="right"/>
              <w:spacing w:after="0"/>
              <w:rPr>
                <w:sz w:val="20"/>
                <w:szCs w:val="20"/>
                <w:color w:val="auto"/>
              </w:rPr>
            </w:pPr>
            <w:r>
              <w:rPr>
                <w:rFonts w:ascii="Arial" w:cs="Arial" w:eastAsia="Arial" w:hAnsi="Arial"/>
                <w:sz w:val="18"/>
                <w:szCs w:val="18"/>
                <w:color w:val="auto"/>
              </w:rPr>
              <w:t>23,443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144,608</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$3.63 per share and $2.40 per share during the years ended December 31, 2021 and 2020, respectively.</w:t>
      </w:r>
    </w:p>
    <w:p>
      <w:pPr>
        <w:spacing w:after="0" w:line="135"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total number of shares vested during the years ended December 31, 2021 and 2020 was 18,455,667 and 13,012,287, respectively. The weighted average grant-date fair value of options vested was $2.23 per share and $1.64 per share during the years ended December 31, 2021 and 2020, respectively. The intrinsic value of the options exercised was $31.9 million and $9.8 million for the years ended December 31, 2021 and 2020, respectively.</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granted 19,639 options to non-employees during the year ended December 31, 2021. The Company did not issue any grants to non-employees during the year ended December 31, 2020.</w:t>
      </w:r>
    </w:p>
    <w:p>
      <w:pPr>
        <w:spacing w:after="0" w:line="192"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table above includes 2,308,097 options granted to the Company’s Chief Executive Officer in March 2021 which were subject to a performance-based vesting condition that would be satisfied in full upon the first to occur of: (i) a Qualified IPO, (ii) a direct listing, or (iii) the closing by the Company of a transaction with a publicly traded special purpose acquisition company (“SPAC”) in which the common stock is publicly listed on a securities exchange. The options would vest in a single installment upon the satisfaction of the performance-based vesting condition subject to the Chief Executive Officer’s continuous employment through such date. Upon the Closing, the performance-based vesting condition was satisfied and the Company recognized stock-based compensation expense of $8.5 million and had no unrecognized stock-based compensation expense related to these options as of December 31, 2021.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RSU activity for the year ended December 31, 2021 and related information is as follows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2,701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use of the Black-Scholes option-pricing model to estimate the fair value of stock options granted requires the input of highly subjective assumptions. These assumptions were estimated as follows:</w:t>
      </w:r>
    </w:p>
    <w:p>
      <w:pPr>
        <w:spacing w:after="0" w:line="75" w:lineRule="exact"/>
        <w:rPr>
          <w:sz w:val="20"/>
          <w:szCs w:val="20"/>
          <w:color w:val="auto"/>
        </w:rPr>
      </w:pPr>
    </w:p>
    <w:p>
      <w:pPr>
        <w:jc w:val="both"/>
        <w:ind w:firstLine="541"/>
        <w:spacing w:after="0" w:line="305" w:lineRule="auto"/>
        <w:rPr>
          <w:sz w:val="20"/>
          <w:szCs w:val="20"/>
          <w:color w:val="auto"/>
        </w:rPr>
      </w:pPr>
      <w:r>
        <w:rPr>
          <w:rFonts w:ascii="Arial" w:cs="Arial" w:eastAsia="Arial" w:hAnsi="Arial"/>
          <w:sz w:val="15"/>
          <w:szCs w:val="15"/>
          <w:i w:val="1"/>
          <w:iCs w:val="1"/>
          <w:color w:val="auto"/>
        </w:rPr>
        <w:t xml:space="preserve">Fair value of the underlying common stock – </w:t>
      </w:r>
      <w:r>
        <w:rPr>
          <w:rFonts w:ascii="Arial" w:cs="Arial" w:eastAsia="Arial" w:hAnsi="Arial"/>
          <w:sz w:val="15"/>
          <w:szCs w:val="15"/>
          <w:color w:val="auto"/>
        </w:rPr>
        <w:t>Prior to the Reverse Recapitalization, the Board of Directors considered numerous objective and</w:t>
      </w:r>
      <w:r>
        <w:rPr>
          <w:rFonts w:ascii="Arial" w:cs="Arial" w:eastAsia="Arial" w:hAnsi="Arial"/>
          <w:sz w:val="15"/>
          <w:szCs w:val="15"/>
          <w:i w:val="1"/>
          <w:iCs w:val="1"/>
          <w:color w:val="auto"/>
        </w:rPr>
        <w:t xml:space="preserve"> </w:t>
      </w:r>
      <w:r>
        <w:rPr>
          <w:rFonts w:ascii="Arial" w:cs="Arial" w:eastAsia="Arial" w:hAnsi="Arial"/>
          <w:sz w:val="15"/>
          <w:szCs w:val="15"/>
          <w:color w:val="auto"/>
        </w:rPr>
        <w:t>subjective factors to determine the fair value of the Company’s common stock including, but not limited to: (i) the results of contemporaneous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merger, or acquisition of the Company, given prevailing market conditions; (vii) transactions involving the Company’s shares; (viii) the history and nature of its business, industry trends and competitive environment; and (iv) general economic outlook. After the Reverse Recapitalization, the fair value of the underlying common stock is determined by the closing price, on the date of grant, of the Company’s Class A common stock, which is traded on the New York Stock Exchange.</w:t>
      </w:r>
    </w:p>
    <w:p>
      <w:pPr>
        <w:spacing w:after="0" w:line="48" w:lineRule="exact"/>
        <w:rPr>
          <w:sz w:val="20"/>
          <w:szCs w:val="20"/>
          <w:color w:val="auto"/>
        </w:rPr>
      </w:pPr>
    </w:p>
    <w:p>
      <w:pPr>
        <w:jc w:val="both"/>
        <w:ind w:firstLine="541"/>
        <w:spacing w:after="0" w:line="277" w:lineRule="auto"/>
        <w:rPr>
          <w:sz w:val="20"/>
          <w:szCs w:val="20"/>
          <w:color w:val="auto"/>
        </w:rPr>
      </w:pPr>
      <w:r>
        <w:rPr>
          <w:rFonts w:ascii="Arial" w:cs="Arial" w:eastAsia="Arial" w:hAnsi="Arial"/>
          <w:sz w:val="17"/>
          <w:szCs w:val="17"/>
          <w:i w:val="1"/>
          <w:iCs w:val="1"/>
          <w:color w:val="auto"/>
        </w:rPr>
        <w:t xml:space="preserve">Expected volatility – </w:t>
      </w:r>
      <w:r>
        <w:rPr>
          <w:rFonts w:ascii="Arial" w:cs="Arial" w:eastAsia="Arial" w:hAnsi="Arial"/>
          <w:sz w:val="17"/>
          <w:szCs w:val="17"/>
          <w:color w:val="auto"/>
        </w:rPr>
        <w:t>Expected volatility is a measure of the amount by which the stock price is expected to fluctuate. Since the Company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sufficient trading history of its common stock, it estimates the expected volatility of its stock options at their grant date by taking the weighted average historical volatility of a group of comparable publicly traded companies over a period equal to the expected term of the options.</w:t>
      </w:r>
    </w:p>
    <w:p>
      <w:pPr>
        <w:spacing w:after="0" w:line="65" w:lineRule="exact"/>
        <w:rPr>
          <w:sz w:val="20"/>
          <w:szCs w:val="20"/>
          <w:color w:val="auto"/>
        </w:rPr>
      </w:pPr>
    </w:p>
    <w:p>
      <w:pPr>
        <w:jc w:val="both"/>
        <w:ind w:firstLine="541"/>
        <w:spacing w:after="0" w:line="330" w:lineRule="auto"/>
        <w:rPr>
          <w:sz w:val="20"/>
          <w:szCs w:val="20"/>
          <w:color w:val="auto"/>
        </w:rPr>
      </w:pPr>
      <w:r>
        <w:rPr>
          <w:rFonts w:ascii="Arial" w:cs="Arial" w:eastAsia="Arial" w:hAnsi="Arial"/>
          <w:sz w:val="15"/>
          <w:szCs w:val="15"/>
          <w:i w:val="1"/>
          <w:iCs w:val="1"/>
          <w:color w:val="auto"/>
        </w:rPr>
        <w:t xml:space="preserve">Expected term – </w:t>
      </w:r>
      <w:r>
        <w:rPr>
          <w:rFonts w:ascii="Arial" w:cs="Arial" w:eastAsia="Arial" w:hAnsi="Arial"/>
          <w:sz w:val="15"/>
          <w:szCs w:val="15"/>
          <w:color w:val="auto"/>
        </w:rPr>
        <w:t>The Company determines the expected term based on the average period the stock options are expected to remain outstanding using</w:t>
      </w:r>
      <w:r>
        <w:rPr>
          <w:rFonts w:ascii="Arial" w:cs="Arial" w:eastAsia="Arial" w:hAnsi="Arial"/>
          <w:sz w:val="15"/>
          <w:szCs w:val="15"/>
          <w:i w:val="1"/>
          <w:iCs w:val="1"/>
          <w:color w:val="auto"/>
        </w:rPr>
        <w:t xml:space="preserve"> </w:t>
      </w:r>
      <w:r>
        <w:rPr>
          <w:rFonts w:ascii="Arial" w:cs="Arial" w:eastAsia="Arial" w:hAnsi="Arial"/>
          <w:sz w:val="15"/>
          <w:szCs w:val="15"/>
          <w:color w:val="auto"/>
        </w:rPr>
        <w:t>the simplified method,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Risk-free rate – </w:t>
      </w:r>
      <w:r>
        <w:rPr>
          <w:rFonts w:ascii="Arial" w:cs="Arial" w:eastAsia="Arial" w:hAnsi="Arial"/>
          <w:sz w:val="18"/>
          <w:szCs w:val="18"/>
          <w:color w:val="auto"/>
        </w:rPr>
        <w:t>The Company uses the U.S. Treasury yield for its risk-free interest rate that corresponds with the expected term.</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Expected dividend yield – </w:t>
      </w:r>
      <w:r>
        <w:rPr>
          <w:rFonts w:ascii="Arial" w:cs="Arial" w:eastAsia="Arial" w:hAnsi="Arial"/>
          <w:sz w:val="15"/>
          <w:szCs w:val="15"/>
          <w:color w:val="auto"/>
        </w:rPr>
        <w:t>The Company utilizes a dividend yield of zero, as it does not currently issue dividends and does not expect to in the future.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assumptions were used to calculate the fair value of employee and non-employee stock option grants made during the following periods:</w:t>
      </w:r>
    </w:p>
    <w:p>
      <w:pPr>
        <w:sectPr>
          <w:pgSz w:w="11900" w:h="16838" w:orient="portrait"/>
          <w:cols w:equalWidth="0" w:num="1">
            <w:col w:w="11240"/>
          </w:cols>
          <w:pgMar w:left="320" w:top="1440" w:right="339" w:bottom="803"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34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778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53.7% - 54.5%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48.8% -53.4%</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6.3</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6.0</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$4.92 - $6.83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$3.89 - $4.23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7" w:name="page98"/>
    <w:bookmarkEnd w:id="97"/>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in the consolidated statements of operations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r>
      <w:tr>
        <w:trPr>
          <w:trHeight w:val="205"/>
        </w:trPr>
        <w:tc>
          <w:tcPr>
            <w:tcW w:w="80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20,690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10,235</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18,970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r>
      <w:tr>
        <w:trPr>
          <w:trHeight w:val="243"/>
        </w:trPr>
        <w:tc>
          <w:tcPr>
            <w:tcW w:w="80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47,514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22,608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2021, there was $123.2 million of unrecognized stock-based compensation expense, which is expected to be recognized over a weighted average period of 2.4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 Attributable to Common Stockholders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As a result of the Reverse Recapitalization, the Company has retroactively adjusted the weighted average number of shares of common stock outstanding prior to the Closing by multiplying them by the Exchange Ratio of 3.1057 used to determine the number of shares of common stock into which they converted. The following table sets forth the computation of basic and diluted net loss per share attributable to common stockholders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Class A</w:t>
            </w:r>
          </w:p>
        </w:tc>
        <w:tc>
          <w:tcPr>
            <w:tcW w:w="5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4"/>
                <w:szCs w:val="14"/>
                <w:color w:val="auto"/>
              </w:rPr>
              <w:t>Class B</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000" w:type="dxa"/>
            <w:vAlign w:val="bottom"/>
          </w:tcPr>
          <w:p>
            <w:pPr>
              <w:jc w:val="right"/>
              <w:ind w:right="798"/>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(8,032)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(87,293)</w:t>
            </w:r>
          </w:p>
        </w:tc>
        <w:tc>
          <w:tcPr>
            <w:tcW w:w="1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(75,234)</w:t>
            </w:r>
          </w:p>
        </w:tc>
        <w:tc>
          <w:tcPr>
            <w:tcW w:w="0" w:type="dxa"/>
            <w:vAlign w:val="bottom"/>
          </w:tcPr>
          <w:p>
            <w:pPr>
              <w:spacing w:after="0"/>
              <w:rPr>
                <w:sz w:val="1"/>
                <w:szCs w:val="1"/>
                <w:color w:val="auto"/>
              </w:rPr>
            </w:pPr>
          </w:p>
        </w:tc>
      </w:tr>
      <w:tr>
        <w:trPr>
          <w:trHeight w:val="174"/>
        </w:trPr>
        <w:tc>
          <w:tcPr>
            <w:tcW w:w="64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8"/>
              </w:rPr>
              <w:t>Weighted average shares used in computing net loss per share attributable to Class A and</w:t>
            </w:r>
          </w:p>
        </w:tc>
        <w:tc>
          <w:tcPr>
            <w:tcW w:w="10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12,330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134,007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90,190</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stockholders, basic and diluted</w:t>
            </w:r>
          </w:p>
        </w:tc>
        <w:tc>
          <w:tcPr>
            <w:tcW w:w="10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400" w:type="dxa"/>
            <w:vAlign w:val="bottom"/>
          </w:tcPr>
          <w:p>
            <w:pPr>
              <w:ind w:left="20"/>
              <w:spacing w:after="0" w:line="173" w:lineRule="exact"/>
              <w:rPr>
                <w:sz w:val="20"/>
                <w:szCs w:val="20"/>
                <w:color w:val="auto"/>
              </w:rPr>
            </w:pPr>
            <w:r>
              <w:rPr>
                <w:rFonts w:ascii="Arial" w:cs="Arial" w:eastAsia="Arial" w:hAnsi="Arial"/>
                <w:sz w:val="18"/>
                <w:szCs w:val="18"/>
                <w:color w:val="auto"/>
                <w:w w:val="91"/>
              </w:rPr>
              <w:t>Net loss per share attributable to Class A and Class B common stockholders, basic and</w:t>
            </w:r>
          </w:p>
        </w:tc>
        <w:tc>
          <w:tcPr>
            <w:tcW w:w="1000" w:type="dxa"/>
            <w:vAlign w:val="bottom"/>
            <w:vMerge w:val="restart"/>
          </w:tcPr>
          <w:p>
            <w:pPr>
              <w:jc w:val="right"/>
              <w:ind w:right="798"/>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(0.65)</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5"/>
                <w:szCs w:val="15"/>
                <w:color w:val="auto"/>
              </w:rPr>
            </w:pPr>
          </w:p>
        </w:tc>
        <w:tc>
          <w:tcPr>
            <w:tcW w:w="300" w:type="dxa"/>
            <w:vAlign w:val="bottom"/>
            <w:vMerge w:val="restart"/>
          </w:tcPr>
          <w:p>
            <w:pPr>
              <w:jc w:val="right"/>
              <w:ind w:right="112"/>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23"/>
        </w:trPr>
        <w:tc>
          <w:tcPr>
            <w:tcW w:w="6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net loss per share because such securities have an anti-dilutive impact due to losses reported (in thousands):</w:t>
      </w:r>
    </w:p>
    <w:p>
      <w:pPr>
        <w:spacing w:after="0" w:line="2"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As of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1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190,477</w:t>
            </w:r>
          </w:p>
        </w:tc>
      </w:tr>
      <w:tr>
        <w:trPr>
          <w:trHeight w:val="225"/>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Outstanding stock options</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58,278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46,973</w:t>
            </w:r>
          </w:p>
        </w:tc>
      </w:tr>
      <w:tr>
        <w:trPr>
          <w:trHeight w:val="265"/>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Unvested early exercised stock options subject to repurchase</w:t>
            </w:r>
          </w:p>
        </w:tc>
        <w:tc>
          <w:tcPr>
            <w:tcW w:w="5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26"/>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restricted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Contingently issuable shares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3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64,602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245,409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has a 401(k) plan (“the Plan”) covering all eligible employees in the United States. The Company is allowed to make discretionary profit sharing and qualified non-elective contributions as defined by the Plan and as approved by the Board of Directors. Through December 31, 2020, the Company did not match eligible participants’ 401(k) contributions. As of January 1, 2021, the Company began matching a portion of eligible participants’ 401(k) contributions. The Company’s match totaled $1.1 million for the year ended December 31, 2021. No discretionary profit-sharing contributions have been made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 during the years ended December 31, 2021 and 2020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78"/>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Domestic</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(94,693)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(74,882)</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(95,168)</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(75,107)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was as follows (in thousands):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8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020" w:type="dxa"/>
            <w:vAlign w:val="bottom"/>
          </w:tcPr>
          <w:p>
            <w:pPr>
              <w:spacing w:after="0"/>
              <w:rPr>
                <w:sz w:val="21"/>
                <w:szCs w:val="21"/>
                <w:color w:val="auto"/>
              </w:rPr>
            </w:pPr>
          </w:p>
        </w:tc>
        <w:tc>
          <w:tcPr>
            <w:tcW w:w="2580" w:type="dxa"/>
            <w:vAlign w:val="bottom"/>
            <w:tcBorders>
              <w:bottom w:val="single" w:sz="8" w:color="auto"/>
            </w:tcBorders>
            <w:gridSpan w:val="4"/>
          </w:tcPr>
          <w:p>
            <w:pPr>
              <w:jc w:val="right"/>
              <w:ind w:right="78"/>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0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6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61"/>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8"/>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420"/>
              <w:spacing w:after="0" w:line="205" w:lineRule="exact"/>
              <w:rPr>
                <w:sz w:val="20"/>
                <w:szCs w:val="20"/>
                <w:color w:val="auto"/>
              </w:rPr>
            </w:pPr>
            <w:r>
              <w:rPr>
                <w:rFonts w:ascii="Arial" w:cs="Arial" w:eastAsia="Arial" w:hAnsi="Arial"/>
                <w:sz w:val="18"/>
                <w:szCs w:val="18"/>
                <w:color w:val="auto"/>
              </w:rPr>
              <w:t>Total current provision for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Deferred: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60"/>
              <w:spacing w:after="0"/>
              <w:rPr>
                <w:sz w:val="20"/>
                <w:szCs w:val="20"/>
                <w:color w:val="auto"/>
              </w:rPr>
            </w:pPr>
            <w:r>
              <w:rPr>
                <w:rFonts w:ascii="Arial" w:cs="Arial" w:eastAsia="Arial" w:hAnsi="Arial"/>
                <w:sz w:val="18"/>
                <w:szCs w:val="18"/>
                <w:color w:val="auto"/>
              </w:rPr>
              <w:t>State</w:t>
            </w:r>
          </w:p>
        </w:tc>
        <w:tc>
          <w:tcPr>
            <w:tcW w:w="9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020" w:type="dxa"/>
            <w:vAlign w:val="bottom"/>
          </w:tcPr>
          <w:p>
            <w:pPr>
              <w:ind w:left="420"/>
              <w:spacing w:after="0" w:line="204" w:lineRule="exact"/>
              <w:rPr>
                <w:sz w:val="20"/>
                <w:szCs w:val="20"/>
                <w:color w:val="auto"/>
              </w:rPr>
            </w:pPr>
            <w:r>
              <w:rPr>
                <w:rFonts w:ascii="Arial" w:cs="Arial" w:eastAsia="Arial" w:hAnsi="Arial"/>
                <w:sz w:val="18"/>
                <w:szCs w:val="18"/>
                <w:color w:val="auto"/>
              </w:rPr>
              <w:t>Total deferred provision for income taxes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02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provision for income taxes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tax expense (benefit) differed from the amount computed by applying the federal statutory income tax rate of 21% to pretax loss as a result of the following:</w:t>
      </w:r>
    </w:p>
    <w:p>
      <w:pPr>
        <w:spacing w:after="0" w:line="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5"/>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State tax</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(2.5)</w:t>
            </w:r>
          </w:p>
        </w:tc>
      </w:tr>
      <w:tr>
        <w:trPr>
          <w:trHeight w:val="22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r>
      <w:tr>
        <w:trPr>
          <w:trHeight w:val="225"/>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Transaction costs</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r>
      <w:tr>
        <w:trPr>
          <w:trHeight w:val="225"/>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R&amp;D credit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(4.2)</w:t>
            </w:r>
          </w:p>
        </w:tc>
      </w:tr>
      <w:tr>
        <w:trPr>
          <w:trHeight w:val="226"/>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r>
      <w:tr>
        <w:trPr>
          <w:trHeight w:val="225"/>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Changes in valuation allowance</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22.9</w:t>
            </w:r>
          </w:p>
        </w:tc>
      </w:tr>
      <w:tr>
        <w:trPr>
          <w:trHeight w:val="22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r>
      <w:tr>
        <w:trPr>
          <w:trHeight w:val="219"/>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0"/>
        </w:trPr>
        <w:tc>
          <w:tcPr>
            <w:tcW w:w="7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significant items comprising the Company’s deferred taxes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05"/>
        </w:trPr>
        <w:tc>
          <w:tcPr>
            <w:tcW w:w="80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operating loss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96,423</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82,031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carryforwards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3,149</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Reserves, accruals and other</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6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135,305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105,763</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(96,044)</w:t>
            </w:r>
          </w:p>
        </w:tc>
      </w:tr>
      <w:tr>
        <w:trPr>
          <w:trHeight w:val="218"/>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tax assets, net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w:t>
            </w: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Fixed asset basis and other</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 basis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w:t>
            </w:r>
          </w:p>
        </w:tc>
      </w:tr>
      <w:tr>
        <w:trPr>
          <w:trHeight w:val="218"/>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w:t>
            </w:r>
          </w:p>
        </w:tc>
      </w:tr>
      <w:tr>
        <w:trPr>
          <w:trHeight w:val="239"/>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deferred tax assets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upon available objective evidence, management believes it is more likely than not that the U.S. net deferred tax assets will not be fully realizable. Accordingly, the Company has established a full valuation allowance for its U.S. net deferred tax assets. The valuation allowance increased by $24.8 million and $8.7 million, respectively, during 2021 and 2020. The Company had aggregate deferred tax assets of $135.3 million and $105.8 million as of December 31, 2021 and 2020, respectively.</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2021, the Company had federal net operating loss carryforwards of $390.0 million, which begin to expire in 2028, and state net operating loss carryforwards of $226.0 million, which begin to expire in 2028. Of the $390.0 million U.S. federal net operating losses $214.1 million is carried forward indefinitely but is limited to 80% of current year taxable income. As of December 31, 2021, the Company had federal tax credits of $16.6 million, which begin to expire in 2028, and state tax credits of $14.2 million, which do not expire. The Internal Revenue Code (“IRC”) limits the amount of net operating loss carryforwards that a company may use in a given year in the event of certain cumulative changes in ownership over a three-year period as described in Section 382 of the IRC. Utilization of net operating loss carryforwards and credits may be subject to a substantial annual limitation due to the ownership change limitations provided by the IRC, as amended, and similar state provisions. The annual limitation may result in the expiration of net operating losses and credits before utilization.</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The Company accounts for uncertainty in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Tax positions are evaluated in a two-step process, whereby the Company first determines whether it is more likely than not that a tax position will be sustained upon examination by the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balances of unrecognized tax benefit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 beginning of year</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10,143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Gross unrecognized tax benefits - end of year</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13,902</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10,143</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of the unrecognized tax benefits as of December 31, 2021 are accounted for as a reduction in the Company’s deferred tax assets. Due to the Company’s valuation allowance, none of the $13.9 million of unrecognized tax benefits, related solely to its federal and state research and development income tax credits, would affect the Company’s effective tax rate, if recognized. The Company does not believe it is reasonably possible that its unrecognized tax benefits will significantly change in the next twelve months.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interest and penalties related to unrecognized tax benefits as income tax expense. There were no interest or penalties accrued related to unrecognized tax benefits for the years ended December 31, 2021 and 2020, and no liability for accrued interest or penalties related to unrecognized tax benefits as of December 31, 2021 and 2020.</w:t>
      </w:r>
    </w:p>
    <w:p>
      <w:pPr>
        <w:spacing w:after="0" w:line="13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Company has identified its U.S. federal and California tax returns as “material” tax filings. The Company is not currently under examination by income tax authorities in any jurisdiction. However, because the Company has net operating losses in several jurisdictions, including the United States federal and various state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income tax credits.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Geographical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geography based on the customers’ location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119,118</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4,166</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123,284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4"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evaluated the effectiveness of our disclosure controls and procedures (as defined in Exchange Act Rules 13a-15(e) and 15d-15(e)) as of the end of the period covered by this Annual Report, and have concluded that, based on such evaluation, our disclosure controls and procedures were effective as of December 31, 2021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35"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color w:val="auto"/>
        </w:rPr>
        <w:t>In addition, because we are an “emerging growth company” under the JOBS Act, our independent registered public accounting firm will not be required to attest to the effectiveness of our internal control over financial reporting for so long as we are an emerging growth company.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4"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5"/>
          <w:szCs w:val="15"/>
          <w:color w:val="auto"/>
        </w:rPr>
        <w:t>Prior to the Business Combination, KVSB made the determination that it was required to restate certain previously issued financial statements and other financial data as of and for the period from January 29, 2021 (inception) through March 31, 2021. Due solely to the events that led to the restatement of KVSB’s financial statements, KVSB's management concluded that its disclosure controls and procedures were not effective due to material weaknesses in internal controls over financial reporting related to the inaccurate accounting of its redeemable Class A common stock and its Class K founder shares.</w:t>
      </w:r>
    </w:p>
    <w:p>
      <w:pPr>
        <w:spacing w:after="0" w:line="10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Effective as of the closing of the Business Combination, the management of Legacy Nextdoor is responsible for internal control over financial reporting and the former management of KVSB no longer participates in financial reporting. Our assessment is that, after the Business Combination, we have a sufficiently staffed and technically experienced finance and accounting team to address the financial reporting requirements of a public company. After the Business Combination, because the conditions causing the material weakness no longer existed, and are not expected to exist, we determined the material weakness in internal control over financial reporting did not exist as of December 31, 2021.</w:t>
      </w:r>
    </w:p>
    <w:p>
      <w:pPr>
        <w:spacing w:after="0" w:line="114"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There were no other changes in our internal control over financial reporting identified in connection with the evaluation required by Rule 13a-15(d) and 15d-15(d) of the Exchange Act that occurred during the fiscal quarter ended December 31, 2021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Disclosure Controls and Procedures</w:t>
      </w:r>
    </w:p>
    <w:p>
      <w:pPr>
        <w:spacing w:after="0" w:line="144" w:lineRule="exact"/>
        <w:rPr>
          <w:sz w:val="20"/>
          <w:szCs w:val="20"/>
          <w:color w:val="auto"/>
        </w:rPr>
      </w:pPr>
    </w:p>
    <w:p>
      <w:pPr>
        <w:jc w:val="both"/>
        <w:ind w:firstLine="318"/>
        <w:spacing w:after="0" w:line="222"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information required by this item will be included in our Proxy Statement for the 2022 Annual Meeting of Stockholders, to be filed with the SEC within 120 days of the fiscal year ended December 31, 2021, and is incorporated herein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information required by this item will be included in our Proxy Statement for the 2022 Annual Meeting of Stockholders, to be filed with the SEC within 120 days of the fiscal year ended December 31, 2021, and is incorporated herein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information required by this item will be included in our Proxy Statement for the 2022 Annual Meeting of Stockholders, to be filed with the SEC within 120 days of the fiscal year ended December 31, 2021, and is incorporated herein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information required by this item will be included in our Proxy Statement for the 2022 Annual Meeting of Stockholders, to be filed with the SEC within 120 days of the fiscal year ended December 31, 2021, and is incorporated herein by reference.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information required by this item will be included in our Proxy Statement for the 2022 Annual Meeting of Stockholders, to be filed with the SEC within 120 days of the fiscal year ended December 31, 2021,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354" w:lineRule="exact"/>
        <w:rPr>
          <w:sz w:val="20"/>
          <w:szCs w:val="20"/>
          <w:color w:val="auto"/>
        </w:rPr>
      </w:pPr>
    </w:p>
    <w:p>
      <w:pPr>
        <w:ind w:left="320" w:right="7020" w:hanging="314"/>
        <w:spacing w:after="0" w:line="491" w:lineRule="auto"/>
        <w:tabs>
          <w:tab w:leader="none" w:pos="2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1.Financial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under Part II, Item 8 of this Annual Report.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2.Financial Statement Schedules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Schedules not listed above have been omitted because they are not required, not applicable, or the required information is otherwise included.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3.Exhibits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as part of this Annual Report or are incorporated herein by reference as indicated.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Incorporated by Reference</w:t>
            </w:r>
          </w:p>
        </w:tc>
      </w:tr>
      <w:tr>
        <w:trPr>
          <w:trHeight w:val="193"/>
        </w:trPr>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2"/>
          </w:tcPr>
          <w:p>
            <w:pPr>
              <w:ind w:left="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6"/>
                <w:szCs w:val="16"/>
                <w:color w:val="auto"/>
              </w:rPr>
            </w:pP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Filing Date</w:t>
            </w:r>
          </w:p>
        </w:tc>
      </w:tr>
      <w:tr>
        <w:trPr>
          <w:trHeight w:val="184"/>
        </w:trPr>
        <w:tc>
          <w:tcPr>
            <w:tcW w:w="142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c>
          <w:tcPr>
            <w:tcW w:w="4840" w:type="dxa"/>
            <w:vAlign w:val="bottom"/>
            <w:gridSpan w:val="27"/>
          </w:tcPr>
          <w:p>
            <w:pPr>
              <w:spacing w:after="0" w:line="184" w:lineRule="exact"/>
              <w:rPr>
                <w:rFonts w:ascii="Arial" w:cs="Arial" w:eastAsia="Arial" w:hAnsi="Arial"/>
                <w:sz w:val="18"/>
                <w:szCs w:val="18"/>
                <w:color w:val="0000FF"/>
                <w:w w:val="94"/>
              </w:rPr>
            </w:pPr>
            <w:hyperlink r:id="rId135">
              <w:r>
                <w:rPr>
                  <w:rFonts w:ascii="Arial" w:cs="Arial" w:eastAsia="Arial" w:hAnsi="Arial"/>
                  <w:sz w:val="18"/>
                  <w:szCs w:val="18"/>
                  <w:color w:val="0000FF"/>
                  <w:w w:val="94"/>
                </w:rPr>
                <w:t>Agreement and Plan of Merger, dated as of July 6, 2021, by and</w:t>
              </w:r>
            </w:hyperlink>
          </w:p>
        </w:tc>
        <w:tc>
          <w:tcPr>
            <w:tcW w:w="1440" w:type="dxa"/>
            <w:vAlign w:val="bottom"/>
            <w:gridSpan w:val="2"/>
          </w:tcPr>
          <w:p>
            <w:pPr>
              <w:jc w:val="center"/>
              <w:ind w:right="100"/>
              <w:spacing w:after="0" w:line="184" w:lineRule="exact"/>
              <w:rPr>
                <w:sz w:val="20"/>
                <w:szCs w:val="20"/>
                <w:color w:val="auto"/>
              </w:rPr>
            </w:pPr>
            <w:r>
              <w:rPr>
                <w:rFonts w:ascii="Arial" w:cs="Arial" w:eastAsia="Arial" w:hAnsi="Arial"/>
                <w:sz w:val="18"/>
                <w:szCs w:val="18"/>
                <w:color w:val="auto"/>
                <w:w w:val="92"/>
              </w:rPr>
              <w:t>S-4</w:t>
            </w:r>
          </w:p>
        </w:tc>
        <w:tc>
          <w:tcPr>
            <w:tcW w:w="1340" w:type="dxa"/>
            <w:vAlign w:val="bottom"/>
          </w:tcPr>
          <w:p>
            <w:pPr>
              <w:jc w:val="center"/>
              <w:spacing w:after="0" w:line="184"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6"/>
                <w:szCs w:val="16"/>
                <w:color w:val="auto"/>
              </w:rPr>
            </w:pPr>
          </w:p>
        </w:tc>
        <w:tc>
          <w:tcPr>
            <w:tcW w:w="2060" w:type="dxa"/>
            <w:vAlign w:val="bottom"/>
          </w:tcPr>
          <w:p>
            <w:pPr>
              <w:jc w:val="center"/>
              <w:spacing w:after="0" w:line="184" w:lineRule="exact"/>
              <w:rPr>
                <w:sz w:val="20"/>
                <w:szCs w:val="20"/>
                <w:color w:val="auto"/>
              </w:rPr>
            </w:pPr>
            <w:r>
              <w:rPr>
                <w:rFonts w:ascii="Arial" w:cs="Arial" w:eastAsia="Arial" w:hAnsi="Arial"/>
                <w:sz w:val="18"/>
                <w:szCs w:val="18"/>
                <w:color w:val="auto"/>
                <w:w w:val="88"/>
              </w:rPr>
              <w:t>October 1, 2021</w:t>
            </w: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tcBorders>
            <w:gridSpan w:val="19"/>
          </w:tcPr>
          <w:p>
            <w:pPr>
              <w:spacing w:after="0" w:line="152" w:lineRule="exact"/>
              <w:rPr>
                <w:rFonts w:ascii="Arial" w:cs="Arial" w:eastAsia="Arial" w:hAnsi="Arial"/>
                <w:sz w:val="17"/>
                <w:szCs w:val="17"/>
                <w:color w:val="0000FF"/>
                <w:w w:val="97"/>
              </w:rPr>
            </w:pPr>
            <w:hyperlink r:id="rId135">
              <w:r>
                <w:rPr>
                  <w:rFonts w:ascii="Arial" w:cs="Arial" w:eastAsia="Arial" w:hAnsi="Arial"/>
                  <w:sz w:val="17"/>
                  <w:szCs w:val="17"/>
                  <w:color w:val="0000FF"/>
                  <w:w w:val="97"/>
                </w:rPr>
                <w:t>among the Khosla Ventures Acquisition Co. II, Lorelei Merger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16"/>
          </w:tcPr>
          <w:p>
            <w:pPr>
              <w:spacing w:after="0" w:line="152" w:lineRule="exact"/>
              <w:rPr>
                <w:rFonts w:ascii="Arial" w:cs="Arial" w:eastAsia="Arial" w:hAnsi="Arial"/>
                <w:sz w:val="17"/>
                <w:szCs w:val="17"/>
                <w:color w:val="0000FF"/>
                <w:w w:val="93"/>
              </w:rPr>
            </w:pPr>
            <w:hyperlink r:id="rId135">
              <w:r>
                <w:rPr>
                  <w:rFonts w:ascii="Arial" w:cs="Arial" w:eastAsia="Arial" w:hAnsi="Arial"/>
                  <w:sz w:val="17"/>
                  <w:szCs w:val="17"/>
                  <w:color w:val="0000FF"/>
                  <w:w w:val="93"/>
                </w:rPr>
                <w:t>Sub Inc. and Nextdoor, Inc., as amended (included as Annex 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9"/>
          </w:tcPr>
          <w:p>
            <w:pPr>
              <w:ind w:left="20"/>
              <w:spacing w:after="0" w:line="152" w:lineRule="exact"/>
              <w:rPr>
                <w:rFonts w:ascii="Arial" w:cs="Arial" w:eastAsia="Arial" w:hAnsi="Arial"/>
                <w:sz w:val="17"/>
                <w:szCs w:val="17"/>
                <w:color w:val="0000FF"/>
              </w:rPr>
            </w:pPr>
            <w:hyperlink r:id="rId135">
              <w:r>
                <w:rPr>
                  <w:rFonts w:ascii="Arial" w:cs="Arial" w:eastAsia="Arial" w:hAnsi="Arial"/>
                  <w:sz w:val="17"/>
                  <w:szCs w:val="17"/>
                  <w:color w:val="0000FF"/>
                </w:rPr>
                <w:t>to</w:t>
              </w:r>
            </w:hyperlink>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135">
              <w:r>
                <w:rPr>
                  <w:rFonts w:ascii="Arial" w:cs="Arial" w:eastAsia="Arial" w:hAnsi="Arial"/>
                  <w:sz w:val="17"/>
                  <w:szCs w:val="17"/>
                  <w:color w:val="0000FF"/>
                </w:rPr>
                <w:t xml:space="preserve">the </w:t>
              </w:r>
            </w:hyperlink>
            <w:hyperlink r:id="rId136">
              <w:r>
                <w:rPr>
                  <w:rFonts w:ascii="Arial" w:cs="Arial" w:eastAsia="Arial" w:hAnsi="Arial"/>
                  <w:sz w:val="17"/>
                  <w:szCs w:val="17"/>
                  <w:color w:val="0000FF"/>
                </w:rPr>
                <w:t>registration statement on Form S-4)</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27"/>
          </w:tcPr>
          <w:p>
            <w:pPr>
              <w:spacing w:after="0" w:line="205" w:lineRule="exact"/>
              <w:rPr>
                <w:rFonts w:ascii="Arial" w:cs="Arial" w:eastAsia="Arial" w:hAnsi="Arial"/>
                <w:sz w:val="18"/>
                <w:szCs w:val="18"/>
                <w:color w:val="0000FF"/>
                <w:w w:val="95"/>
              </w:rPr>
            </w:pPr>
            <w:hyperlink r:id="rId137">
              <w:r>
                <w:rPr>
                  <w:rFonts w:ascii="Arial" w:cs="Arial" w:eastAsia="Arial" w:hAnsi="Arial"/>
                  <w:sz w:val="18"/>
                  <w:szCs w:val="18"/>
                  <w:color w:val="0000FF"/>
                  <w:w w:val="95"/>
                </w:rPr>
                <w:t>Amended and Restated Certificate of Incorporation of Nextdoor</w:t>
              </w:r>
            </w:hyperlink>
          </w:p>
        </w:tc>
        <w:tc>
          <w:tcPr>
            <w:tcW w:w="14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8-K</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7"/>
                <w:szCs w:val="17"/>
                <w:color w:val="auto"/>
              </w:rPr>
            </w:pPr>
          </w:p>
        </w:tc>
        <w:tc>
          <w:tcPr>
            <w:tcW w:w="2060" w:type="dxa"/>
            <w:vAlign w:val="bottom"/>
          </w:tcPr>
          <w:p>
            <w:pPr>
              <w:jc w:val="center"/>
              <w:spacing w:after="0" w:line="205" w:lineRule="exact"/>
              <w:rPr>
                <w:sz w:val="20"/>
                <w:szCs w:val="20"/>
                <w:color w:val="auto"/>
              </w:rPr>
            </w:pPr>
            <w:r>
              <w:rPr>
                <w:rFonts w:ascii="Arial" w:cs="Arial" w:eastAsia="Arial" w:hAnsi="Arial"/>
                <w:sz w:val="18"/>
                <w:szCs w:val="18"/>
                <w:color w:val="auto"/>
                <w:w w:val="89"/>
              </w:rPr>
              <w:t>November 12, 2021</w:t>
            </w: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137">
              <w:r>
                <w:rPr>
                  <w:rFonts w:ascii="Arial" w:cs="Arial" w:eastAsia="Arial" w:hAnsi="Arial"/>
                  <w:sz w:val="17"/>
                  <w:szCs w:val="17"/>
                  <w:color w:val="0000FF"/>
                </w:rPr>
                <w:t>Holdings, Inc.</w:t>
              </w:r>
            </w:hyperlink>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bottom w:val="single" w:sz="8" w:color="0000FF"/>
            </w:tcBorders>
            <w:gridSpan w:val="8"/>
          </w:tcPr>
          <w:p>
            <w:pPr>
              <w:spacing w:after="0" w:line="205" w:lineRule="exact"/>
              <w:rPr>
                <w:rFonts w:ascii="Arial" w:cs="Arial" w:eastAsia="Arial" w:hAnsi="Arial"/>
                <w:sz w:val="18"/>
                <w:szCs w:val="18"/>
                <w:color w:val="0000FF"/>
                <w:w w:val="90"/>
              </w:rPr>
            </w:pPr>
            <w:hyperlink r:id="rId138">
              <w:r>
                <w:rPr>
                  <w:rFonts w:ascii="Arial" w:cs="Arial" w:eastAsia="Arial" w:hAnsi="Arial"/>
                  <w:sz w:val="18"/>
                  <w:szCs w:val="18"/>
                  <w:color w:val="0000FF"/>
                  <w:w w:val="90"/>
                </w:rPr>
                <w:t>Restated Bylaws of Nextdoor Holdings, Inc.</w:t>
              </w:r>
            </w:hyperlink>
          </w:p>
        </w:tc>
        <w:tc>
          <w:tcPr>
            <w:tcW w:w="1700" w:type="dxa"/>
            <w:vAlign w:val="bottom"/>
            <w:gridSpan w:val="19"/>
          </w:tcPr>
          <w:p>
            <w:pPr>
              <w:spacing w:after="0"/>
              <w:rPr>
                <w:sz w:val="17"/>
                <w:szCs w:val="17"/>
                <w:color w:val="auto"/>
              </w:rPr>
            </w:pPr>
          </w:p>
        </w:tc>
        <w:tc>
          <w:tcPr>
            <w:tcW w:w="14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8-K</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7"/>
                <w:szCs w:val="17"/>
                <w:color w:val="auto"/>
              </w:rPr>
            </w:pPr>
          </w:p>
        </w:tc>
        <w:tc>
          <w:tcPr>
            <w:tcW w:w="2060" w:type="dxa"/>
            <w:vAlign w:val="bottom"/>
          </w:tcPr>
          <w:p>
            <w:pPr>
              <w:jc w:val="center"/>
              <w:spacing w:after="0" w:line="205" w:lineRule="exact"/>
              <w:rPr>
                <w:sz w:val="20"/>
                <w:szCs w:val="20"/>
                <w:color w:val="auto"/>
              </w:rPr>
            </w:pPr>
            <w:r>
              <w:rPr>
                <w:rFonts w:ascii="Arial" w:cs="Arial" w:eastAsia="Arial" w:hAnsi="Arial"/>
                <w:sz w:val="18"/>
                <w:szCs w:val="18"/>
                <w:color w:val="auto"/>
                <w:w w:val="89"/>
              </w:rPr>
              <w:t>November 12, 2021</w:t>
            </w: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27"/>
          </w:tcPr>
          <w:p>
            <w:pPr>
              <w:spacing w:after="0" w:line="205" w:lineRule="exact"/>
              <w:rPr>
                <w:rFonts w:ascii="Arial" w:cs="Arial" w:eastAsia="Arial" w:hAnsi="Arial"/>
                <w:sz w:val="18"/>
                <w:szCs w:val="18"/>
                <w:color w:val="0000FF"/>
              </w:rPr>
            </w:pPr>
            <w:hyperlink r:id="rId139">
              <w:r>
                <w:rPr>
                  <w:rFonts w:ascii="Arial" w:cs="Arial" w:eastAsia="Arial" w:hAnsi="Arial"/>
                  <w:sz w:val="18"/>
                  <w:szCs w:val="18"/>
                  <w:color w:val="0000FF"/>
                </w:rPr>
                <w:t>Specimen Class A Common Stock Certificate of Nextdoor</w:t>
              </w:r>
            </w:hyperlink>
          </w:p>
        </w:tc>
        <w:tc>
          <w:tcPr>
            <w:tcW w:w="14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8-K</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7"/>
                <w:szCs w:val="17"/>
                <w:color w:val="auto"/>
              </w:rPr>
            </w:pPr>
          </w:p>
        </w:tc>
        <w:tc>
          <w:tcPr>
            <w:tcW w:w="2060" w:type="dxa"/>
            <w:vAlign w:val="bottom"/>
          </w:tcPr>
          <w:p>
            <w:pPr>
              <w:jc w:val="center"/>
              <w:spacing w:after="0" w:line="205" w:lineRule="exact"/>
              <w:rPr>
                <w:sz w:val="20"/>
                <w:szCs w:val="20"/>
                <w:color w:val="auto"/>
              </w:rPr>
            </w:pPr>
            <w:r>
              <w:rPr>
                <w:rFonts w:ascii="Arial" w:cs="Arial" w:eastAsia="Arial" w:hAnsi="Arial"/>
                <w:sz w:val="18"/>
                <w:szCs w:val="18"/>
                <w:color w:val="auto"/>
                <w:w w:val="89"/>
              </w:rPr>
              <w:t>November 12, 2021</w:t>
            </w: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2"/>
          </w:tcPr>
          <w:p>
            <w:pPr>
              <w:spacing w:after="0" w:line="152" w:lineRule="exact"/>
              <w:rPr>
                <w:rFonts w:ascii="Arial" w:cs="Arial" w:eastAsia="Arial" w:hAnsi="Arial"/>
                <w:sz w:val="17"/>
                <w:szCs w:val="17"/>
                <w:color w:val="0000FF"/>
              </w:rPr>
            </w:pPr>
            <w:hyperlink r:id="rId139">
              <w:r>
                <w:rPr>
                  <w:rFonts w:ascii="Arial" w:cs="Arial" w:eastAsia="Arial" w:hAnsi="Arial"/>
                  <w:sz w:val="17"/>
                  <w:szCs w:val="17"/>
                  <w:color w:val="0000FF"/>
                </w:rPr>
                <w:t>Holdings, Inc.</w:t>
              </w:r>
            </w:hyperlink>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27"/>
          </w:tcPr>
          <w:p>
            <w:pPr>
              <w:spacing w:after="0" w:line="205" w:lineRule="exact"/>
              <w:rPr>
                <w:rFonts w:ascii="Arial" w:cs="Arial" w:eastAsia="Arial" w:hAnsi="Arial"/>
                <w:sz w:val="18"/>
                <w:szCs w:val="18"/>
                <w:color w:val="0000FF"/>
              </w:rPr>
            </w:pPr>
            <w:hyperlink w:anchor="page110">
              <w:r>
                <w:rPr>
                  <w:rFonts w:ascii="Arial" w:cs="Arial" w:eastAsia="Arial" w:hAnsi="Arial"/>
                  <w:sz w:val="18"/>
                  <w:szCs w:val="18"/>
                  <w:color w:val="0000FF"/>
                </w:rPr>
                <w:t>Description of Registrant’s Securities</w:t>
              </w:r>
            </w:hyperlink>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27"/>
          </w:tcPr>
          <w:p>
            <w:pPr>
              <w:spacing w:after="0" w:line="205" w:lineRule="exact"/>
              <w:rPr>
                <w:rFonts w:ascii="Arial" w:cs="Arial" w:eastAsia="Arial" w:hAnsi="Arial"/>
                <w:sz w:val="18"/>
                <w:szCs w:val="18"/>
                <w:color w:val="0000FF"/>
                <w:w w:val="97"/>
              </w:rPr>
            </w:pPr>
            <w:hyperlink r:id="rId140">
              <w:r>
                <w:rPr>
                  <w:rFonts w:ascii="Arial" w:cs="Arial" w:eastAsia="Arial" w:hAnsi="Arial"/>
                  <w:sz w:val="18"/>
                  <w:szCs w:val="18"/>
                  <w:color w:val="0000FF"/>
                  <w:w w:val="97"/>
                </w:rPr>
                <w:t>Sponsor Support Agreement, dated as of July 6, 2021, by and</w:t>
              </w:r>
            </w:hyperlink>
          </w:p>
        </w:tc>
        <w:tc>
          <w:tcPr>
            <w:tcW w:w="14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S-4</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17"/>
                <w:szCs w:val="17"/>
                <w:color w:val="auto"/>
              </w:rPr>
            </w:pPr>
          </w:p>
        </w:tc>
        <w:tc>
          <w:tcPr>
            <w:tcW w:w="2060" w:type="dxa"/>
            <w:vAlign w:val="bottom"/>
          </w:tcPr>
          <w:p>
            <w:pPr>
              <w:jc w:val="center"/>
              <w:spacing w:after="0" w:line="205" w:lineRule="exact"/>
              <w:rPr>
                <w:sz w:val="20"/>
                <w:szCs w:val="20"/>
                <w:color w:val="auto"/>
              </w:rPr>
            </w:pPr>
            <w:r>
              <w:rPr>
                <w:rFonts w:ascii="Arial" w:cs="Arial" w:eastAsia="Arial" w:hAnsi="Arial"/>
                <w:sz w:val="18"/>
                <w:szCs w:val="18"/>
                <w:color w:val="auto"/>
                <w:w w:val="87"/>
              </w:rPr>
              <w:t>July 20, 2021</w:t>
            </w: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27"/>
          </w:tcPr>
          <w:p>
            <w:pPr>
              <w:spacing w:after="0" w:line="152" w:lineRule="exact"/>
              <w:rPr>
                <w:rFonts w:ascii="Arial" w:cs="Arial" w:eastAsia="Arial" w:hAnsi="Arial"/>
                <w:sz w:val="17"/>
                <w:szCs w:val="17"/>
                <w:color w:val="0000FF"/>
              </w:rPr>
            </w:pPr>
            <w:hyperlink r:id="rId140">
              <w:r>
                <w:rPr>
                  <w:rFonts w:ascii="Arial" w:cs="Arial" w:eastAsia="Arial" w:hAnsi="Arial"/>
                  <w:sz w:val="17"/>
                  <w:szCs w:val="17"/>
                  <w:color w:val="0000FF"/>
                </w:rPr>
                <w:t>among the Khosla Ventures Acquisition Co. II, Khosla Ventures</w:t>
              </w:r>
            </w:hyperlink>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40">
              <w:r>
                <w:rPr>
                  <w:rFonts w:ascii="Arial" w:cs="Arial" w:eastAsia="Arial" w:hAnsi="Arial"/>
                  <w:sz w:val="17"/>
                  <w:szCs w:val="17"/>
                  <w:color w:val="0000FF"/>
                </w:rPr>
                <w:t>SPAC Sponsor II LLC and the other parties thereto</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27"/>
          </w:tcPr>
          <w:p>
            <w:pPr>
              <w:spacing w:after="0" w:line="205" w:lineRule="exact"/>
              <w:rPr>
                <w:rFonts w:ascii="Arial" w:cs="Arial" w:eastAsia="Arial" w:hAnsi="Arial"/>
                <w:sz w:val="18"/>
                <w:szCs w:val="18"/>
                <w:color w:val="0000FF"/>
                <w:w w:val="90"/>
              </w:rPr>
            </w:pPr>
            <w:hyperlink w:anchor="page115">
              <w:r>
                <w:rPr>
                  <w:rFonts w:ascii="Arial" w:cs="Arial" w:eastAsia="Arial" w:hAnsi="Arial"/>
                  <w:sz w:val="18"/>
                  <w:szCs w:val="18"/>
                  <w:color w:val="0000FF"/>
                  <w:w w:val="90"/>
                </w:rPr>
                <w:t>Election, Waiver and Consent, dated as of October 1, 2021, by and</w:t>
              </w:r>
            </w:hyperlink>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w:anchor="page115">
              <w:r>
                <w:rPr>
                  <w:rFonts w:ascii="Arial" w:cs="Arial" w:eastAsia="Arial" w:hAnsi="Arial"/>
                  <w:sz w:val="17"/>
                  <w:szCs w:val="17"/>
                  <w:color w:val="0000FF"/>
                </w:rPr>
                <w:t>among Khosla Ventures SPAC Sponsor II LLC, Nextdoor Inc.,</w:t>
              </w:r>
            </w:hyperlink>
          </w:p>
        </w:tc>
        <w:tc>
          <w:tcPr>
            <w:tcW w:w="12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1"/>
              </w:rPr>
            </w:pPr>
            <w:hyperlink w:anchor="page115">
              <w:r>
                <w:rPr>
                  <w:rFonts w:ascii="Arial" w:cs="Arial" w:eastAsia="Arial" w:hAnsi="Arial"/>
                  <w:sz w:val="17"/>
                  <w:szCs w:val="17"/>
                  <w:color w:val="0000FF"/>
                  <w:w w:val="91"/>
                </w:rPr>
                <w:t>and the other parties thereto</w:t>
              </w:r>
            </w:hyperlink>
          </w:p>
        </w:tc>
        <w:tc>
          <w:tcPr>
            <w:tcW w:w="24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10.3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27"/>
          </w:tcPr>
          <w:p>
            <w:pPr>
              <w:spacing w:after="0" w:line="205"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Stockholder Support Agreement, dated as of July 6, 2021, by and</w:t>
              </w:r>
            </w:hyperlink>
          </w:p>
        </w:tc>
        <w:tc>
          <w:tcPr>
            <w:tcW w:w="14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S-4</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17"/>
                <w:szCs w:val="17"/>
                <w:color w:val="auto"/>
              </w:rPr>
            </w:pPr>
          </w:p>
        </w:tc>
        <w:tc>
          <w:tcPr>
            <w:tcW w:w="2060" w:type="dxa"/>
            <w:vAlign w:val="bottom"/>
          </w:tcPr>
          <w:p>
            <w:pPr>
              <w:jc w:val="center"/>
              <w:spacing w:after="0" w:line="205" w:lineRule="exact"/>
              <w:rPr>
                <w:sz w:val="20"/>
                <w:szCs w:val="20"/>
                <w:color w:val="auto"/>
              </w:rPr>
            </w:pPr>
            <w:r>
              <w:rPr>
                <w:rFonts w:ascii="Arial" w:cs="Arial" w:eastAsia="Arial" w:hAnsi="Arial"/>
                <w:sz w:val="18"/>
                <w:szCs w:val="18"/>
                <w:color w:val="auto"/>
                <w:w w:val="87"/>
              </w:rPr>
              <w:t>July 20, 2021</w:t>
            </w: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22"/>
          </w:tcPr>
          <w:p>
            <w:pPr>
              <w:spacing w:after="0" w:line="152" w:lineRule="exact"/>
              <w:rPr>
                <w:rFonts w:ascii="Arial" w:cs="Arial" w:eastAsia="Arial" w:hAnsi="Arial"/>
                <w:sz w:val="17"/>
                <w:szCs w:val="17"/>
                <w:color w:val="0000FF"/>
                <w:w w:val="97"/>
              </w:rPr>
            </w:pPr>
            <w:hyperlink r:id="rId141">
              <w:r>
                <w:rPr>
                  <w:rFonts w:ascii="Arial" w:cs="Arial" w:eastAsia="Arial" w:hAnsi="Arial"/>
                  <w:sz w:val="17"/>
                  <w:szCs w:val="17"/>
                  <w:color w:val="0000FF"/>
                  <w:w w:val="97"/>
                </w:rPr>
                <w:t>among the Khosla Ventures Acquisition Co. II, the Persons set</w:t>
              </w:r>
            </w:hyperlink>
          </w:p>
        </w:tc>
        <w:tc>
          <w:tcPr>
            <w:tcW w:w="8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4"/>
              </w:rPr>
            </w:pPr>
            <w:hyperlink r:id="rId141">
              <w:r>
                <w:rPr>
                  <w:rFonts w:ascii="Arial" w:cs="Arial" w:eastAsia="Arial" w:hAnsi="Arial"/>
                  <w:sz w:val="17"/>
                  <w:szCs w:val="17"/>
                  <w:color w:val="0000FF"/>
                  <w:w w:val="94"/>
                </w:rPr>
                <w:t>forth on Schedule I thereto, and Nextdoor, Inc.</w:t>
              </w:r>
            </w:hyperlink>
          </w:p>
        </w:tc>
        <w:tc>
          <w:tcPr>
            <w:tcW w:w="112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6"/>
          </w:tcPr>
          <w:p>
            <w:pPr>
              <w:spacing w:after="0"/>
              <w:rPr>
                <w:sz w:val="13"/>
                <w:szCs w:val="13"/>
                <w:color w:val="auto"/>
              </w:rPr>
            </w:pPr>
          </w:p>
        </w:tc>
        <w:tc>
          <w:tcPr>
            <w:tcW w:w="14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27"/>
          </w:tcPr>
          <w:p>
            <w:pPr>
              <w:spacing w:after="0" w:line="205" w:lineRule="exact"/>
              <w:rPr>
                <w:rFonts w:ascii="Arial" w:cs="Arial" w:eastAsia="Arial" w:hAnsi="Arial"/>
                <w:sz w:val="18"/>
                <w:szCs w:val="18"/>
                <w:color w:val="0000FF"/>
              </w:rPr>
            </w:pPr>
            <w:hyperlink r:id="rId142">
              <w:r>
                <w:rPr>
                  <w:rFonts w:ascii="Arial" w:cs="Arial" w:eastAsia="Arial" w:hAnsi="Arial"/>
                  <w:sz w:val="18"/>
                  <w:szCs w:val="18"/>
                  <w:color w:val="0000FF"/>
                </w:rPr>
                <w:t>Form of Subscription Agreement</w:t>
              </w:r>
            </w:hyperlink>
          </w:p>
        </w:tc>
        <w:tc>
          <w:tcPr>
            <w:tcW w:w="14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S-4</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17"/>
                <w:szCs w:val="17"/>
                <w:color w:val="auto"/>
              </w:rPr>
            </w:pPr>
          </w:p>
        </w:tc>
        <w:tc>
          <w:tcPr>
            <w:tcW w:w="2060" w:type="dxa"/>
            <w:vAlign w:val="bottom"/>
          </w:tcPr>
          <w:p>
            <w:pPr>
              <w:jc w:val="center"/>
              <w:spacing w:after="0" w:line="205" w:lineRule="exact"/>
              <w:rPr>
                <w:sz w:val="20"/>
                <w:szCs w:val="20"/>
                <w:color w:val="auto"/>
              </w:rPr>
            </w:pPr>
            <w:r>
              <w:rPr>
                <w:rFonts w:ascii="Arial" w:cs="Arial" w:eastAsia="Arial" w:hAnsi="Arial"/>
                <w:sz w:val="18"/>
                <w:szCs w:val="18"/>
                <w:color w:val="auto"/>
                <w:w w:val="87"/>
              </w:rPr>
              <w:t>July 20, 2021</w:t>
            </w: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10.5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bottom w:val="single" w:sz="8" w:color="0000FF"/>
            </w:tcBorders>
            <w:gridSpan w:val="14"/>
          </w:tcPr>
          <w:p>
            <w:pPr>
              <w:spacing w:after="0" w:line="205" w:lineRule="exact"/>
              <w:rPr>
                <w:rFonts w:ascii="Arial" w:cs="Arial" w:eastAsia="Arial" w:hAnsi="Arial"/>
                <w:sz w:val="18"/>
                <w:szCs w:val="18"/>
                <w:color w:val="0000FF"/>
                <w:w w:val="87"/>
              </w:rPr>
            </w:pPr>
            <w:hyperlink r:id="rId143">
              <w:r>
                <w:rPr>
                  <w:rFonts w:ascii="Arial" w:cs="Arial" w:eastAsia="Arial" w:hAnsi="Arial"/>
                  <w:sz w:val="18"/>
                  <w:szCs w:val="18"/>
                  <w:color w:val="0000FF"/>
                  <w:w w:val="87"/>
                </w:rPr>
                <w:t>Amended and Restated Registration Rights Agreement, dated</w:t>
              </w:r>
            </w:hyperlink>
          </w:p>
        </w:tc>
        <w:tc>
          <w:tcPr>
            <w:tcW w:w="480" w:type="dxa"/>
            <w:vAlign w:val="bottom"/>
            <w:gridSpan w:val="13"/>
          </w:tcPr>
          <w:p>
            <w:pPr>
              <w:spacing w:after="0"/>
              <w:rPr>
                <w:sz w:val="17"/>
                <w:szCs w:val="17"/>
                <w:color w:val="auto"/>
              </w:rPr>
            </w:pPr>
          </w:p>
        </w:tc>
        <w:tc>
          <w:tcPr>
            <w:tcW w:w="14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8-K</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17"/>
                <w:szCs w:val="17"/>
                <w:color w:val="auto"/>
              </w:rPr>
            </w:pPr>
          </w:p>
        </w:tc>
        <w:tc>
          <w:tcPr>
            <w:tcW w:w="2060" w:type="dxa"/>
            <w:vAlign w:val="bottom"/>
          </w:tcPr>
          <w:p>
            <w:pPr>
              <w:jc w:val="center"/>
              <w:spacing w:after="0" w:line="205" w:lineRule="exact"/>
              <w:rPr>
                <w:sz w:val="20"/>
                <w:szCs w:val="20"/>
                <w:color w:val="auto"/>
              </w:rPr>
            </w:pPr>
            <w:r>
              <w:rPr>
                <w:rFonts w:ascii="Arial" w:cs="Arial" w:eastAsia="Arial" w:hAnsi="Arial"/>
                <w:sz w:val="18"/>
                <w:szCs w:val="18"/>
                <w:color w:val="auto"/>
                <w:w w:val="89"/>
              </w:rPr>
              <w:t>November 12, 2021</w:t>
            </w: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27"/>
          </w:tcPr>
          <w:p>
            <w:pPr>
              <w:spacing w:after="0" w:line="152" w:lineRule="exact"/>
              <w:rPr>
                <w:rFonts w:ascii="Arial" w:cs="Arial" w:eastAsia="Arial" w:hAnsi="Arial"/>
                <w:sz w:val="17"/>
                <w:szCs w:val="17"/>
                <w:color w:val="0000FF"/>
              </w:rPr>
            </w:pPr>
            <w:hyperlink r:id="rId143">
              <w:r>
                <w:rPr>
                  <w:rFonts w:ascii="Arial" w:cs="Arial" w:eastAsia="Arial" w:hAnsi="Arial"/>
                  <w:sz w:val="17"/>
                  <w:szCs w:val="17"/>
                  <w:color w:val="0000FF"/>
                </w:rPr>
                <w:t>November 5, 2021, by and among Nextdoor Holdings, Inc. and</w:t>
              </w:r>
            </w:hyperlink>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1"/>
              </w:rPr>
            </w:pPr>
            <w:hyperlink r:id="rId143">
              <w:r>
                <w:rPr>
                  <w:rFonts w:ascii="Arial" w:cs="Arial" w:eastAsia="Arial" w:hAnsi="Arial"/>
                  <w:sz w:val="17"/>
                  <w:szCs w:val="17"/>
                  <w:color w:val="0000FF"/>
                  <w:w w:val="91"/>
                </w:rPr>
                <w:t>the other parties thereto</w:t>
              </w:r>
            </w:hyperlink>
          </w:p>
        </w:tc>
        <w:tc>
          <w:tcPr>
            <w:tcW w:w="2800" w:type="dxa"/>
            <w:vAlign w:val="bottom"/>
            <w:tcBorders>
              <w:top w:val="single" w:sz="8" w:color="0000FF"/>
            </w:tcBorders>
            <w:gridSpan w:val="15"/>
          </w:tcPr>
          <w:p>
            <w:pPr>
              <w:spacing w:after="0"/>
              <w:rPr>
                <w:sz w:val="13"/>
                <w:szCs w:val="13"/>
                <w:color w:val="auto"/>
              </w:rPr>
            </w:pPr>
          </w:p>
        </w:tc>
        <w:tc>
          <w:tcPr>
            <w:tcW w:w="220" w:type="dxa"/>
            <w:vAlign w:val="bottom"/>
            <w:gridSpan w:val="6"/>
          </w:tcPr>
          <w:p>
            <w:pPr>
              <w:spacing w:after="0"/>
              <w:rPr>
                <w:sz w:val="13"/>
                <w:szCs w:val="13"/>
                <w:color w:val="auto"/>
              </w:rPr>
            </w:pPr>
          </w:p>
        </w:tc>
        <w:tc>
          <w:tcPr>
            <w:tcW w:w="14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27"/>
          </w:tcPr>
          <w:p>
            <w:pPr>
              <w:spacing w:after="0" w:line="205" w:lineRule="exact"/>
              <w:rPr>
                <w:rFonts w:ascii="Arial" w:cs="Arial" w:eastAsia="Arial" w:hAnsi="Arial"/>
                <w:sz w:val="18"/>
                <w:szCs w:val="18"/>
                <w:color w:val="0000FF"/>
              </w:rPr>
            </w:pPr>
            <w:hyperlink r:id="rId144">
              <w:r>
                <w:rPr>
                  <w:rFonts w:ascii="Arial" w:cs="Arial" w:eastAsia="Arial" w:hAnsi="Arial"/>
                  <w:sz w:val="18"/>
                  <w:szCs w:val="18"/>
                  <w:color w:val="0000FF"/>
                </w:rPr>
                <w:t>2008 Equity Incentive Plan of Nextdoor, Inc.</w:t>
              </w:r>
            </w:hyperlink>
          </w:p>
        </w:tc>
        <w:tc>
          <w:tcPr>
            <w:tcW w:w="14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S-4</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88"/>
              </w:rPr>
              <w:t>10.24</w:t>
            </w:r>
          </w:p>
        </w:tc>
        <w:tc>
          <w:tcPr>
            <w:tcW w:w="100" w:type="dxa"/>
            <w:vAlign w:val="bottom"/>
          </w:tcPr>
          <w:p>
            <w:pPr>
              <w:spacing w:after="0"/>
              <w:rPr>
                <w:sz w:val="17"/>
                <w:szCs w:val="17"/>
                <w:color w:val="auto"/>
              </w:rPr>
            </w:pPr>
          </w:p>
        </w:tc>
        <w:tc>
          <w:tcPr>
            <w:tcW w:w="2060" w:type="dxa"/>
            <w:vAlign w:val="bottom"/>
          </w:tcPr>
          <w:p>
            <w:pPr>
              <w:jc w:val="center"/>
              <w:spacing w:after="0" w:line="205" w:lineRule="exact"/>
              <w:rPr>
                <w:sz w:val="20"/>
                <w:szCs w:val="20"/>
                <w:color w:val="auto"/>
              </w:rPr>
            </w:pPr>
            <w:r>
              <w:rPr>
                <w:rFonts w:ascii="Arial" w:cs="Arial" w:eastAsia="Arial" w:hAnsi="Arial"/>
                <w:sz w:val="18"/>
                <w:szCs w:val="18"/>
                <w:color w:val="auto"/>
                <w:w w:val="87"/>
              </w:rPr>
              <w:t>July 20, 2021</w:t>
            </w: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1520" w:type="dxa"/>
            <w:vAlign w:val="bottom"/>
            <w:gridSpan w:val="1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05"/>
        </w:trPr>
        <w:tc>
          <w:tcPr>
            <w:tcW w:w="1340" w:type="dxa"/>
            <w:vAlign w:val="bottom"/>
          </w:tcPr>
          <w:p>
            <w:pPr>
              <w:ind w:left="20"/>
              <w:spacing w:after="0" w:line="205" w:lineRule="exact"/>
              <w:rPr>
                <w:sz w:val="20"/>
                <w:szCs w:val="20"/>
                <w:color w:val="auto"/>
              </w:rPr>
            </w:pPr>
            <w:r>
              <w:rPr>
                <w:rFonts w:ascii="Arial" w:cs="Arial" w:eastAsia="Arial" w:hAnsi="Arial"/>
                <w:sz w:val="18"/>
                <w:szCs w:val="18"/>
                <w:color w:val="auto"/>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gridSpan w:val="27"/>
          </w:tcPr>
          <w:p>
            <w:pPr>
              <w:spacing w:after="0" w:line="205"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Form of Early Exercise Stock Option Grant under the 2008 Equity</w:t>
              </w:r>
            </w:hyperlink>
          </w:p>
        </w:tc>
        <w:tc>
          <w:tcPr>
            <w:tcW w:w="14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S-4</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88"/>
              </w:rPr>
              <w:t>10.26</w:t>
            </w:r>
          </w:p>
        </w:tc>
        <w:tc>
          <w:tcPr>
            <w:tcW w:w="100" w:type="dxa"/>
            <w:vAlign w:val="bottom"/>
          </w:tcPr>
          <w:p>
            <w:pPr>
              <w:spacing w:after="0"/>
              <w:rPr>
                <w:sz w:val="17"/>
                <w:szCs w:val="17"/>
                <w:color w:val="auto"/>
              </w:rPr>
            </w:pPr>
          </w:p>
        </w:tc>
        <w:tc>
          <w:tcPr>
            <w:tcW w:w="2060" w:type="dxa"/>
            <w:vAlign w:val="bottom"/>
          </w:tcPr>
          <w:p>
            <w:pPr>
              <w:jc w:val="center"/>
              <w:spacing w:after="0" w:line="205" w:lineRule="exact"/>
              <w:rPr>
                <w:sz w:val="20"/>
                <w:szCs w:val="20"/>
                <w:color w:val="auto"/>
              </w:rPr>
            </w:pPr>
            <w:r>
              <w:rPr>
                <w:rFonts w:ascii="Arial" w:cs="Arial" w:eastAsia="Arial" w:hAnsi="Arial"/>
                <w:sz w:val="18"/>
                <w:szCs w:val="18"/>
                <w:color w:val="auto"/>
                <w:w w:val="87"/>
              </w:rPr>
              <w:t>July 20, 2021</w:t>
            </w:r>
          </w:p>
        </w:tc>
      </w:tr>
      <w:tr>
        <w:trPr>
          <w:trHeight w:val="152"/>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3"/>
              </w:rPr>
            </w:pPr>
            <w:hyperlink r:id="rId145">
              <w:r>
                <w:rPr>
                  <w:rFonts w:ascii="Arial" w:cs="Arial" w:eastAsia="Arial" w:hAnsi="Arial"/>
                  <w:sz w:val="17"/>
                  <w:szCs w:val="17"/>
                  <w:color w:val="0000FF"/>
                  <w:w w:val="93"/>
                </w:rPr>
                <w:t>Incentive Plan</w:t>
              </w:r>
            </w:hyperlink>
          </w:p>
        </w:tc>
        <w:tc>
          <w:tcPr>
            <w:tcW w:w="3680" w:type="dxa"/>
            <w:vAlign w:val="bottom"/>
            <w:tcBorders>
              <w:top w:val="single" w:sz="8" w:color="0000FF"/>
            </w:tcBorders>
            <w:gridSpan w:val="22"/>
          </w:tcPr>
          <w:p>
            <w:pPr>
              <w:spacing w:after="0"/>
              <w:rPr>
                <w:sz w:val="13"/>
                <w:szCs w:val="13"/>
                <w:color w:val="auto"/>
              </w:rPr>
            </w:pPr>
          </w:p>
        </w:tc>
        <w:tc>
          <w:tcPr>
            <w:tcW w:w="14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10.8+</w:t>
            </w:r>
          </w:p>
        </w:tc>
        <w:tc>
          <w:tcPr>
            <w:tcW w:w="4800" w:type="dxa"/>
            <w:vAlign w:val="bottom"/>
            <w:gridSpan w:val="36"/>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Form of Stock Option Grant under the 2008 Equity Incentive Plan</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760" w:type="dxa"/>
            <w:vAlign w:val="bottom"/>
            <w:tcBorders>
              <w:top w:val="single" w:sz="8" w:color="0000FF"/>
            </w:tcBorders>
            <w:gridSpan w:val="34"/>
          </w:tcPr>
          <w:p>
            <w:pPr>
              <w:spacing w:after="0" w:line="152" w:lineRule="exact"/>
              <w:rPr>
                <w:rFonts w:ascii="Arial" w:cs="Arial" w:eastAsia="Arial" w:hAnsi="Arial"/>
                <w:sz w:val="17"/>
                <w:szCs w:val="17"/>
                <w:color w:val="0000FF"/>
              </w:rPr>
            </w:pPr>
            <w:hyperlink r:id="rId147">
              <w:r>
                <w:rPr>
                  <w:rFonts w:ascii="Arial" w:cs="Arial" w:eastAsia="Arial" w:hAnsi="Arial"/>
                  <w:sz w:val="17"/>
                  <w:szCs w:val="17"/>
                  <w:color w:val="0000FF"/>
                </w:rPr>
                <w:t>of Nextdoor,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10.9+</w:t>
            </w:r>
          </w:p>
        </w:tc>
        <w:tc>
          <w:tcPr>
            <w:tcW w:w="3180" w:type="dxa"/>
            <w:vAlign w:val="bottom"/>
            <w:tcBorders>
              <w:bottom w:val="single" w:sz="8" w:color="0000FF"/>
            </w:tcBorders>
            <w:gridSpan w:val="15"/>
          </w:tcPr>
          <w:p>
            <w:pPr>
              <w:spacing w:after="0" w:line="205" w:lineRule="exact"/>
              <w:rPr>
                <w:rFonts w:ascii="Arial" w:cs="Arial" w:eastAsia="Arial" w:hAnsi="Arial"/>
                <w:sz w:val="18"/>
                <w:szCs w:val="18"/>
                <w:color w:val="0000FF"/>
                <w:w w:val="90"/>
              </w:rPr>
            </w:pPr>
            <w:hyperlink r:id="rId148">
              <w:r>
                <w:rPr>
                  <w:rFonts w:ascii="Arial" w:cs="Arial" w:eastAsia="Arial" w:hAnsi="Arial"/>
                  <w:sz w:val="18"/>
                  <w:szCs w:val="18"/>
                  <w:color w:val="0000FF"/>
                  <w:w w:val="90"/>
                </w:rPr>
                <w:t>2018 Equity Incentive Plan of Nextdoor, Inc.</w:t>
              </w:r>
            </w:hyperlink>
          </w:p>
        </w:tc>
        <w:tc>
          <w:tcPr>
            <w:tcW w:w="16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10.10+</w:t>
            </w:r>
          </w:p>
        </w:tc>
        <w:tc>
          <w:tcPr>
            <w:tcW w:w="4800" w:type="dxa"/>
            <w:vAlign w:val="bottom"/>
            <w:gridSpan w:val="36"/>
          </w:tcPr>
          <w:p>
            <w:pPr>
              <w:spacing w:after="0" w:line="205"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Form of Early Exercise Stock Option Grant under the 2018 Equity</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780" w:type="dxa"/>
            <w:vAlign w:val="bottom"/>
            <w:tcBorders>
              <w:top w:val="single" w:sz="8" w:color="0000FF"/>
            </w:tcBorders>
            <w:gridSpan w:val="35"/>
          </w:tcPr>
          <w:p>
            <w:pPr>
              <w:spacing w:after="0" w:line="152" w:lineRule="exact"/>
              <w:rPr>
                <w:rFonts w:ascii="Arial" w:cs="Arial" w:eastAsia="Arial" w:hAnsi="Arial"/>
                <w:sz w:val="17"/>
                <w:szCs w:val="17"/>
                <w:color w:val="0000FF"/>
              </w:rPr>
            </w:pPr>
            <w:hyperlink r:id="rId149">
              <w:r>
                <w:rPr>
                  <w:rFonts w:ascii="Arial" w:cs="Arial" w:eastAsia="Arial" w:hAnsi="Arial"/>
                  <w:sz w:val="17"/>
                  <w:szCs w:val="17"/>
                  <w:color w:val="0000FF"/>
                </w:rPr>
                <w:t>Incentive Plan of Nextdoor, Inc.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10.11+</w:t>
            </w:r>
          </w:p>
        </w:tc>
        <w:tc>
          <w:tcPr>
            <w:tcW w:w="4800" w:type="dxa"/>
            <w:vAlign w:val="bottom"/>
            <w:gridSpan w:val="36"/>
          </w:tcPr>
          <w:p>
            <w:pPr>
              <w:spacing w:after="0" w:line="205" w:lineRule="exact"/>
              <w:rPr>
                <w:rFonts w:ascii="Arial" w:cs="Arial" w:eastAsia="Arial" w:hAnsi="Arial"/>
                <w:sz w:val="18"/>
                <w:szCs w:val="18"/>
                <w:color w:val="0000FF"/>
                <w:w w:val="92"/>
              </w:rPr>
            </w:pPr>
            <w:hyperlink r:id="rId150">
              <w:r>
                <w:rPr>
                  <w:rFonts w:ascii="Arial" w:cs="Arial" w:eastAsia="Arial" w:hAnsi="Arial"/>
                  <w:sz w:val="18"/>
                  <w:szCs w:val="18"/>
                  <w:color w:val="0000FF"/>
                  <w:w w:val="92"/>
                </w:rPr>
                <w:t>Form of Stock Option Grant under the 2018 Equity Incentive Plan</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760" w:type="dxa"/>
            <w:vAlign w:val="bottom"/>
            <w:tcBorders>
              <w:top w:val="single" w:sz="8" w:color="0000FF"/>
            </w:tcBorders>
            <w:gridSpan w:val="34"/>
          </w:tcPr>
          <w:p>
            <w:pPr>
              <w:spacing w:after="0" w:line="152" w:lineRule="exact"/>
              <w:rPr>
                <w:rFonts w:ascii="Arial" w:cs="Arial" w:eastAsia="Arial" w:hAnsi="Arial"/>
                <w:sz w:val="17"/>
                <w:szCs w:val="17"/>
                <w:color w:val="0000FF"/>
              </w:rPr>
            </w:pPr>
            <w:hyperlink r:id="rId150">
              <w:r>
                <w:rPr>
                  <w:rFonts w:ascii="Arial" w:cs="Arial" w:eastAsia="Arial" w:hAnsi="Arial"/>
                  <w:sz w:val="17"/>
                  <w:szCs w:val="17"/>
                  <w:color w:val="0000FF"/>
                </w:rPr>
                <w:t>of Nextdoor, Inc.</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10.12+</w:t>
            </w:r>
          </w:p>
        </w:tc>
        <w:tc>
          <w:tcPr>
            <w:tcW w:w="4800" w:type="dxa"/>
            <w:vAlign w:val="bottom"/>
            <w:gridSpan w:val="36"/>
          </w:tcPr>
          <w:p>
            <w:pPr>
              <w:spacing w:after="0" w:line="205" w:lineRule="exact"/>
              <w:rPr>
                <w:rFonts w:ascii="Arial" w:cs="Arial" w:eastAsia="Arial" w:hAnsi="Arial"/>
                <w:sz w:val="18"/>
                <w:szCs w:val="18"/>
                <w:color w:val="0000FF"/>
                <w:w w:val="93"/>
              </w:rPr>
            </w:pPr>
            <w:hyperlink r:id="rId151">
              <w:r>
                <w:rPr>
                  <w:rFonts w:ascii="Arial" w:cs="Arial" w:eastAsia="Arial" w:hAnsi="Arial"/>
                  <w:sz w:val="18"/>
                  <w:szCs w:val="18"/>
                  <w:color w:val="0000FF"/>
                  <w:w w:val="93"/>
                </w:rPr>
                <w:t>Form of Restricted Stock Unit Award Agreement under the 2018</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11"/>
          </w:tcPr>
          <w:p>
            <w:pPr>
              <w:spacing w:after="0" w:line="152" w:lineRule="exact"/>
              <w:rPr>
                <w:rFonts w:ascii="Arial" w:cs="Arial" w:eastAsia="Arial" w:hAnsi="Arial"/>
                <w:sz w:val="17"/>
                <w:szCs w:val="17"/>
                <w:color w:val="0000FF"/>
                <w:w w:val="95"/>
              </w:rPr>
            </w:pPr>
            <w:hyperlink r:id="rId151">
              <w:r>
                <w:rPr>
                  <w:rFonts w:ascii="Arial" w:cs="Arial" w:eastAsia="Arial" w:hAnsi="Arial"/>
                  <w:sz w:val="17"/>
                  <w:szCs w:val="17"/>
                  <w:color w:val="0000FF"/>
                  <w:w w:val="95"/>
                </w:rPr>
                <w:t>Equity Incentive Plan of Nextdoor, Inc.</w:t>
              </w:r>
            </w:hyperlink>
          </w:p>
        </w:tc>
        <w:tc>
          <w:tcPr>
            <w:tcW w:w="18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10.13+</w:t>
            </w:r>
          </w:p>
        </w:tc>
        <w:tc>
          <w:tcPr>
            <w:tcW w:w="4800" w:type="dxa"/>
            <w:vAlign w:val="bottom"/>
            <w:gridSpan w:val="36"/>
          </w:tcPr>
          <w:p>
            <w:pPr>
              <w:spacing w:after="0" w:line="205" w:lineRule="exact"/>
              <w:rPr>
                <w:rFonts w:ascii="Arial" w:cs="Arial" w:eastAsia="Arial" w:hAnsi="Arial"/>
                <w:sz w:val="18"/>
                <w:szCs w:val="18"/>
                <w:color w:val="0000FF"/>
              </w:rPr>
            </w:pPr>
            <w:hyperlink r:id="rId152">
              <w:r>
                <w:rPr>
                  <w:rFonts w:ascii="Arial" w:cs="Arial" w:eastAsia="Arial" w:hAnsi="Arial"/>
                  <w:sz w:val="18"/>
                  <w:szCs w:val="18"/>
                  <w:color w:val="0000FF"/>
                </w:rPr>
                <w:t>Nextdoor Holdings, Inc. 2021 Equity Incentive Plan</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10.14+</w:t>
            </w:r>
          </w:p>
        </w:tc>
        <w:tc>
          <w:tcPr>
            <w:tcW w:w="4800" w:type="dxa"/>
            <w:vAlign w:val="bottom"/>
            <w:gridSpan w:val="36"/>
          </w:tcPr>
          <w:p>
            <w:pPr>
              <w:spacing w:after="0" w:line="205" w:lineRule="exact"/>
              <w:rPr>
                <w:rFonts w:ascii="Arial" w:cs="Arial" w:eastAsia="Arial" w:hAnsi="Arial"/>
                <w:sz w:val="18"/>
                <w:szCs w:val="18"/>
                <w:color w:val="0000FF"/>
                <w:w w:val="94"/>
              </w:rPr>
            </w:pPr>
            <w:hyperlink r:id="rId153">
              <w:r>
                <w:rPr>
                  <w:rFonts w:ascii="Arial" w:cs="Arial" w:eastAsia="Arial" w:hAnsi="Arial"/>
                  <w:sz w:val="18"/>
                  <w:szCs w:val="18"/>
                  <w:color w:val="0000FF"/>
                  <w:w w:val="94"/>
                </w:rPr>
                <w:t>Form of Stock Option Agreement under Nextdoor Holdings, Inc.</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62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153">
              <w:r>
                <w:rPr>
                  <w:rFonts w:ascii="Arial" w:cs="Arial" w:eastAsia="Arial" w:hAnsi="Arial"/>
                  <w:sz w:val="17"/>
                  <w:szCs w:val="17"/>
                  <w:color w:val="0000FF"/>
                </w:rPr>
                <w:t>Equity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10.15+</w:t>
            </w:r>
          </w:p>
        </w:tc>
        <w:tc>
          <w:tcPr>
            <w:tcW w:w="4800" w:type="dxa"/>
            <w:vAlign w:val="bottom"/>
            <w:gridSpan w:val="36"/>
          </w:tcPr>
          <w:p>
            <w:pPr>
              <w:spacing w:after="0" w:line="205" w:lineRule="exact"/>
              <w:rPr>
                <w:rFonts w:ascii="Arial" w:cs="Arial" w:eastAsia="Arial" w:hAnsi="Arial"/>
                <w:sz w:val="18"/>
                <w:szCs w:val="18"/>
                <w:color w:val="0000FF"/>
                <w:w w:val="93"/>
              </w:rPr>
            </w:pPr>
            <w:hyperlink r:id="rId154">
              <w:r>
                <w:rPr>
                  <w:rFonts w:ascii="Arial" w:cs="Arial" w:eastAsia="Arial" w:hAnsi="Arial"/>
                  <w:sz w:val="18"/>
                  <w:szCs w:val="18"/>
                  <w:color w:val="0000FF"/>
                  <w:w w:val="93"/>
                </w:rPr>
                <w:t>Form of Restricted Stock Unit Award Agreement under Nextdoor</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w w:val="96"/>
              </w:rPr>
            </w:pPr>
            <w:hyperlink r:id="rId154">
              <w:r>
                <w:rPr>
                  <w:rFonts w:ascii="Arial" w:cs="Arial" w:eastAsia="Arial" w:hAnsi="Arial"/>
                  <w:sz w:val="17"/>
                  <w:szCs w:val="17"/>
                  <w:color w:val="0000FF"/>
                  <w:w w:val="96"/>
                </w:rPr>
                <w:t>Holdings, Inc. Equity Incentive Plan</w:t>
              </w:r>
            </w:hyperlink>
          </w:p>
        </w:tc>
        <w:tc>
          <w:tcPr>
            <w:tcW w:w="21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10.16+</w:t>
            </w:r>
          </w:p>
        </w:tc>
        <w:tc>
          <w:tcPr>
            <w:tcW w:w="4380" w:type="dxa"/>
            <w:vAlign w:val="bottom"/>
            <w:tcBorders>
              <w:bottom w:val="single" w:sz="8" w:color="0000FF"/>
            </w:tcBorders>
            <w:gridSpan w:val="22"/>
          </w:tcPr>
          <w:p>
            <w:pPr>
              <w:spacing w:after="0" w:line="205"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Nextdoor Holdings, Inc. 2021 Employee Stock Purchase Plan</w:t>
              </w:r>
            </w:hyperlink>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10.17</w:t>
            </w:r>
          </w:p>
        </w:tc>
        <w:tc>
          <w:tcPr>
            <w:tcW w:w="4800" w:type="dxa"/>
            <w:vAlign w:val="bottom"/>
            <w:gridSpan w:val="36"/>
          </w:tcPr>
          <w:p>
            <w:pPr>
              <w:spacing w:after="0" w:line="205" w:lineRule="exact"/>
              <w:rPr>
                <w:rFonts w:ascii="Arial" w:cs="Arial" w:eastAsia="Arial" w:hAnsi="Arial"/>
                <w:sz w:val="18"/>
                <w:szCs w:val="18"/>
                <w:color w:val="0000FF"/>
                <w:w w:val="96"/>
              </w:rPr>
            </w:pPr>
            <w:hyperlink r:id="rId136">
              <w:r>
                <w:rPr>
                  <w:rFonts w:ascii="Arial" w:cs="Arial" w:eastAsia="Arial" w:hAnsi="Arial"/>
                  <w:sz w:val="18"/>
                  <w:szCs w:val="18"/>
                  <w:color w:val="0000FF"/>
                  <w:w w:val="96"/>
                </w:rPr>
                <w:t>Form of KVSB Equityholders Lock-Up Agreement (included as</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54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136">
              <w:r>
                <w:rPr>
                  <w:rFonts w:ascii="Arial" w:cs="Arial" w:eastAsia="Arial" w:hAnsi="Arial"/>
                  <w:sz w:val="17"/>
                  <w:szCs w:val="17"/>
                  <w:color w:val="0000FF"/>
                </w:rPr>
                <w:t>Annex K to the registration statement on Form S-4)</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10.18</w:t>
            </w:r>
          </w:p>
        </w:tc>
        <w:tc>
          <w:tcPr>
            <w:tcW w:w="4800" w:type="dxa"/>
            <w:vAlign w:val="bottom"/>
            <w:gridSpan w:val="36"/>
          </w:tcPr>
          <w:p>
            <w:pPr>
              <w:spacing w:after="0" w:line="205" w:lineRule="exact"/>
              <w:rPr>
                <w:rFonts w:ascii="Arial" w:cs="Arial" w:eastAsia="Arial" w:hAnsi="Arial"/>
                <w:sz w:val="18"/>
                <w:szCs w:val="18"/>
                <w:color w:val="0000FF"/>
                <w:w w:val="97"/>
              </w:rPr>
            </w:pPr>
            <w:hyperlink r:id="rId156">
              <w:r>
                <w:rPr>
                  <w:rFonts w:ascii="Arial" w:cs="Arial" w:eastAsia="Arial" w:hAnsi="Arial"/>
                  <w:sz w:val="18"/>
                  <w:szCs w:val="18"/>
                  <w:color w:val="0000FF"/>
                  <w:w w:val="97"/>
                </w:rPr>
                <w:t>Letter Agreement, dated as of March 23, 2021, by and among</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360" w:type="dxa"/>
            <w:vAlign w:val="bottom"/>
            <w:tcBorders>
              <w:top w:val="single" w:sz="8" w:color="0000FF"/>
            </w:tcBorders>
            <w:gridSpan w:val="21"/>
          </w:tcPr>
          <w:p>
            <w:pPr>
              <w:spacing w:after="0" w:line="152" w:lineRule="exact"/>
              <w:rPr>
                <w:rFonts w:ascii="Arial" w:cs="Arial" w:eastAsia="Arial" w:hAnsi="Arial"/>
                <w:sz w:val="17"/>
                <w:szCs w:val="17"/>
                <w:color w:val="0000FF"/>
                <w:w w:val="98"/>
              </w:rPr>
            </w:pPr>
            <w:hyperlink r:id="rId156">
              <w:r>
                <w:rPr>
                  <w:rFonts w:ascii="Arial" w:cs="Arial" w:eastAsia="Arial" w:hAnsi="Arial"/>
                  <w:sz w:val="17"/>
                  <w:szCs w:val="17"/>
                  <w:color w:val="0000FF"/>
                  <w:w w:val="98"/>
                </w:rPr>
                <w:t>Khosla Ventures Acquisition Co. II, Khosla Ventures SPAC</w:t>
              </w:r>
            </w:hyperlink>
          </w:p>
        </w:tc>
        <w:tc>
          <w:tcPr>
            <w:tcW w:w="8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20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56">
              <w:r>
                <w:rPr>
                  <w:rFonts w:ascii="Arial" w:cs="Arial" w:eastAsia="Arial" w:hAnsi="Arial"/>
                  <w:sz w:val="17"/>
                  <w:szCs w:val="17"/>
                  <w:color w:val="0000FF"/>
                </w:rPr>
                <w:t>Sponsor II LLC and the other parties thereto</w:t>
              </w:r>
            </w:hyperlink>
          </w:p>
        </w:tc>
        <w:tc>
          <w:tcPr>
            <w:tcW w:w="24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10.19+</w:t>
            </w:r>
          </w:p>
        </w:tc>
        <w:tc>
          <w:tcPr>
            <w:tcW w:w="2620" w:type="dxa"/>
            <w:vAlign w:val="bottom"/>
            <w:tcBorders>
              <w:top w:val="single" w:sz="8" w:color="0000FF"/>
              <w:bottom w:val="single" w:sz="8" w:color="0000FF"/>
            </w:tcBorders>
            <w:gridSpan w:val="10"/>
          </w:tcPr>
          <w:p>
            <w:pPr>
              <w:spacing w:after="0" w:line="205" w:lineRule="exact"/>
              <w:rPr>
                <w:rFonts w:ascii="Arial" w:cs="Arial" w:eastAsia="Arial" w:hAnsi="Arial"/>
                <w:sz w:val="18"/>
                <w:szCs w:val="18"/>
                <w:color w:val="0000FF"/>
                <w:w w:val="89"/>
              </w:rPr>
            </w:pPr>
            <w:hyperlink r:id="rId157">
              <w:r>
                <w:rPr>
                  <w:rFonts w:ascii="Arial" w:cs="Arial" w:eastAsia="Arial" w:hAnsi="Arial"/>
                  <w:sz w:val="18"/>
                  <w:szCs w:val="18"/>
                  <w:color w:val="0000FF"/>
                  <w:w w:val="89"/>
                </w:rPr>
                <w:t>Executive Offer Letter of Sarah Friar</w:t>
              </w:r>
            </w:hyperlink>
          </w:p>
        </w:tc>
        <w:tc>
          <w:tcPr>
            <w:tcW w:w="500" w:type="dxa"/>
            <w:vAlign w:val="bottom"/>
            <w:tcBorders>
              <w:top w:val="single" w:sz="8" w:color="0000FF"/>
            </w:tcBorders>
            <w:gridSpan w:val="4"/>
          </w:tcPr>
          <w:p>
            <w:pPr>
              <w:spacing w:after="0"/>
              <w:rPr>
                <w:sz w:val="17"/>
                <w:szCs w:val="17"/>
                <w:color w:val="auto"/>
              </w:rPr>
            </w:pPr>
          </w:p>
        </w:tc>
        <w:tc>
          <w:tcPr>
            <w:tcW w:w="16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10.20+</w:t>
            </w:r>
          </w:p>
        </w:tc>
        <w:tc>
          <w:tcPr>
            <w:tcW w:w="2880" w:type="dxa"/>
            <w:vAlign w:val="bottom"/>
            <w:tcBorders>
              <w:bottom w:val="single" w:sz="8" w:color="0000FF"/>
            </w:tcBorders>
            <w:gridSpan w:val="12"/>
          </w:tcPr>
          <w:p>
            <w:pPr>
              <w:spacing w:after="0" w:line="205"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Executive Offer Letter of Michael Doyle</w:t>
              </w:r>
            </w:hyperlink>
          </w:p>
        </w:tc>
        <w:tc>
          <w:tcPr>
            <w:tcW w:w="19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10.21+</w:t>
            </w:r>
          </w:p>
        </w:tc>
        <w:tc>
          <w:tcPr>
            <w:tcW w:w="4800" w:type="dxa"/>
            <w:vAlign w:val="bottom"/>
            <w:gridSpan w:val="36"/>
          </w:tcPr>
          <w:p>
            <w:pPr>
              <w:spacing w:after="0" w:line="205" w:lineRule="exact"/>
              <w:rPr>
                <w:rFonts w:ascii="Arial" w:cs="Arial" w:eastAsia="Arial" w:hAnsi="Arial"/>
                <w:sz w:val="18"/>
                <w:szCs w:val="18"/>
                <w:color w:val="0000FF"/>
              </w:rPr>
            </w:pPr>
            <w:hyperlink r:id="rId159">
              <w:r>
                <w:rPr>
                  <w:rFonts w:ascii="Arial" w:cs="Arial" w:eastAsia="Arial" w:hAnsi="Arial"/>
                  <w:sz w:val="18"/>
                  <w:szCs w:val="18"/>
                  <w:color w:val="0000FF"/>
                </w:rPr>
                <w:t>Executive Offer Letter of Heidi Anderson</w:t>
              </w:r>
            </w:hyperlink>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10.22+</w:t>
            </w:r>
          </w:p>
        </w:tc>
        <w:tc>
          <w:tcPr>
            <w:tcW w:w="2520" w:type="dxa"/>
            <w:vAlign w:val="bottom"/>
            <w:tcBorders>
              <w:top w:val="single" w:sz="8" w:color="0000FF"/>
              <w:bottom w:val="single" w:sz="8" w:color="0000FF"/>
            </w:tcBorders>
            <w:gridSpan w:val="8"/>
          </w:tcPr>
          <w:p>
            <w:pPr>
              <w:spacing w:after="0" w:line="205" w:lineRule="exact"/>
              <w:rPr>
                <w:rFonts w:ascii="Arial" w:cs="Arial" w:eastAsia="Arial" w:hAnsi="Arial"/>
                <w:sz w:val="18"/>
                <w:szCs w:val="18"/>
                <w:color w:val="0000FF"/>
                <w:w w:val="89"/>
              </w:rPr>
            </w:pPr>
            <w:hyperlink r:id="rId160">
              <w:r>
                <w:rPr>
                  <w:rFonts w:ascii="Arial" w:cs="Arial" w:eastAsia="Arial" w:hAnsi="Arial"/>
                  <w:sz w:val="18"/>
                  <w:szCs w:val="18"/>
                  <w:color w:val="0000FF"/>
                  <w:w w:val="89"/>
                </w:rPr>
                <w:t>Executive Offer Letter of John Orta</w:t>
              </w:r>
            </w:hyperlink>
          </w:p>
        </w:tc>
        <w:tc>
          <w:tcPr>
            <w:tcW w:w="420" w:type="dxa"/>
            <w:vAlign w:val="bottom"/>
            <w:tcBorders>
              <w:top w:val="single" w:sz="8" w:color="0000FF"/>
            </w:tcBorders>
            <w:gridSpan w:val="5"/>
          </w:tcPr>
          <w:p>
            <w:pPr>
              <w:spacing w:after="0"/>
              <w:rPr>
                <w:sz w:val="17"/>
                <w:szCs w:val="17"/>
                <w:color w:val="auto"/>
              </w:rPr>
            </w:pPr>
          </w:p>
        </w:tc>
        <w:tc>
          <w:tcPr>
            <w:tcW w:w="18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10.23+</w:t>
            </w:r>
          </w:p>
        </w:tc>
        <w:tc>
          <w:tcPr>
            <w:tcW w:w="4800" w:type="dxa"/>
            <w:vAlign w:val="bottom"/>
            <w:gridSpan w:val="36"/>
          </w:tcPr>
          <w:p>
            <w:pPr>
              <w:spacing w:after="0" w:line="205" w:lineRule="exact"/>
              <w:rPr>
                <w:rFonts w:ascii="Arial" w:cs="Arial" w:eastAsia="Arial" w:hAnsi="Arial"/>
                <w:sz w:val="18"/>
                <w:szCs w:val="18"/>
                <w:color w:val="0000FF"/>
              </w:rPr>
            </w:pPr>
            <w:hyperlink r:id="rId161">
              <w:r>
                <w:rPr>
                  <w:rFonts w:ascii="Arial" w:cs="Arial" w:eastAsia="Arial" w:hAnsi="Arial"/>
                  <w:sz w:val="18"/>
                  <w:szCs w:val="18"/>
                  <w:color w:val="0000FF"/>
                </w:rPr>
                <w:t>Form of Indemnity Agreement</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10.24+</w:t>
            </w:r>
          </w:p>
        </w:tc>
        <w:tc>
          <w:tcPr>
            <w:tcW w:w="3820" w:type="dxa"/>
            <w:vAlign w:val="bottom"/>
            <w:tcBorders>
              <w:bottom w:val="single" w:sz="8" w:color="0000FF"/>
            </w:tcBorders>
            <w:gridSpan w:val="18"/>
          </w:tcPr>
          <w:p>
            <w:pPr>
              <w:spacing w:after="0" w:line="205" w:lineRule="exact"/>
              <w:rPr>
                <w:rFonts w:ascii="Arial" w:cs="Arial" w:eastAsia="Arial" w:hAnsi="Arial"/>
                <w:sz w:val="18"/>
                <w:szCs w:val="18"/>
                <w:color w:val="0000FF"/>
                <w:w w:val="88"/>
              </w:rPr>
            </w:pPr>
            <w:hyperlink r:id="rId162">
              <w:r>
                <w:rPr>
                  <w:rFonts w:ascii="Arial" w:cs="Arial" w:eastAsia="Arial" w:hAnsi="Arial"/>
                  <w:sz w:val="18"/>
                  <w:szCs w:val="18"/>
                  <w:color w:val="0000FF"/>
                  <w:w w:val="88"/>
                </w:rPr>
                <w:t>Form of Change in Control and Severance Agreement</w:t>
              </w:r>
            </w:hyperlink>
          </w:p>
        </w:tc>
        <w:tc>
          <w:tcPr>
            <w:tcW w:w="9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21.1</w:t>
            </w:r>
          </w:p>
        </w:tc>
        <w:tc>
          <w:tcPr>
            <w:tcW w:w="4800" w:type="dxa"/>
            <w:vAlign w:val="bottom"/>
            <w:gridSpan w:val="36"/>
          </w:tcPr>
          <w:p>
            <w:pPr>
              <w:spacing w:after="0" w:line="205" w:lineRule="exact"/>
              <w:rPr>
                <w:rFonts w:ascii="Arial" w:cs="Arial" w:eastAsia="Arial" w:hAnsi="Arial"/>
                <w:sz w:val="18"/>
                <w:szCs w:val="18"/>
                <w:color w:val="0000FF"/>
              </w:rPr>
            </w:pPr>
            <w:hyperlink r:id="rId163">
              <w:r>
                <w:rPr>
                  <w:rFonts w:ascii="Arial" w:cs="Arial" w:eastAsia="Arial" w:hAnsi="Arial"/>
                  <w:sz w:val="18"/>
                  <w:szCs w:val="18"/>
                  <w:color w:val="0000FF"/>
                </w:rPr>
                <w:t>List of Subsidiaries</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gridSpan w:val="1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23.1*</w:t>
            </w:r>
          </w:p>
        </w:tc>
        <w:tc>
          <w:tcPr>
            <w:tcW w:w="4800" w:type="dxa"/>
            <w:vAlign w:val="bottom"/>
            <w:gridSpan w:val="36"/>
          </w:tcPr>
          <w:p>
            <w:pPr>
              <w:spacing w:after="0" w:line="205" w:lineRule="exact"/>
              <w:rPr>
                <w:rFonts w:ascii="Arial" w:cs="Arial" w:eastAsia="Arial" w:hAnsi="Arial"/>
                <w:sz w:val="18"/>
                <w:szCs w:val="18"/>
                <w:color w:val="0000FF"/>
                <w:w w:val="96"/>
              </w:rPr>
            </w:pPr>
            <w:hyperlink w:anchor="page120">
              <w:r>
                <w:rPr>
                  <w:rFonts w:ascii="Arial" w:cs="Arial" w:eastAsia="Arial" w:hAnsi="Arial"/>
                  <w:sz w:val="18"/>
                  <w:szCs w:val="18"/>
                  <w:color w:val="0000FF"/>
                  <w:w w:val="96"/>
                </w:rPr>
                <w:t>Consent of Ernst &amp; Young, LLP, independent registered public</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5"/>
              </w:rPr>
            </w:pPr>
            <w:hyperlink w:anchor="page120">
              <w:r>
                <w:rPr>
                  <w:rFonts w:ascii="Arial" w:cs="Arial" w:eastAsia="Arial" w:hAnsi="Arial"/>
                  <w:sz w:val="17"/>
                  <w:szCs w:val="17"/>
                  <w:color w:val="0000FF"/>
                  <w:w w:val="95"/>
                </w:rPr>
                <w:t>accounting firm</w:t>
              </w:r>
            </w:hyperlink>
          </w:p>
        </w:tc>
        <w:tc>
          <w:tcPr>
            <w:tcW w:w="3320" w:type="dxa"/>
            <w:vAlign w:val="bottom"/>
            <w:tcBorders>
              <w:top w:val="single" w:sz="8" w:color="0000FF"/>
            </w:tcBorders>
            <w:gridSpan w:val="21"/>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24.1*</w:t>
            </w:r>
          </w:p>
        </w:tc>
        <w:tc>
          <w:tcPr>
            <w:tcW w:w="4800" w:type="dxa"/>
            <w:vAlign w:val="bottom"/>
            <w:gridSpan w:val="36"/>
          </w:tcPr>
          <w:p>
            <w:pPr>
              <w:spacing w:after="0" w:line="205" w:lineRule="exact"/>
              <w:rPr>
                <w:rFonts w:ascii="Arial" w:cs="Arial" w:eastAsia="Arial" w:hAnsi="Arial"/>
                <w:sz w:val="18"/>
                <w:szCs w:val="18"/>
                <w:color w:val="0000FF"/>
              </w:rPr>
            </w:pPr>
            <w:hyperlink w:anchor="page107">
              <w:r>
                <w:rPr>
                  <w:rFonts w:ascii="Arial" w:cs="Arial" w:eastAsia="Arial" w:hAnsi="Arial"/>
                  <w:sz w:val="18"/>
                  <w:szCs w:val="18"/>
                  <w:color w:val="0000FF"/>
                </w:rPr>
                <w:t>Power of Attorney (reference is made to the signature page</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16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w:anchor="page107">
              <w:r>
                <w:rPr>
                  <w:rFonts w:ascii="Arial" w:cs="Arial" w:eastAsia="Arial" w:hAnsi="Arial"/>
                  <w:sz w:val="17"/>
                  <w:szCs w:val="17"/>
                  <w:color w:val="0000FF"/>
                </w:rPr>
                <w:t>thereto)</w:t>
              </w:r>
            </w:hyperlink>
          </w:p>
        </w:tc>
        <w:tc>
          <w:tcPr>
            <w:tcW w:w="4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160" w:type="dxa"/>
            <w:vAlign w:val="bottom"/>
            <w:gridSpan w:val="12"/>
          </w:tcPr>
          <w:p>
            <w:pPr>
              <w:spacing w:after="0" w:line="20" w:lineRule="exact"/>
              <w:rPr>
                <w:sz w:val="1"/>
                <w:szCs w:val="1"/>
                <w:color w:val="auto"/>
              </w:rPr>
            </w:pPr>
          </w:p>
        </w:tc>
        <w:tc>
          <w:tcPr>
            <w:tcW w:w="10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31.1*</w:t>
            </w:r>
          </w:p>
        </w:tc>
        <w:tc>
          <w:tcPr>
            <w:tcW w:w="4800" w:type="dxa"/>
            <w:vAlign w:val="bottom"/>
            <w:gridSpan w:val="36"/>
          </w:tcPr>
          <w:p>
            <w:pPr>
              <w:spacing w:after="0" w:line="205" w:lineRule="exact"/>
              <w:rPr>
                <w:rFonts w:ascii="Arial" w:cs="Arial" w:eastAsia="Arial" w:hAnsi="Arial"/>
                <w:sz w:val="18"/>
                <w:szCs w:val="18"/>
                <w:color w:val="0000FF"/>
                <w:w w:val="94"/>
              </w:rPr>
            </w:pPr>
            <w:hyperlink w:anchor="page121">
              <w:r>
                <w:rPr>
                  <w:rFonts w:ascii="Arial" w:cs="Arial" w:eastAsia="Arial" w:hAnsi="Arial"/>
                  <w:sz w:val="18"/>
                  <w:szCs w:val="18"/>
                  <w:color w:val="0000FF"/>
                  <w:w w:val="94"/>
                </w:rPr>
                <w:t>Certification of Principal Executive Officer pursuant to Rule 13a-</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31"/>
          </w:tcPr>
          <w:p>
            <w:pPr>
              <w:spacing w:after="0" w:line="152" w:lineRule="exact"/>
              <w:rPr>
                <w:rFonts w:ascii="Arial" w:cs="Arial" w:eastAsia="Arial" w:hAnsi="Arial"/>
                <w:sz w:val="17"/>
                <w:szCs w:val="17"/>
                <w:color w:val="0000FF"/>
                <w:w w:val="93"/>
              </w:rPr>
            </w:pPr>
            <w:hyperlink w:anchor="page121">
              <w:r>
                <w:rPr>
                  <w:rFonts w:ascii="Arial" w:cs="Arial" w:eastAsia="Arial" w:hAnsi="Arial"/>
                  <w:sz w:val="17"/>
                  <w:szCs w:val="17"/>
                  <w:color w:val="0000FF"/>
                  <w:w w:val="93"/>
                </w:rPr>
                <w:t>14(a) and 15d-14(a) under the Exchange Act, as adopted pursuant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740" w:type="dxa"/>
            <w:vAlign w:val="bottom"/>
            <w:gridSpan w:val="33"/>
          </w:tcPr>
          <w:p>
            <w:pPr>
              <w:spacing w:after="0" w:line="152" w:lineRule="exact"/>
              <w:rPr>
                <w:rFonts w:ascii="Arial" w:cs="Arial" w:eastAsia="Arial" w:hAnsi="Arial"/>
                <w:sz w:val="17"/>
                <w:szCs w:val="17"/>
                <w:color w:val="0000FF"/>
              </w:rPr>
            </w:pPr>
            <w:hyperlink w:anchor="page121">
              <w:r>
                <w:rPr>
                  <w:rFonts w:ascii="Arial" w:cs="Arial" w:eastAsia="Arial" w:hAnsi="Arial"/>
                  <w:sz w:val="17"/>
                  <w:szCs w:val="17"/>
                  <w:color w:val="0000FF"/>
                </w:rPr>
                <w:t>to Section 302 of the Sarbanes-Oxley Act of 2002</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2160" w:type="dxa"/>
            <w:vAlign w:val="bottom"/>
            <w:gridSpan w:val="12"/>
            <w:shd w:val="clear" w:color="auto" w:fill="0000FF"/>
          </w:tcPr>
          <w:p>
            <w:pPr>
              <w:spacing w:after="0" w:line="20" w:lineRule="exact"/>
              <w:rPr>
                <w:sz w:val="1"/>
                <w:szCs w:val="1"/>
                <w:color w:val="auto"/>
              </w:rPr>
            </w:pPr>
          </w:p>
        </w:tc>
        <w:tc>
          <w:tcPr>
            <w:tcW w:w="10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tcPr>
          <w:p>
            <w:pPr>
              <w:spacing w:after="0" w:line="205" w:lineRule="exact"/>
              <w:rPr>
                <w:sz w:val="20"/>
                <w:szCs w:val="20"/>
                <w:color w:val="auto"/>
              </w:rPr>
            </w:pPr>
            <w:r>
              <w:rPr>
                <w:rFonts w:ascii="Arial" w:cs="Arial" w:eastAsia="Arial" w:hAnsi="Arial"/>
                <w:sz w:val="18"/>
                <w:szCs w:val="18"/>
                <w:color w:val="auto"/>
              </w:rPr>
              <w:t>31.2*</w:t>
            </w:r>
          </w:p>
        </w:tc>
        <w:tc>
          <w:tcPr>
            <w:tcW w:w="4800" w:type="dxa"/>
            <w:vAlign w:val="bottom"/>
            <w:gridSpan w:val="36"/>
          </w:tcPr>
          <w:p>
            <w:pPr>
              <w:spacing w:after="0" w:line="205" w:lineRule="exact"/>
              <w:rPr>
                <w:rFonts w:ascii="Arial" w:cs="Arial" w:eastAsia="Arial" w:hAnsi="Arial"/>
                <w:sz w:val="18"/>
                <w:szCs w:val="18"/>
                <w:color w:val="0000FF"/>
                <w:w w:val="95"/>
              </w:rPr>
            </w:pPr>
            <w:hyperlink w:anchor="page122">
              <w:r>
                <w:rPr>
                  <w:rFonts w:ascii="Arial" w:cs="Arial" w:eastAsia="Arial" w:hAnsi="Arial"/>
                  <w:sz w:val="18"/>
                  <w:szCs w:val="18"/>
                  <w:color w:val="0000FF"/>
                  <w:w w:val="95"/>
                </w:rPr>
                <w:t>Certification of Principal Financial Officer pursuant to Rule 13a-</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600" w:type="dxa"/>
            <w:vAlign w:val="bottom"/>
            <w:tcBorders>
              <w:top w:val="single" w:sz="8" w:color="0000FF"/>
            </w:tcBorders>
            <w:gridSpan w:val="26"/>
          </w:tcPr>
          <w:p>
            <w:pPr>
              <w:spacing w:after="0" w:line="152" w:lineRule="exact"/>
              <w:rPr>
                <w:rFonts w:ascii="Arial" w:cs="Arial" w:eastAsia="Arial" w:hAnsi="Arial"/>
                <w:sz w:val="17"/>
                <w:szCs w:val="17"/>
                <w:color w:val="0000FF"/>
                <w:w w:val="91"/>
              </w:rPr>
            </w:pPr>
            <w:hyperlink w:anchor="page122">
              <w:r>
                <w:rPr>
                  <w:rFonts w:ascii="Arial" w:cs="Arial" w:eastAsia="Arial" w:hAnsi="Arial"/>
                  <w:sz w:val="17"/>
                  <w:szCs w:val="17"/>
                  <w:color w:val="0000FF"/>
                  <w:w w:val="91"/>
                </w:rPr>
                <w:t>14(a) and 15d-14(a) under the Exchange Act, as adopted pursuant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vMerge w:val="restart"/>
          </w:tcPr>
          <w:p>
            <w:pPr>
              <w:spacing w:after="0"/>
              <w:rPr>
                <w:sz w:val="20"/>
                <w:szCs w:val="20"/>
                <w:color w:val="auto"/>
              </w:rPr>
            </w:pPr>
            <w:r>
              <w:rPr>
                <w:rFonts w:ascii="Arial" w:cs="Arial" w:eastAsia="Arial" w:hAnsi="Arial"/>
                <w:sz w:val="18"/>
                <w:szCs w:val="18"/>
                <w:color w:val="auto"/>
              </w:rPr>
              <w:t>32.1</w:t>
            </w:r>
            <w:r>
              <w:rPr>
                <w:rFonts w:ascii="Arial" w:cs="Arial" w:eastAsia="Arial" w:hAnsi="Arial"/>
                <w:sz w:val="22"/>
                <w:szCs w:val="22"/>
                <w:color w:val="auto"/>
                <w:vertAlign w:val="superscript"/>
              </w:rPr>
              <w:t>#</w:t>
            </w:r>
          </w:p>
        </w:tc>
        <w:tc>
          <w:tcPr>
            <w:tcW w:w="4740" w:type="dxa"/>
            <w:vAlign w:val="bottom"/>
            <w:tcBorders>
              <w:top w:val="single" w:sz="8" w:color="0000FF"/>
            </w:tcBorders>
            <w:gridSpan w:val="33"/>
          </w:tcPr>
          <w:p>
            <w:pPr>
              <w:spacing w:after="0" w:line="152" w:lineRule="exact"/>
              <w:rPr>
                <w:rFonts w:ascii="Arial" w:cs="Arial" w:eastAsia="Arial" w:hAnsi="Arial"/>
                <w:sz w:val="17"/>
                <w:szCs w:val="17"/>
                <w:color w:val="0000FF"/>
              </w:rPr>
            </w:pPr>
            <w:hyperlink w:anchor="page122">
              <w:r>
                <w:rPr>
                  <w:rFonts w:ascii="Arial" w:cs="Arial" w:eastAsia="Arial" w:hAnsi="Arial"/>
                  <w:sz w:val="17"/>
                  <w:szCs w:val="17"/>
                  <w:color w:val="0000FF"/>
                </w:rPr>
                <w:t>to Section 302 of the Sarbanes-Oxley Act of 2002</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2160" w:type="dxa"/>
            <w:vAlign w:val="bottom"/>
            <w:gridSpan w:val="12"/>
            <w:shd w:val="clear" w:color="auto" w:fill="0000FF"/>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4800" w:type="dxa"/>
            <w:vAlign w:val="bottom"/>
            <w:gridSpan w:val="36"/>
          </w:tcPr>
          <w:p>
            <w:pPr>
              <w:spacing w:after="0" w:line="205" w:lineRule="exact"/>
              <w:rPr>
                <w:rFonts w:ascii="Arial" w:cs="Arial" w:eastAsia="Arial" w:hAnsi="Arial"/>
                <w:sz w:val="18"/>
                <w:szCs w:val="18"/>
                <w:color w:val="0000FF"/>
                <w:w w:val="94"/>
              </w:rPr>
            </w:pPr>
            <w:hyperlink w:anchor="page123">
              <w:r>
                <w:rPr>
                  <w:rFonts w:ascii="Arial" w:cs="Arial" w:eastAsia="Arial" w:hAnsi="Arial"/>
                  <w:sz w:val="18"/>
                  <w:szCs w:val="18"/>
                  <w:color w:val="0000FF"/>
                  <w:w w:val="94"/>
                </w:rPr>
                <w:t>Certification of Principal Executive Officer pursuant to 18 U.S.C.</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720" w:type="dxa"/>
            <w:vAlign w:val="bottom"/>
            <w:tcBorders>
              <w:top w:val="single" w:sz="8" w:color="0000FF"/>
            </w:tcBorders>
            <w:gridSpan w:val="32"/>
          </w:tcPr>
          <w:p>
            <w:pPr>
              <w:spacing w:after="0" w:line="152" w:lineRule="exact"/>
              <w:rPr>
                <w:rFonts w:ascii="Arial" w:cs="Arial" w:eastAsia="Arial" w:hAnsi="Arial"/>
                <w:sz w:val="17"/>
                <w:szCs w:val="17"/>
                <w:color w:val="0000FF"/>
                <w:w w:val="93"/>
              </w:rPr>
            </w:pPr>
            <w:hyperlink w:anchor="page123">
              <w:r>
                <w:rPr>
                  <w:rFonts w:ascii="Arial" w:cs="Arial" w:eastAsia="Arial" w:hAnsi="Arial"/>
                  <w:sz w:val="17"/>
                  <w:szCs w:val="17"/>
                  <w:color w:val="0000FF"/>
                  <w:w w:val="93"/>
                </w:rPr>
                <w:t>Section 1350 as adopted pursuant to Section 906 of the Sarbanes-</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40" w:type="dxa"/>
            <w:vAlign w:val="bottom"/>
            <w:vMerge w:val="restart"/>
          </w:tcPr>
          <w:p>
            <w:pPr>
              <w:spacing w:after="0"/>
              <w:rPr>
                <w:sz w:val="20"/>
                <w:szCs w:val="20"/>
                <w:color w:val="auto"/>
              </w:rPr>
            </w:pPr>
            <w:r>
              <w:rPr>
                <w:rFonts w:ascii="Arial" w:cs="Arial" w:eastAsia="Arial" w:hAnsi="Arial"/>
                <w:sz w:val="18"/>
                <w:szCs w:val="18"/>
                <w:color w:val="auto"/>
              </w:rPr>
              <w:t>32.2</w:t>
            </w:r>
            <w:r>
              <w:rPr>
                <w:rFonts w:ascii="Arial" w:cs="Arial" w:eastAsia="Arial" w:hAnsi="Arial"/>
                <w:sz w:val="22"/>
                <w:szCs w:val="22"/>
                <w:color w:val="auto"/>
                <w:vertAlign w:val="superscript"/>
              </w:rPr>
              <w:t>#</w:t>
            </w:r>
          </w:p>
        </w:tc>
        <w:tc>
          <w:tcPr>
            <w:tcW w:w="136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8"/>
              </w:rPr>
            </w:pPr>
            <w:hyperlink w:anchor="page123">
              <w:r>
                <w:rPr>
                  <w:rFonts w:ascii="Arial" w:cs="Arial" w:eastAsia="Arial" w:hAnsi="Arial"/>
                  <w:sz w:val="17"/>
                  <w:szCs w:val="17"/>
                  <w:color w:val="0000FF"/>
                  <w:w w:val="98"/>
                </w:rPr>
                <w:t>Oxley Act of 2002</w:t>
              </w:r>
            </w:hyperlink>
          </w:p>
        </w:tc>
        <w:tc>
          <w:tcPr>
            <w:tcW w:w="3300" w:type="dxa"/>
            <w:vAlign w:val="bottom"/>
            <w:tcBorders>
              <w:top w:val="single" w:sz="8" w:color="0000FF"/>
            </w:tcBorders>
            <w:gridSpan w:val="25"/>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4640" w:type="dxa"/>
            <w:vAlign w:val="bottom"/>
            <w:tcBorders>
              <w:bottom w:val="single" w:sz="8" w:color="0000FF"/>
            </w:tcBorders>
            <w:gridSpan w:val="28"/>
          </w:tcPr>
          <w:p>
            <w:pPr>
              <w:spacing w:after="0" w:line="205" w:lineRule="exact"/>
              <w:rPr>
                <w:rFonts w:ascii="Arial" w:cs="Arial" w:eastAsia="Arial" w:hAnsi="Arial"/>
                <w:sz w:val="18"/>
                <w:szCs w:val="18"/>
                <w:color w:val="0000FF"/>
                <w:w w:val="91"/>
              </w:rPr>
            </w:pPr>
            <w:hyperlink w:anchor="page124">
              <w:r>
                <w:rPr>
                  <w:rFonts w:ascii="Arial" w:cs="Arial" w:eastAsia="Arial" w:hAnsi="Arial"/>
                  <w:sz w:val="18"/>
                  <w:szCs w:val="18"/>
                  <w:color w:val="0000FF"/>
                  <w:w w:val="91"/>
                </w:rPr>
                <w:t>Certification of Principal Financial Officer pursuant to 18 U.S.C.</w:t>
              </w:r>
            </w:hyperlink>
          </w:p>
        </w:tc>
        <w:tc>
          <w:tcPr>
            <w:tcW w:w="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4800" w:type="dxa"/>
            <w:vAlign w:val="bottom"/>
            <w:gridSpan w:val="36"/>
          </w:tcPr>
          <w:p>
            <w:pPr>
              <w:spacing w:after="0" w:line="152" w:lineRule="exact"/>
              <w:rPr>
                <w:rFonts w:ascii="Arial" w:cs="Arial" w:eastAsia="Arial" w:hAnsi="Arial"/>
                <w:sz w:val="17"/>
                <w:szCs w:val="17"/>
                <w:color w:val="0000FF"/>
                <w:w w:val="95"/>
              </w:rPr>
            </w:pPr>
            <w:hyperlink w:anchor="page124">
              <w:r>
                <w:rPr>
                  <w:rFonts w:ascii="Arial" w:cs="Arial" w:eastAsia="Arial" w:hAnsi="Arial"/>
                  <w:sz w:val="17"/>
                  <w:szCs w:val="17"/>
                  <w:color w:val="0000FF"/>
                  <w:w w:val="95"/>
                </w:rPr>
                <w:t>Section 1350 as adopted pursuant to Section 906 of the Sarbanes-</w:t>
              </w:r>
            </w:hyperlink>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w w:val="98"/>
              </w:rPr>
            </w:pPr>
            <w:hyperlink w:anchor="page124">
              <w:r>
                <w:rPr>
                  <w:rFonts w:ascii="Arial" w:cs="Arial" w:eastAsia="Arial" w:hAnsi="Arial"/>
                  <w:sz w:val="17"/>
                  <w:szCs w:val="17"/>
                  <w:color w:val="0000FF"/>
                  <w:w w:val="98"/>
                </w:rPr>
                <w:t>Oxley Act of 2002</w:t>
              </w:r>
            </w:hyperlink>
          </w:p>
        </w:tc>
        <w:tc>
          <w:tcPr>
            <w:tcW w:w="3300" w:type="dxa"/>
            <w:vAlign w:val="bottom"/>
            <w:tcBorders>
              <w:top w:val="single" w:sz="8" w:color="0000FF"/>
            </w:tcBorders>
            <w:gridSpan w:val="25"/>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440" w:type="dxa"/>
            <w:vAlign w:val="bottom"/>
          </w:tcPr>
          <w:p>
            <w:pPr>
              <w:spacing w:after="0"/>
              <w:rPr>
                <w:sz w:val="20"/>
                <w:szCs w:val="20"/>
                <w:color w:val="auto"/>
              </w:rPr>
            </w:pPr>
            <w:r>
              <w:rPr>
                <w:rFonts w:ascii="Arial" w:cs="Arial" w:eastAsia="Arial" w:hAnsi="Arial"/>
                <w:sz w:val="18"/>
                <w:szCs w:val="18"/>
                <w:color w:val="auto"/>
              </w:rPr>
              <w:t>101.INS*</w:t>
            </w:r>
          </w:p>
        </w:tc>
        <w:tc>
          <w:tcPr>
            <w:tcW w:w="4800" w:type="dxa"/>
            <w:vAlign w:val="bottom"/>
            <w:gridSpan w:val="3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10.27</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398"/>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10.25</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225"/>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10.28</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398"/>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10.29</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10.18</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9"/>
              </w:rPr>
              <w:t>November 12, 2021</w:t>
            </w: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5"/>
              </w:rPr>
              <w:t>10.7</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9"/>
              </w:rPr>
              <w:t>November 12, 2021</w:t>
            </w:r>
          </w:p>
        </w:tc>
      </w:tr>
      <w:tr>
        <w:trPr>
          <w:trHeight w:val="225"/>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10.15</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398"/>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10.16</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10.10</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9"/>
              </w:rPr>
              <w:t>November 12, 2021</w:t>
            </w:r>
          </w:p>
        </w:tc>
      </w:tr>
      <w:tr>
        <w:trPr>
          <w:trHeight w:val="225"/>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5"/>
              </w:rPr>
              <w:t>10.5</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398"/>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5"/>
              </w:rPr>
              <w:t>10.6</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570"/>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10.18</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225"/>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10.19</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225"/>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10.20</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225"/>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10.21</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225"/>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5"/>
              </w:rPr>
              <w:t>10.6</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9"/>
              </w:rPr>
              <w:t>November 12, 2021</w:t>
            </w:r>
          </w:p>
        </w:tc>
      </w:tr>
      <w:tr>
        <w:trPr>
          <w:trHeight w:val="225"/>
        </w:trPr>
        <w:tc>
          <w:tcPr>
            <w:tcW w:w="820" w:type="dxa"/>
            <w:vAlign w:val="bottom"/>
          </w:tcPr>
          <w:p>
            <w:pPr>
              <w:ind w:left="20"/>
              <w:spacing w:after="0"/>
              <w:rPr>
                <w:sz w:val="20"/>
                <w:szCs w:val="20"/>
                <w:color w:val="auto"/>
              </w:rPr>
            </w:pPr>
            <w:r>
              <w:rPr>
                <w:rFonts w:ascii="Arial" w:cs="Arial" w:eastAsia="Arial" w:hAnsi="Arial"/>
                <w:sz w:val="18"/>
                <w:szCs w:val="18"/>
                <w:color w:val="auto"/>
              </w:rPr>
              <w:t>S-4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88"/>
              </w:rPr>
              <w:t>10.23</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7"/>
              </w:rPr>
              <w:t>July 20, 2021</w:t>
            </w:r>
          </w:p>
        </w:tc>
      </w:tr>
      <w:tr>
        <w:trPr>
          <w:trHeight w:val="225"/>
        </w:trPr>
        <w:tc>
          <w:tcPr>
            <w:tcW w:w="82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5"/>
              </w:rPr>
              <w:t>21.1</w:t>
            </w:r>
          </w:p>
        </w:tc>
        <w:tc>
          <w:tcPr>
            <w:tcW w:w="1860" w:type="dxa"/>
            <w:vAlign w:val="bottom"/>
          </w:tcPr>
          <w:p>
            <w:pPr>
              <w:jc w:val="center"/>
              <w:ind w:left="352"/>
              <w:spacing w:after="0"/>
              <w:rPr>
                <w:sz w:val="20"/>
                <w:szCs w:val="20"/>
                <w:color w:val="auto"/>
              </w:rPr>
            </w:pPr>
            <w:r>
              <w:rPr>
                <w:rFonts w:ascii="Arial" w:cs="Arial" w:eastAsia="Arial" w:hAnsi="Arial"/>
                <w:sz w:val="18"/>
                <w:szCs w:val="18"/>
                <w:color w:val="auto"/>
                <w:w w:val="89"/>
              </w:rPr>
              <w:t>November 12, 2021</w:t>
            </w:r>
          </w:p>
        </w:tc>
      </w:tr>
    </w:tbl>
    <w:p>
      <w:pPr>
        <w:sectPr>
          <w:pgSz w:w="11900" w:h="16838" w:orient="portrait"/>
          <w:cols w:equalWidth="0" w:num="2">
            <w:col w:w="6140" w:space="660"/>
            <w:col w:w="4080"/>
          </w:cols>
          <w:pgMar w:left="340" w:top="1440" w:right="679" w:bottom="1440" w:gutter="0" w:footer="0" w:header="0"/>
        </w:sectPr>
      </w:pPr>
    </w:p>
    <w:bookmarkStart w:id="106" w:name="page107"/>
    <w:bookmarkEnd w:id="106"/>
    <w:p>
      <w:pPr>
        <w:spacing w:after="0" w:line="1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101.PRE*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Calculation Linkbase Document.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Presentation Linkbase Document.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Date File (formatted in iXBRL and</w:t>
      </w:r>
    </w:p>
    <w:p>
      <w:pPr>
        <w:spacing w:after="0"/>
        <w:rPr>
          <w:sz w:val="20"/>
          <w:szCs w:val="20"/>
          <w:color w:val="auto"/>
        </w:rPr>
      </w:pPr>
      <w:r>
        <w:rPr>
          <w:rFonts w:ascii="Arial" w:cs="Arial" w:eastAsia="Arial" w:hAnsi="Arial"/>
          <w:sz w:val="18"/>
          <w:szCs w:val="18"/>
          <w:color w:val="auto"/>
        </w:rPr>
        <w:t>contained in Exhibit 101)</w:t>
      </w:r>
    </w:p>
    <w:p>
      <w:pPr>
        <w:spacing w:after="0" w:line="200" w:lineRule="exact"/>
        <w:rPr>
          <w:sz w:val="20"/>
          <w:szCs w:val="20"/>
          <w:color w:val="auto"/>
        </w:rPr>
      </w:pPr>
    </w:p>
    <w:p>
      <w:pPr>
        <w:sectPr>
          <w:pgSz w:w="11900" w:h="16838" w:orient="portrait"/>
          <w:cols w:equalWidth="0" w:num="2">
            <w:col w:w="780" w:space="680"/>
            <w:col w:w="9740"/>
          </w:cols>
          <w:pgMar w:left="320" w:top="1440" w:right="37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ectPr>
          <w:pgSz w:w="11900" w:h="16838" w:orient="portrait"/>
          <w:cols w:equalWidth="0" w:num="1">
            <w:col w:w="11200"/>
          </w:cols>
          <w:pgMar w:left="320" w:top="1440" w:right="379" w:bottom="1440" w:gutter="0" w:footer="0" w:header="0"/>
          <w:type w:val="continuous"/>
        </w:sectPr>
      </w:pPr>
    </w:p>
    <w:p>
      <w:pPr>
        <w:spacing w:after="0" w:line="42" w:lineRule="exact"/>
        <w:rPr>
          <w:sz w:val="20"/>
          <w:szCs w:val="20"/>
          <w:color w:val="auto"/>
        </w:rPr>
      </w:pPr>
    </w:p>
    <w:p>
      <w:pPr>
        <w:ind w:left="320" w:hanging="314"/>
        <w:spacing w:after="0" w:line="230" w:lineRule="auto"/>
        <w:tabs>
          <w:tab w:leader="none" w:pos="284" w:val="left"/>
        </w:tabs>
        <w:numPr>
          <w:ilvl w:val="0"/>
          <w:numId w:val="48"/>
        </w:numPr>
        <w:rPr>
          <w:rFonts w:ascii="Arial" w:cs="Arial" w:eastAsia="Arial" w:hAnsi="Arial"/>
          <w:sz w:val="14"/>
          <w:szCs w:val="14"/>
          <w:color w:val="auto"/>
        </w:rPr>
      </w:pPr>
      <w:r>
        <w:rPr>
          <w:rFonts w:ascii="Arial" w:cs="Arial" w:eastAsia="Arial" w:hAnsi="Arial"/>
          <w:sz w:val="14"/>
          <w:szCs w:val="14"/>
          <w:color w:val="auto"/>
        </w:rPr>
        <w:t>Certain of the exhibits and schedules to this Exhibit have been omitted in accordance with Regulation S-K Item 601(a)(5). We agree to furnish a copy of all omitted exhibits and schedules to the SEC upon its request.</w:t>
      </w:r>
    </w:p>
    <w:p>
      <w:pPr>
        <w:spacing w:after="0" w:line="1" w:lineRule="exact"/>
        <w:rPr>
          <w:sz w:val="20"/>
          <w:szCs w:val="20"/>
          <w:color w:val="auto"/>
        </w:rPr>
      </w:pPr>
    </w:p>
    <w:p>
      <w:pPr>
        <w:ind w:right="6340" w:firstLine="6"/>
        <w:spacing w:after="0" w:line="237" w:lineRule="auto"/>
        <w:tabs>
          <w:tab w:leader="none" w:pos="291"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contract or arrangement. * Filed herewith.</w:t>
      </w:r>
    </w:p>
    <w:p>
      <w:pPr>
        <w:ind w:left="320" w:right="140" w:hanging="318"/>
        <w:spacing w:after="0" w:line="247" w:lineRule="auto"/>
        <w:rPr>
          <w:rFonts w:ascii="Arial" w:cs="Arial" w:eastAsia="Arial" w:hAnsi="Arial"/>
          <w:sz w:val="14"/>
          <w:szCs w:val="14"/>
          <w:color w:val="auto"/>
        </w:rPr>
      </w:pPr>
      <w:r>
        <w:rPr>
          <w:rFonts w:ascii="Arial" w:cs="Arial" w:eastAsia="Arial" w:hAnsi="Arial"/>
          <w:sz w:val="14"/>
          <w:szCs w:val="14"/>
          <w:color w:val="auto"/>
        </w:rPr>
        <w:t>#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07" w:name="page108"/>
    <w:bookmarkEnd w:id="107"/>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 on the 15th day of March, 2022.</w:t>
      </w:r>
    </w:p>
    <w:p>
      <w:pPr>
        <w:spacing w:after="0" w:line="9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NEXTDOOR HOLDINGS, INC.</w:t>
      </w:r>
    </w:p>
    <w:p>
      <w:pPr>
        <w:spacing w:after="0" w:line="250" w:lineRule="exact"/>
        <w:rPr>
          <w:sz w:val="20"/>
          <w:szCs w:val="20"/>
          <w:color w:val="auto"/>
        </w:rPr>
      </w:pPr>
    </w:p>
    <w:tbl>
      <w:tblPr>
        <w:tblLayout w:type="fixed"/>
        <w:tblInd w:w="5280" w:type="dxa"/>
        <w:tblCellMar>
          <w:top w:w="0" w:type="dxa"/>
          <w:left w:w="0" w:type="dxa"/>
          <w:bottom w:w="0" w:type="dxa"/>
          <w:right w:w="0" w:type="dxa"/>
        </w:tblCellMar>
      </w:tblP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Friar</w:t>
            </w:r>
          </w:p>
        </w:tc>
      </w:tr>
      <w:tr>
        <w:trPr>
          <w:trHeight w:val="218"/>
        </w:trPr>
        <w:tc>
          <w:tcPr>
            <w:tcW w:w="7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Sarah Friar</w:t>
            </w:r>
          </w:p>
        </w:tc>
      </w:tr>
      <w:tr>
        <w:trPr>
          <w:trHeight w:val="174"/>
        </w:trPr>
        <w:tc>
          <w:tcPr>
            <w:tcW w:w="740" w:type="dxa"/>
            <w:vAlign w:val="bottom"/>
          </w:tcPr>
          <w:p>
            <w:pPr>
              <w:spacing w:after="0" w:line="174" w:lineRule="exact"/>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line="174" w:lineRule="exact"/>
              <w:rPr>
                <w:sz w:val="20"/>
                <w:szCs w:val="20"/>
                <w:color w:val="auto"/>
              </w:rPr>
            </w:pPr>
            <w:r>
              <w:rPr>
                <w:rFonts w:ascii="Arial" w:cs="Arial" w:eastAsia="Arial" w:hAnsi="Arial"/>
                <w:sz w:val="18"/>
                <w:szCs w:val="18"/>
                <w:color w:val="auto"/>
                <w:w w:val="97"/>
              </w:rPr>
              <w:t>Chief Executive Officer, President and Chairperson of the Board of</w:t>
            </w:r>
          </w:p>
        </w:tc>
      </w:tr>
      <w:tr>
        <w:trPr>
          <w:trHeight w:val="223"/>
        </w:trPr>
        <w:tc>
          <w:tcPr>
            <w:tcW w:w="7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Directors</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KNOW ALL PERSONS BY THESE PRESENTS</w:t>
      </w:r>
      <w:r>
        <w:rPr>
          <w:rFonts w:ascii="Arial" w:cs="Arial" w:eastAsia="Arial" w:hAnsi="Arial"/>
          <w:sz w:val="17"/>
          <w:szCs w:val="17"/>
          <w:color w:val="auto"/>
        </w:rPr>
        <w:t>, that each person whose signature appears below constitutes and appoints Sarah Friar and Michael Doyle,</w:t>
      </w:r>
      <w:r>
        <w:rPr>
          <w:rFonts w:ascii="Arial" w:cs="Arial" w:eastAsia="Arial" w:hAnsi="Arial"/>
          <w:sz w:val="17"/>
          <w:szCs w:val="17"/>
          <w:i w:val="1"/>
          <w:iCs w:val="1"/>
          <w:color w:val="auto"/>
        </w:rPr>
        <w:t xml:space="preserve"> </w:t>
      </w:r>
      <w:r>
        <w:rPr>
          <w:rFonts w:ascii="Arial" w:cs="Arial" w:eastAsia="Arial" w:hAnsi="Arial"/>
          <w:sz w:val="17"/>
          <w:szCs w:val="17"/>
          <w:color w:val="auto"/>
        </w:rPr>
        <w:t>and each of them, as his or her true and lawful attorneys-in-fact, proxies and agents, each with full power of substitution and resubstitution, for him or her and in his or her name, place and stead, in any and all capacities, to sign any and all amendments to this report and to file the same, with any exhibits thereto and other documents in connection therewith, with the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23221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34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23221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3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Sarah Friar</w:t>
      </w:r>
    </w:p>
    <w:p>
      <w:pPr>
        <w:spacing w:after="0" w:line="37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3221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2"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Michael Doyle</w:t>
      </w:r>
    </w:p>
    <w:p>
      <w:pPr>
        <w:spacing w:after="0" w:line="98"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/s/ John Hope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23221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John Hope Bryant</w:t>
      </w:r>
    </w:p>
    <w:p>
      <w:pPr>
        <w:spacing w:after="0" w:line="85"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/s/ J. William Gurley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23221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4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J. William Gurley</w:t>
      </w:r>
    </w:p>
    <w:p>
      <w:pPr>
        <w:spacing w:after="0" w:line="7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Leslie Kilgore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3221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Leslie Kilgore</w:t>
      </w:r>
    </w:p>
    <w:p>
      <w:pPr>
        <w:spacing w:after="0" w:line="7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Mary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3221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Mary Meeker</w:t>
      </w:r>
    </w:p>
    <w:p>
      <w:pPr>
        <w:spacing w:after="0" w:line="7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/s/ Jason Pressman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23221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4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Jason Pressman</w:t>
      </w:r>
    </w:p>
    <w:p>
      <w:pPr>
        <w:spacing w:after="0" w:line="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 David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3221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David Sze</w:t>
      </w:r>
    </w:p>
    <w:p>
      <w:pPr>
        <w:spacing w:after="0" w:line="7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 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3221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Nirav Tolia</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 Chris Varelas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3221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Chris Varelas</w:t>
      </w:r>
    </w:p>
    <w:p>
      <w:pPr>
        <w:spacing w:after="0" w:line="9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 Andrea Wishom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23221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Andrea Wishom</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2"/>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Chief Executive Officer, President and Chairperson</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r>
        <w:trPr>
          <w:trHeight w:val="172"/>
        </w:trPr>
        <w:tc>
          <w:tcPr>
            <w:tcW w:w="3780" w:type="dxa"/>
            <w:vAlign w:val="bottom"/>
            <w:gridSpan w:val="2"/>
          </w:tcPr>
          <w:p>
            <w:pPr>
              <w:jc w:val="center"/>
              <w:ind w:right="100"/>
              <w:spacing w:after="0" w:line="172" w:lineRule="exact"/>
              <w:rPr>
                <w:sz w:val="20"/>
                <w:szCs w:val="20"/>
                <w:color w:val="auto"/>
              </w:rPr>
            </w:pPr>
            <w:r>
              <w:rPr>
                <w:rFonts w:ascii="Arial" w:cs="Arial" w:eastAsia="Arial" w:hAnsi="Arial"/>
                <w:sz w:val="18"/>
                <w:szCs w:val="18"/>
                <w:color w:val="auto"/>
                <w:w w:val="90"/>
              </w:rPr>
              <w:t>of the Board of Directors</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(Principal Executive Officer)</w:t>
            </w:r>
          </w:p>
        </w:tc>
        <w:tc>
          <w:tcPr>
            <w:tcW w:w="3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1"/>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Chief Financial Officer and Treasurer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r>
        <w:trPr>
          <w:trHeight w:val="131"/>
        </w:trPr>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(Principal Financial and Accounting Officer)</w:t>
            </w:r>
          </w:p>
        </w:tc>
        <w:tc>
          <w:tcPr>
            <w:tcW w:w="3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780" w:type="dxa"/>
            <w:vAlign w:val="bottom"/>
            <w:gridSpan w:val="2"/>
            <w:vMerge w:val="continue"/>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r>
        <w:trPr>
          <w:trHeight w:val="55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r>
        <w:trPr>
          <w:trHeight w:val="51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r>
        <w:trPr>
          <w:trHeight w:val="51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r>
        <w:trPr>
          <w:trHeight w:val="51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r>
        <w:trPr>
          <w:trHeight w:val="51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r>
        <w:trPr>
          <w:trHeight w:val="51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r>
        <w:trPr>
          <w:trHeight w:val="51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r>
        <w:trPr>
          <w:trHeight w:val="517"/>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March 15, 2022</w:t>
            </w:r>
          </w:p>
        </w:tc>
        <w:tc>
          <w:tcPr>
            <w:tcW w:w="0" w:type="dxa"/>
            <w:vAlign w:val="bottom"/>
          </w:tcPr>
          <w:p>
            <w:pPr>
              <w:spacing w:after="0"/>
              <w:rPr>
                <w:sz w:val="1"/>
                <w:szCs w:val="1"/>
                <w:color w:val="auto"/>
              </w:rPr>
            </w:pPr>
          </w:p>
        </w:tc>
      </w:tr>
    </w:tbl>
    <w:p>
      <w:pPr>
        <w:spacing w:after="0" w:line="448" w:lineRule="exact"/>
        <w:rPr>
          <w:sz w:val="20"/>
          <w:szCs w:val="20"/>
          <w:color w:val="auto"/>
        </w:rPr>
      </w:pPr>
    </w:p>
    <w:p>
      <w:pPr>
        <w:sectPr>
          <w:pgSz w:w="11900" w:h="16838" w:orient="portrait"/>
          <w:cols w:equalWidth="0" w:num="2">
            <w:col w:w="3040" w:space="720"/>
            <w:col w:w="74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240"/>
          </w:cols>
          <w:pgMar w:left="320" w:top="1440" w:right="339" w:bottom="1440" w:gutter="0" w:footer="0" w:header="0"/>
          <w:type w:val="continuous"/>
        </w:sectPr>
      </w:pPr>
    </w:p>
    <w:bookmarkStart w:id="109" w:name="page110"/>
    <w:bookmarkEnd w:id="109"/>
    <w:p>
      <w:pPr>
        <w:spacing w:after="0" w:line="90" w:lineRule="exact"/>
        <w:rPr>
          <w:sz w:val="20"/>
          <w:szCs w:val="20"/>
          <w:color w:val="auto"/>
        </w:rPr>
      </w:pPr>
    </w:p>
    <w:p>
      <w:pPr>
        <w:ind w:left="10260"/>
        <w:spacing w:after="0"/>
        <w:rPr>
          <w:sz w:val="20"/>
          <w:szCs w:val="20"/>
          <w:color w:val="auto"/>
        </w:rPr>
      </w:pPr>
      <w:r>
        <w:rPr>
          <w:rFonts w:ascii="Arial" w:cs="Arial" w:eastAsia="Arial" w:hAnsi="Arial"/>
          <w:sz w:val="19"/>
          <w:szCs w:val="19"/>
          <w:b w:val="1"/>
          <w:bCs w:val="1"/>
          <w:color w:val="auto"/>
        </w:rPr>
        <w:t>Exhibit 4.2</w:t>
      </w:r>
    </w:p>
    <w:p>
      <w:pPr>
        <w:spacing w:after="0" w:line="162" w:lineRule="exact"/>
        <w:rPr>
          <w:sz w:val="20"/>
          <w:szCs w:val="20"/>
          <w:color w:val="auto"/>
        </w:rPr>
      </w:pPr>
    </w:p>
    <w:p>
      <w:pPr>
        <w:jc w:val="center"/>
        <w:spacing w:after="0" w:line="232" w:lineRule="auto"/>
        <w:rPr>
          <w:sz w:val="20"/>
          <w:szCs w:val="20"/>
          <w:color w:val="auto"/>
        </w:rPr>
      </w:pPr>
      <w:r>
        <w:rPr>
          <w:rFonts w:ascii="Arial" w:cs="Arial" w:eastAsia="Arial" w:hAnsi="Arial"/>
          <w:sz w:val="18"/>
          <w:szCs w:val="18"/>
          <w:b w:val="1"/>
          <w:bCs w:val="1"/>
          <w:color w:val="auto"/>
        </w:rPr>
        <w:t>DESCRIPTION OF THE REGISTRANT’S CAPITAL STOCK REGISTERED PURSUANT TO SECTION 12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0" w:lineRule="exact"/>
        <w:rPr>
          <w:sz w:val="20"/>
          <w:szCs w:val="20"/>
          <w:color w:val="auto"/>
        </w:rPr>
      </w:pPr>
    </w:p>
    <w:p>
      <w:pPr>
        <w:ind w:right="120" w:firstLine="318"/>
        <w:spacing w:after="0" w:line="275" w:lineRule="auto"/>
        <w:rPr>
          <w:sz w:val="20"/>
          <w:szCs w:val="20"/>
          <w:color w:val="auto"/>
        </w:rPr>
      </w:pPr>
      <w:r>
        <w:rPr>
          <w:rFonts w:ascii="Arial" w:cs="Arial" w:eastAsia="Arial" w:hAnsi="Arial"/>
          <w:sz w:val="15"/>
          <w:szCs w:val="15"/>
          <w:color w:val="auto"/>
        </w:rPr>
        <w:t>The following description of the capital stock of Nextdoor Holdings, Inc. (the “</w:t>
      </w:r>
      <w:r>
        <w:rPr>
          <w:rFonts w:ascii="Arial" w:cs="Arial" w:eastAsia="Arial" w:hAnsi="Arial"/>
          <w:sz w:val="15"/>
          <w:szCs w:val="15"/>
          <w:i w:val="1"/>
          <w:iCs w:val="1"/>
          <w:color w:val="auto"/>
        </w:rPr>
        <w:t>Company</w:t>
      </w:r>
      <w:r>
        <w:rPr>
          <w:rFonts w:ascii="Arial" w:cs="Arial" w:eastAsia="Arial" w:hAnsi="Arial"/>
          <w:sz w:val="15"/>
          <w:szCs w:val="15"/>
          <w:color w:val="auto"/>
        </w:rPr>
        <w:t>,” “</w:t>
      </w:r>
      <w:r>
        <w:rPr>
          <w:rFonts w:ascii="Arial" w:cs="Arial" w:eastAsia="Arial" w:hAnsi="Arial"/>
          <w:sz w:val="15"/>
          <w:szCs w:val="15"/>
          <w:i w:val="1"/>
          <w:iCs w:val="1"/>
          <w:color w:val="auto"/>
        </w:rPr>
        <w:t>we</w:t>
      </w:r>
      <w:r>
        <w:rPr>
          <w:rFonts w:ascii="Arial" w:cs="Arial" w:eastAsia="Arial" w:hAnsi="Arial"/>
          <w:sz w:val="15"/>
          <w:szCs w:val="15"/>
          <w:color w:val="auto"/>
        </w:rPr>
        <w:t>,” “</w:t>
      </w:r>
      <w:r>
        <w:rPr>
          <w:rFonts w:ascii="Arial" w:cs="Arial" w:eastAsia="Arial" w:hAnsi="Arial"/>
          <w:sz w:val="15"/>
          <w:szCs w:val="15"/>
          <w:i w:val="1"/>
          <w:iCs w:val="1"/>
          <w:color w:val="auto"/>
        </w:rPr>
        <w:t>us</w:t>
      </w:r>
      <w:r>
        <w:rPr>
          <w:rFonts w:ascii="Arial" w:cs="Arial" w:eastAsia="Arial" w:hAnsi="Arial"/>
          <w:sz w:val="15"/>
          <w:szCs w:val="15"/>
          <w:color w:val="auto"/>
        </w:rPr>
        <w:t>,” and “</w:t>
      </w:r>
      <w:r>
        <w:rPr>
          <w:rFonts w:ascii="Arial" w:cs="Arial" w:eastAsia="Arial" w:hAnsi="Arial"/>
          <w:sz w:val="15"/>
          <w:szCs w:val="15"/>
          <w:i w:val="1"/>
          <w:iCs w:val="1"/>
          <w:color w:val="auto"/>
        </w:rPr>
        <w:t>our</w:t>
      </w:r>
      <w:r>
        <w:rPr>
          <w:rFonts w:ascii="Arial" w:cs="Arial" w:eastAsia="Arial" w:hAnsi="Arial"/>
          <w:sz w:val="15"/>
          <w:szCs w:val="15"/>
          <w:color w:val="auto"/>
        </w:rPr>
        <w:t>”) and of certain provisions of our certificate of incorporation (the “</w:t>
      </w:r>
      <w:r>
        <w:rPr>
          <w:rFonts w:ascii="Arial" w:cs="Arial" w:eastAsia="Arial" w:hAnsi="Arial"/>
          <w:sz w:val="15"/>
          <w:szCs w:val="15"/>
          <w:i w:val="1"/>
          <w:iCs w:val="1"/>
          <w:color w:val="auto"/>
        </w:rPr>
        <w:t>Certificate of Incorporation</w:t>
      </w:r>
      <w:r>
        <w:rPr>
          <w:rFonts w:ascii="Arial" w:cs="Arial" w:eastAsia="Arial" w:hAnsi="Arial"/>
          <w:sz w:val="15"/>
          <w:szCs w:val="15"/>
          <w:color w:val="auto"/>
        </w:rPr>
        <w:t>”) and bylaws (the “</w:t>
      </w:r>
      <w:r>
        <w:rPr>
          <w:rFonts w:ascii="Arial" w:cs="Arial" w:eastAsia="Arial" w:hAnsi="Arial"/>
          <w:sz w:val="15"/>
          <w:szCs w:val="15"/>
          <w:i w:val="1"/>
          <w:iCs w:val="1"/>
          <w:color w:val="auto"/>
        </w:rPr>
        <w:t>Bylaws</w:t>
      </w:r>
      <w:r>
        <w:rPr>
          <w:rFonts w:ascii="Arial" w:cs="Arial" w:eastAsia="Arial" w:hAnsi="Arial"/>
          <w:sz w:val="15"/>
          <w:szCs w:val="15"/>
          <w:color w:val="auto"/>
        </w:rPr>
        <w:t>”) does not purport to be complete and is subject to our Certificate of Incorporation and our Bylaws, copies of which have been filed with the Securities and Exchange Commission, and the provisions of applicable law.</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2021, we had two classes of securities registered under Section 12 of the Securities Exchange Act of 1934, as amended (the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 Act</w:t>
      </w:r>
      <w:r>
        <w:rPr>
          <w:rFonts w:ascii="Arial" w:cs="Arial" w:eastAsia="Arial" w:hAnsi="Arial"/>
          <w:sz w:val="15"/>
          <w:szCs w:val="15"/>
          <w:color w:val="auto"/>
        </w:rPr>
        <w:t>”): Class A common stock, $0.0001 par value per share and Class B common stock, $0.0001 par value per share. Our authorized common stock</w:t>
      </w:r>
    </w:p>
    <w:p>
      <w:pPr>
        <w:spacing w:after="0"/>
        <w:rPr>
          <w:sz w:val="20"/>
          <w:szCs w:val="20"/>
          <w:color w:val="auto"/>
        </w:rPr>
      </w:pPr>
      <w:r>
        <w:rPr>
          <w:rFonts w:ascii="Arial" w:cs="Arial" w:eastAsia="Arial" w:hAnsi="Arial"/>
          <w:sz w:val="15"/>
          <w:szCs w:val="15"/>
          <w:color w:val="auto"/>
        </w:rPr>
        <w:t>consists of 2,500,000,000 shares of Class A common stock, 500,000,000 shares of Class B common stock, and 50,000,000 shares of undesignated preferred</w:t>
      </w:r>
    </w:p>
    <w:p>
      <w:pPr>
        <w:spacing w:after="0"/>
        <w:rPr>
          <w:sz w:val="20"/>
          <w:szCs w:val="20"/>
          <w:color w:val="auto"/>
        </w:rPr>
      </w:pPr>
      <w:r>
        <w:rPr>
          <w:rFonts w:ascii="Arial" w:cs="Arial" w:eastAsia="Arial" w:hAnsi="Arial"/>
          <w:sz w:val="18"/>
          <w:szCs w:val="18"/>
          <w:color w:val="auto"/>
        </w:rPr>
        <w:t>stock, $0.0001 par value per share. All shares of our common stock outstanding are fully paid and non-assessable.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24" w:lineRule="exact"/>
        <w:rPr>
          <w:sz w:val="20"/>
          <w:szCs w:val="20"/>
          <w:color w:val="auto"/>
        </w:rPr>
      </w:pPr>
    </w:p>
    <w:p>
      <w:pPr>
        <w:jc w:val="both"/>
        <w:ind w:right="120" w:firstLine="318"/>
        <w:spacing w:after="0" w:line="219" w:lineRule="auto"/>
        <w:rPr>
          <w:sz w:val="20"/>
          <w:szCs w:val="20"/>
          <w:color w:val="auto"/>
        </w:rPr>
      </w:pPr>
      <w:r>
        <w:rPr>
          <w:rFonts w:ascii="Arial" w:cs="Arial" w:eastAsia="Arial" w:hAnsi="Arial"/>
          <w:sz w:val="18"/>
          <w:szCs w:val="18"/>
          <w:color w:val="auto"/>
        </w:rPr>
        <w:t>Subject to preferences that may apply to any shares of convertible preferred stock outstanding at the time, the holders of shares of our common stock are entitled to receive dividends out of funds legally available if our Board of Directors, in its discretion, determines to issue dividends and then only at the times and in the amounts that the Board of Directors may determine.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right="20" w:firstLine="318"/>
        <w:spacing w:after="0" w:line="257" w:lineRule="auto"/>
        <w:rPr>
          <w:sz w:val="20"/>
          <w:szCs w:val="20"/>
          <w:color w:val="auto"/>
        </w:rPr>
      </w:pPr>
      <w:r>
        <w:rPr>
          <w:rFonts w:ascii="Arial" w:cs="Arial" w:eastAsia="Arial" w:hAnsi="Arial"/>
          <w:sz w:val="15"/>
          <w:szCs w:val="15"/>
          <w:color w:val="auto"/>
        </w:rPr>
        <w:t>Each holder of shares of Class A common stock is entitled to one vote for each share of Class A common stock held on all matters submitted to a vote of stockholders and each holder of Class B common stock is entitled to 10 votes for each share of Class B common stock held on all matters submitted to a vote of stockholders. Holders of shares of Class A common stock and Class B common stock vote together as a single class on all matters (including the election of directors) submitted to a vote of stockholders, unless, otherwise required by Delaware law or the Certificate of Incorporation. Delaware law could require either holders of Class A common stock or Class B common stock to vote separately as a single class in the following circumstances:</w:t>
      </w:r>
    </w:p>
    <w:p>
      <w:pPr>
        <w:spacing w:after="0" w:line="123" w:lineRule="exact"/>
        <w:rPr>
          <w:sz w:val="20"/>
          <w:szCs w:val="20"/>
          <w:color w:val="auto"/>
        </w:rPr>
      </w:pPr>
    </w:p>
    <w:p>
      <w:pPr>
        <w:ind w:left="640" w:right="80" w:hanging="316"/>
        <w:spacing w:after="0" w:line="218" w:lineRule="auto"/>
        <w:tabs>
          <w:tab w:leader="none" w:pos="635" w:val="left"/>
        </w:tabs>
        <w:numPr>
          <w:ilvl w:val="0"/>
          <w:numId w:val="50"/>
        </w:numPr>
        <w:rPr>
          <w:rFonts w:ascii="Arial" w:cs="Arial" w:eastAsia="Arial" w:hAnsi="Arial"/>
          <w:sz w:val="21"/>
          <w:szCs w:val="21"/>
          <w:color w:val="auto"/>
        </w:rPr>
      </w:pPr>
      <w:r>
        <w:rPr>
          <w:rFonts w:ascii="Arial" w:cs="Arial" w:eastAsia="Arial" w:hAnsi="Arial"/>
          <w:sz w:val="18"/>
          <w:szCs w:val="18"/>
          <w:color w:val="auto"/>
        </w:rPr>
        <w:t>if the Company were to seek to amend the Certificate of Incorporation to increase or decrease the par value of a class of our common stock, then that class would be required to vote separately to approve the proposed amendment; and</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50"/>
        </w:numPr>
        <w:rPr>
          <w:rFonts w:ascii="Arial" w:cs="Arial" w:eastAsia="Arial" w:hAnsi="Arial"/>
          <w:sz w:val="19"/>
          <w:szCs w:val="19"/>
          <w:color w:val="auto"/>
        </w:rPr>
      </w:pPr>
      <w:r>
        <w:rPr>
          <w:rFonts w:ascii="Arial" w:cs="Arial" w:eastAsia="Arial" w:hAnsi="Arial"/>
          <w:sz w:val="16"/>
          <w:szCs w:val="16"/>
          <w:color w:val="auto"/>
        </w:rPr>
        <w:t>if the Company were to seek to amend the Certificate of Incorporation in a manner that alters or changes the powers, preferences, or special rights of</w:t>
      </w:r>
    </w:p>
    <w:p>
      <w:pPr>
        <w:ind w:left="640" w:right="540"/>
        <w:spacing w:after="0" w:line="199" w:lineRule="auto"/>
        <w:rPr>
          <w:sz w:val="20"/>
          <w:szCs w:val="20"/>
          <w:color w:val="auto"/>
        </w:rPr>
      </w:pPr>
      <w:r>
        <w:rPr>
          <w:rFonts w:ascii="Arial" w:cs="Arial" w:eastAsia="Arial" w:hAnsi="Arial"/>
          <w:sz w:val="18"/>
          <w:szCs w:val="18"/>
          <w:color w:val="auto"/>
        </w:rPr>
        <w:t>a class of our common stock in a manner that affected its holders adversely, then that class would be required to vote separately to approve the proposed amendment.</w:t>
      </w:r>
    </w:p>
    <w:p>
      <w:pPr>
        <w:spacing w:after="0" w:line="1" w:lineRule="exact"/>
        <w:rPr>
          <w:sz w:val="20"/>
          <w:szCs w:val="20"/>
          <w:color w:val="auto"/>
        </w:rPr>
      </w:pPr>
    </w:p>
    <w:p>
      <w:pPr>
        <w:ind w:firstLine="318"/>
        <w:spacing w:after="0" w:line="221" w:lineRule="auto"/>
        <w:rPr>
          <w:sz w:val="20"/>
          <w:szCs w:val="20"/>
          <w:color w:val="auto"/>
        </w:rPr>
      </w:pPr>
      <w:r>
        <w:rPr>
          <w:rFonts w:ascii="Arial" w:cs="Arial" w:eastAsia="Arial" w:hAnsi="Arial"/>
          <w:sz w:val="18"/>
          <w:szCs w:val="18"/>
          <w:color w:val="auto"/>
        </w:rPr>
        <w:t>The Company has not provided for cumulative voting for the election of directors in the Certificate of Incorporation. Accordingly, holders of a majority of the shares of our common stock are able to elect all of the Company’s directors.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24" w:lineRule="exact"/>
        <w:rPr>
          <w:sz w:val="20"/>
          <w:szCs w:val="20"/>
          <w:color w:val="auto"/>
        </w:rPr>
      </w:pPr>
    </w:p>
    <w:p>
      <w:pPr>
        <w:ind w:right="160" w:firstLine="318"/>
        <w:spacing w:after="0" w:line="275" w:lineRule="auto"/>
        <w:rPr>
          <w:sz w:val="20"/>
          <w:szCs w:val="20"/>
          <w:color w:val="auto"/>
        </w:rPr>
      </w:pPr>
      <w:r>
        <w:rPr>
          <w:rFonts w:ascii="Arial" w:cs="Arial" w:eastAsia="Arial" w:hAnsi="Arial"/>
          <w:sz w:val="15"/>
          <w:szCs w:val="15"/>
          <w:color w:val="auto"/>
        </w:rPr>
        <w:t>Upon the Company’s liquidation, dissolution or winding-up, the assets legally available for distribution to the Company’s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ectPr>
          <w:pgSz w:w="11900" w:h="16838" w:orient="portrait"/>
          <w:cols w:equalWidth="0" w:num="1">
            <w:col w:w="11240"/>
          </w:cols>
          <w:pgMar w:left="320" w:top="1440" w:right="339" w:bottom="1440" w:gutter="0" w:footer="0" w:header="0"/>
        </w:sectPr>
      </w:pPr>
    </w:p>
    <w:bookmarkStart w:id="110" w:name="page111"/>
    <w:bookmarkEnd w:id="110"/>
    <w:p>
      <w:pPr>
        <w:ind w:right="100" w:firstLine="318"/>
        <w:spacing w:after="0" w:line="214" w:lineRule="auto"/>
        <w:rPr>
          <w:sz w:val="20"/>
          <w:szCs w:val="20"/>
          <w:color w:val="auto"/>
        </w:rPr>
      </w:pPr>
      <w:r>
        <w:rPr>
          <w:rFonts w:ascii="Arial" w:cs="Arial" w:eastAsia="Arial" w:hAnsi="Arial"/>
          <w:sz w:val="18"/>
          <w:szCs w:val="18"/>
          <w:color w:val="auto"/>
        </w:rPr>
        <w:t>Each share of our Class B common stock is convertible into one share of our Class A common stock automatically, without further action by the Company immediately prior to the close of business on the earlier of (i) ten (10) years from the date of the Closing (defined below) and (ii) the date specified by an affirmative vote of the holders of Class B common stock representing not less than two-thirds (2/3) of the voting power of the outstanding shares of Class B common stock, voting separately as a single class.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 Nextdoor Lock-Up Agreements</w:t>
      </w:r>
    </w:p>
    <w:p>
      <w:pPr>
        <w:spacing w:after="0" w:line="124" w:lineRule="exact"/>
        <w:rPr>
          <w:sz w:val="20"/>
          <w:szCs w:val="20"/>
          <w:color w:val="auto"/>
        </w:rPr>
      </w:pPr>
    </w:p>
    <w:p>
      <w:pPr>
        <w:ind w:right="20" w:firstLine="318"/>
        <w:spacing w:after="0" w:line="218" w:lineRule="auto"/>
        <w:rPr>
          <w:sz w:val="20"/>
          <w:szCs w:val="20"/>
          <w:color w:val="auto"/>
        </w:rPr>
      </w:pPr>
      <w:r>
        <w:rPr>
          <w:rFonts w:ascii="Arial" w:cs="Arial" w:eastAsia="Arial" w:hAnsi="Arial"/>
          <w:sz w:val="17"/>
          <w:szCs w:val="17"/>
          <w:color w:val="auto"/>
        </w:rPr>
        <w:t>Following the transactions contemplated by the Agreement and Plan of Merger, dated July 6, 2021, as amended on September 30, 2021 (the “</w:t>
      </w:r>
      <w:r>
        <w:rPr>
          <w:rFonts w:ascii="Arial" w:cs="Arial" w:eastAsia="Arial" w:hAnsi="Arial"/>
          <w:sz w:val="17"/>
          <w:szCs w:val="17"/>
          <w:i w:val="1"/>
          <w:iCs w:val="1"/>
          <w:color w:val="auto"/>
        </w:rPr>
        <w:t>Merger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Agreement”) </w:t>
      </w:r>
      <w:r>
        <w:rPr>
          <w:rFonts w:ascii="Arial" w:cs="Arial" w:eastAsia="Arial" w:hAnsi="Arial"/>
          <w:sz w:val="17"/>
          <w:szCs w:val="17"/>
          <w:color w:val="auto"/>
        </w:rPr>
        <w:t>by and among Khosla Ventures Acquisition Co. II (the “</w:t>
      </w:r>
      <w:r>
        <w:rPr>
          <w:rFonts w:ascii="Arial" w:cs="Arial" w:eastAsia="Arial" w:hAnsi="Arial"/>
          <w:sz w:val="17"/>
          <w:szCs w:val="17"/>
          <w:i w:val="1"/>
          <w:iCs w:val="1"/>
          <w:color w:val="auto"/>
        </w:rPr>
        <w:t>KVSB</w:t>
      </w:r>
      <w:r>
        <w:rPr>
          <w:rFonts w:ascii="Arial" w:cs="Arial" w:eastAsia="Arial" w:hAnsi="Arial"/>
          <w:sz w:val="17"/>
          <w:szCs w:val="17"/>
          <w:color w:val="auto"/>
        </w:rPr>
        <w:t>”), Lorelei Merger Sub Inc., a direct wholly owned subsidiary of KVSB (“</w:t>
      </w:r>
      <w:r>
        <w:rPr>
          <w:rFonts w:ascii="Arial" w:cs="Arial" w:eastAsia="Arial" w:hAnsi="Arial"/>
          <w:sz w:val="17"/>
          <w:szCs w:val="17"/>
          <w:i w:val="1"/>
          <w:iCs w:val="1"/>
          <w:color w:val="auto"/>
        </w:rPr>
        <w:t>Merger Sub</w:t>
      </w:r>
      <w:r>
        <w:rPr>
          <w:rFonts w:ascii="Arial" w:cs="Arial" w:eastAsia="Arial" w:hAnsi="Arial"/>
          <w:sz w:val="17"/>
          <w:szCs w:val="17"/>
          <w:color w:val="auto"/>
        </w:rPr>
        <w:t>”) and Nextdoor, Inc. (“</w:t>
      </w:r>
      <w:r>
        <w:rPr>
          <w:rFonts w:ascii="Arial" w:cs="Arial" w:eastAsia="Arial" w:hAnsi="Arial"/>
          <w:sz w:val="17"/>
          <w:szCs w:val="17"/>
          <w:i w:val="1"/>
          <w:iCs w:val="1"/>
          <w:color w:val="auto"/>
        </w:rPr>
        <w:t>Legacy Nextdoor</w:t>
      </w:r>
      <w:r>
        <w:rPr>
          <w:rFonts w:ascii="Arial" w:cs="Arial" w:eastAsia="Arial" w:hAnsi="Arial"/>
          <w:sz w:val="17"/>
          <w:szCs w:val="17"/>
          <w:color w:val="auto"/>
        </w:rPr>
        <w:t>”) consummated on November 5, 2021 (the “</w:t>
      </w:r>
      <w:r>
        <w:rPr>
          <w:rFonts w:ascii="Arial" w:cs="Arial" w:eastAsia="Arial" w:hAnsi="Arial"/>
          <w:sz w:val="17"/>
          <w:szCs w:val="17"/>
          <w:i w:val="1"/>
          <w:iCs w:val="1"/>
          <w:color w:val="auto"/>
        </w:rPr>
        <w:t>Merger</w:t>
      </w:r>
      <w:r>
        <w:rPr>
          <w:rFonts w:ascii="Arial" w:cs="Arial" w:eastAsia="Arial" w:hAnsi="Arial"/>
          <w:sz w:val="17"/>
          <w:szCs w:val="17"/>
          <w:color w:val="auto"/>
        </w:rPr>
        <w:t>” and the transactions contemplated thereby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certain of the former holders of Legacy Nextdoor common stock, Legacy Nextdoor Options, Legacy Nextdoor Restricted Stock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awards outstanding immediately prior to the effective time of the Business Combination have agreed not to sell, pledge, transfer or otherwise dispose of, or grant any option or purchase right with respect to, any shares of our Class A common stock or Class B common stock issued to such holders pursuant to the Business Combination (“</w:t>
      </w:r>
      <w:r>
        <w:rPr>
          <w:rFonts w:ascii="Arial" w:cs="Arial" w:eastAsia="Arial" w:hAnsi="Arial"/>
          <w:sz w:val="17"/>
          <w:szCs w:val="17"/>
          <w:i w:val="1"/>
          <w:iCs w:val="1"/>
          <w:color w:val="auto"/>
        </w:rPr>
        <w:t>Lock-Up Shares</w:t>
      </w:r>
      <w:r>
        <w:rPr>
          <w:rFonts w:ascii="Arial" w:cs="Arial" w:eastAsia="Arial" w:hAnsi="Arial"/>
          <w:sz w:val="17"/>
          <w:szCs w:val="17"/>
          <w:color w:val="auto"/>
        </w:rPr>
        <w:t>”), or engage in any short sale, hedging transaction or other derivative security transaction involving the Lock-Up Shares, for a lock-up period commencing on the closing date of the Business Combination until 180 days following the closing of the Business Combination, subject to customary exceptions.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Lock-Up Agreements</w:t>
      </w:r>
    </w:p>
    <w:p>
      <w:pPr>
        <w:spacing w:after="0" w:line="124" w:lineRule="exact"/>
        <w:rPr>
          <w:sz w:val="20"/>
          <w:szCs w:val="20"/>
          <w:color w:val="auto"/>
        </w:rPr>
      </w:pPr>
    </w:p>
    <w:p>
      <w:pPr>
        <w:ind w:right="40" w:firstLine="318"/>
        <w:spacing w:after="0" w:line="220" w:lineRule="auto"/>
        <w:rPr>
          <w:sz w:val="20"/>
          <w:szCs w:val="20"/>
          <w:color w:val="auto"/>
        </w:rPr>
      </w:pPr>
      <w:r>
        <w:rPr>
          <w:rFonts w:ascii="Arial" w:cs="Arial" w:eastAsia="Arial" w:hAnsi="Arial"/>
          <w:sz w:val="17"/>
          <w:szCs w:val="17"/>
          <w:color w:val="auto"/>
        </w:rPr>
        <w:t>Khosla Ventures SPAC Sponsor II LLC (the “</w:t>
      </w:r>
      <w:r>
        <w:rPr>
          <w:rFonts w:ascii="Arial" w:cs="Arial" w:eastAsia="Arial" w:hAnsi="Arial"/>
          <w:sz w:val="17"/>
          <w:szCs w:val="17"/>
          <w:i w:val="1"/>
          <w:iCs w:val="1"/>
          <w:color w:val="auto"/>
        </w:rPr>
        <w:t>Sponsor</w:t>
      </w:r>
      <w:r>
        <w:rPr>
          <w:rFonts w:ascii="Arial" w:cs="Arial" w:eastAsia="Arial" w:hAnsi="Arial"/>
          <w:sz w:val="17"/>
          <w:szCs w:val="17"/>
          <w:color w:val="auto"/>
        </w:rPr>
        <w:t>”) and certain affiliated individuals entered into lock-up agreements (the “</w:t>
      </w:r>
      <w:r>
        <w:rPr>
          <w:rFonts w:ascii="Arial" w:cs="Arial" w:eastAsia="Arial" w:hAnsi="Arial"/>
          <w:sz w:val="17"/>
          <w:szCs w:val="17"/>
          <w:i w:val="1"/>
          <w:iCs w:val="1"/>
          <w:color w:val="auto"/>
        </w:rPr>
        <w:t>Sponsor Lock-Up</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w:t>
      </w:r>
      <w:r>
        <w:rPr>
          <w:rFonts w:ascii="Arial" w:cs="Arial" w:eastAsia="Arial" w:hAnsi="Arial"/>
          <w:sz w:val="17"/>
          <w:szCs w:val="17"/>
          <w:color w:val="auto"/>
        </w:rPr>
        <w:t>”) upon consummation of the Merger on November 5, 2021 (the “</w:t>
      </w:r>
      <w:r>
        <w:rPr>
          <w:rFonts w:ascii="Arial" w:cs="Arial" w:eastAsia="Arial" w:hAnsi="Arial"/>
          <w:sz w:val="17"/>
          <w:szCs w:val="17"/>
          <w:i w:val="1"/>
          <w:iCs w:val="1"/>
          <w:color w:val="auto"/>
        </w:rPr>
        <w:t>Closing</w:t>
      </w:r>
      <w:r>
        <w:rPr>
          <w:rFonts w:ascii="Arial" w:cs="Arial" w:eastAsia="Arial" w:hAnsi="Arial"/>
          <w:sz w:val="17"/>
          <w:szCs w:val="17"/>
          <w:color w:val="auto"/>
        </w:rPr>
        <w:t>”). The Sponsor Lock-Up Agreements contain certain restrictions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with respect to shares of common stock held by the Sponsor and certain affiliated individuals (the “</w:t>
      </w:r>
      <w:r>
        <w:rPr>
          <w:rFonts w:ascii="Arial" w:cs="Arial" w:eastAsia="Arial" w:hAnsi="Arial"/>
          <w:sz w:val="17"/>
          <w:szCs w:val="17"/>
          <w:i w:val="1"/>
          <w:iCs w:val="1"/>
          <w:color w:val="auto"/>
        </w:rPr>
        <w:t>Sponsor Holders</w:t>
      </w:r>
      <w:r>
        <w:rPr>
          <w:rFonts w:ascii="Arial" w:cs="Arial" w:eastAsia="Arial" w:hAnsi="Arial"/>
          <w:sz w:val="17"/>
          <w:szCs w:val="17"/>
          <w:color w:val="auto"/>
        </w:rPr>
        <w:t>”) immediately following the Closing of the Business Combination (other than shares purchased in the public market or shares purchased in the PIPE investment) (the “</w:t>
      </w:r>
      <w:r>
        <w:rPr>
          <w:rFonts w:ascii="Arial" w:cs="Arial" w:eastAsia="Arial" w:hAnsi="Arial"/>
          <w:sz w:val="17"/>
          <w:szCs w:val="17"/>
          <w:i w:val="1"/>
          <w:iCs w:val="1"/>
          <w:color w:val="auto"/>
        </w:rPr>
        <w:t>Sponsor Holders</w:t>
      </w:r>
      <w:r>
        <w:rPr>
          <w:rFonts w:ascii="Arial" w:cs="Arial" w:eastAsia="Arial" w:hAnsi="Arial"/>
          <w:sz w:val="17"/>
          <w:szCs w:val="17"/>
          <w:color w:val="auto"/>
        </w:rPr>
        <w:t xml:space="preserve"> </w:t>
      </w:r>
      <w:r>
        <w:rPr>
          <w:rFonts w:ascii="Arial" w:cs="Arial" w:eastAsia="Arial" w:hAnsi="Arial"/>
          <w:sz w:val="17"/>
          <w:szCs w:val="17"/>
          <w:i w:val="1"/>
          <w:iCs w:val="1"/>
          <w:color w:val="auto"/>
        </w:rPr>
        <w:t>Lock-Up Shares</w:t>
      </w:r>
      <w:r>
        <w:rPr>
          <w:rFonts w:ascii="Arial" w:cs="Arial" w:eastAsia="Arial" w:hAnsi="Arial"/>
          <w:sz w:val="17"/>
          <w:szCs w:val="17"/>
          <w:color w:val="auto"/>
        </w:rPr>
        <w:t>”). Such restrictions began at the Closing and end on the date that is one year after the Closing of the Business Combination, subject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customary exceptions, including if, after Closing, we complete a transaction that results in a change of control, the Sponsor Holders Lock-Up Shares are released from restriction immediately prior to such change of control.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30" w:lineRule="exact"/>
        <w:rPr>
          <w:sz w:val="20"/>
          <w:szCs w:val="20"/>
          <w:color w:val="auto"/>
        </w:rPr>
      </w:pPr>
    </w:p>
    <w:p>
      <w:pPr>
        <w:ind w:firstLine="318"/>
        <w:spacing w:after="0" w:line="246" w:lineRule="auto"/>
        <w:rPr>
          <w:sz w:val="20"/>
          <w:szCs w:val="20"/>
          <w:color w:val="auto"/>
        </w:rPr>
      </w:pPr>
      <w:r>
        <w:rPr>
          <w:rFonts w:ascii="Arial" w:cs="Arial" w:eastAsia="Arial" w:hAnsi="Arial"/>
          <w:sz w:val="15"/>
          <w:szCs w:val="15"/>
          <w:color w:val="auto"/>
        </w:rPr>
        <w:t>Our Board of Directors is authorized, subject to limitations prescribed by Delaware law, to issue up to 50,000,000 shares of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The number of authorized shares of our preferred stock may be increased or decreased (but not below the number of shares thereof then outstanding) by the affirmative vote of the holders of a majority of the voting stock, without a separate vote of the holders of the preferred stock, irrespective of the provisions of Section 242(b)(2) of the DGCL, unless a separate vote of the holders of one or more series is required pursuant to the terms of any applicable certificate of designation.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the Company’s control and might adversely affect the market price of our Class A common stock and the voting and other rights of the holders of our Class A common stock and Class B common stock. We do not currently plan to issue any shares of preferred stock.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30" w:lineRule="exact"/>
        <w:rPr>
          <w:sz w:val="20"/>
          <w:szCs w:val="20"/>
          <w:color w:val="auto"/>
        </w:rPr>
      </w:pPr>
    </w:p>
    <w:p>
      <w:pPr>
        <w:ind w:right="20" w:firstLine="318"/>
        <w:spacing w:after="0" w:line="257" w:lineRule="auto"/>
        <w:rPr>
          <w:sz w:val="20"/>
          <w:szCs w:val="20"/>
          <w:color w:val="auto"/>
        </w:rPr>
      </w:pPr>
      <w:r>
        <w:rPr>
          <w:rFonts w:ascii="Arial" w:cs="Arial" w:eastAsia="Arial" w:hAnsi="Arial"/>
          <w:sz w:val="15"/>
          <w:szCs w:val="15"/>
          <w:color w:val="auto"/>
        </w:rPr>
        <w:t>The provisions of the DGCL, our Certificate of Incorporation, and our Bylaws could have the effect of delaying, deferring or discouraging another person from acquiring control of the Company. These provisions, which are summarized below, are expected to discourage certain types of coercive takeover practices and inadequate takeover bids and encourage persons seeking to acquire control of the Company to first negotiate with our Board of Directors. We believe that the benefits of increased protection of our potential ability to negotiate with an unfriendly or unsolicited acquirer outweigh the disadvantages of discouraging a proposal to acquire the Company because negotiation of these proposals could result in an improvement of their terms.</w:t>
      </w:r>
    </w:p>
    <w:p>
      <w:pPr>
        <w:sectPr>
          <w:pgSz w:w="11900" w:h="16838" w:orient="portrait"/>
          <w:cols w:equalWidth="0" w:num="1">
            <w:col w:w="11220"/>
          </w:cols>
          <w:pgMar w:left="320" w:top="1386"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124" w:lineRule="exact"/>
        <w:rPr>
          <w:sz w:val="20"/>
          <w:szCs w:val="20"/>
          <w:color w:val="auto"/>
        </w:rPr>
      </w:pPr>
    </w:p>
    <w:p>
      <w:pPr>
        <w:ind w:right="200" w:firstLine="318"/>
        <w:spacing w:after="0" w:line="227" w:lineRule="auto"/>
        <w:rPr>
          <w:sz w:val="20"/>
          <w:szCs w:val="20"/>
          <w:color w:val="auto"/>
        </w:rPr>
      </w:pPr>
      <w:r>
        <w:rPr>
          <w:rFonts w:ascii="Arial" w:cs="Arial" w:eastAsia="Arial" w:hAnsi="Arial"/>
          <w:sz w:val="17"/>
          <w:szCs w:val="17"/>
          <w:color w:val="auto"/>
        </w:rPr>
        <w:t>The Company is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35" w:lineRule="exact"/>
        <w:rPr>
          <w:sz w:val="20"/>
          <w:szCs w:val="20"/>
          <w:color w:val="auto"/>
        </w:rPr>
      </w:pPr>
    </w:p>
    <w:p>
      <w:pPr>
        <w:ind w:left="640" w:right="160" w:hanging="316"/>
        <w:spacing w:after="0" w:line="218" w:lineRule="auto"/>
        <w:tabs>
          <w:tab w:leader="none" w:pos="635" w:val="left"/>
        </w:tabs>
        <w:numPr>
          <w:ilvl w:val="0"/>
          <w:numId w:val="51"/>
        </w:numPr>
        <w:rPr>
          <w:rFonts w:ascii="Arial" w:cs="Arial" w:eastAsia="Arial" w:hAnsi="Arial"/>
          <w:sz w:val="21"/>
          <w:szCs w:val="21"/>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35" w:lineRule="exact"/>
        <w:rPr>
          <w:rFonts w:ascii="Arial" w:cs="Arial" w:eastAsia="Arial" w:hAnsi="Arial"/>
          <w:sz w:val="21"/>
          <w:szCs w:val="21"/>
          <w:color w:val="auto"/>
        </w:rPr>
      </w:pPr>
    </w:p>
    <w:p>
      <w:pPr>
        <w:ind w:left="640" w:hanging="316"/>
        <w:spacing w:after="0" w:line="209" w:lineRule="auto"/>
        <w:tabs>
          <w:tab w:leader="none" w:pos="635" w:val="left"/>
        </w:tabs>
        <w:numPr>
          <w:ilvl w:val="0"/>
          <w:numId w:val="51"/>
        </w:numPr>
        <w:rPr>
          <w:rFonts w:ascii="Arial" w:cs="Arial" w:eastAsia="Arial" w:hAnsi="Arial"/>
          <w:sz w:val="21"/>
          <w:szCs w:val="21"/>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16" w:lineRule="exact"/>
        <w:rPr>
          <w:rFonts w:ascii="Arial" w:cs="Arial" w:eastAsia="Arial" w:hAnsi="Arial"/>
          <w:sz w:val="21"/>
          <w:szCs w:val="21"/>
          <w:color w:val="auto"/>
        </w:rPr>
      </w:pPr>
    </w:p>
    <w:p>
      <w:pPr>
        <w:ind w:left="640" w:right="60" w:hanging="316"/>
        <w:spacing w:after="0" w:line="212" w:lineRule="auto"/>
        <w:tabs>
          <w:tab w:leader="none" w:pos="635" w:val="left"/>
        </w:tabs>
        <w:numPr>
          <w:ilvl w:val="0"/>
          <w:numId w:val="51"/>
        </w:numPr>
        <w:rPr>
          <w:rFonts w:ascii="Arial" w:cs="Arial" w:eastAsia="Arial" w:hAnsi="Arial"/>
          <w:sz w:val="21"/>
          <w:szCs w:val="21"/>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Section 203 defines a business combination to include:</w:t>
      </w:r>
    </w:p>
    <w:p>
      <w:pPr>
        <w:ind w:left="640" w:hanging="316"/>
        <w:spacing w:after="0"/>
        <w:tabs>
          <w:tab w:leader="none" w:pos="640" w:val="left"/>
        </w:tabs>
        <w:numPr>
          <w:ilvl w:val="0"/>
          <w:numId w:val="52"/>
        </w:numPr>
        <w:rPr>
          <w:rFonts w:ascii="Arial" w:cs="Arial" w:eastAsia="Arial" w:hAnsi="Arial"/>
          <w:sz w:val="21"/>
          <w:szCs w:val="21"/>
          <w:color w:val="auto"/>
        </w:rPr>
      </w:pPr>
      <w:r>
        <w:rPr>
          <w:rFonts w:ascii="Arial" w:cs="Arial" w:eastAsia="Arial" w:hAnsi="Arial"/>
          <w:sz w:val="18"/>
          <w:szCs w:val="18"/>
          <w:color w:val="auto"/>
        </w:rPr>
        <w:t>any merger or consolidation involving the corporation and the interested stockholder;</w:t>
      </w:r>
    </w:p>
    <w:p>
      <w:pPr>
        <w:spacing w:after="0" w:line="378" w:lineRule="exact"/>
        <w:rPr>
          <w:rFonts w:ascii="Arial" w:cs="Arial" w:eastAsia="Arial" w:hAnsi="Arial"/>
          <w:sz w:val="21"/>
          <w:szCs w:val="21"/>
          <w:color w:val="auto"/>
        </w:rPr>
      </w:pPr>
    </w:p>
    <w:p>
      <w:pPr>
        <w:ind w:left="640" w:hanging="316"/>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17"/>
          <w:szCs w:val="17"/>
          <w:color w:val="auto"/>
        </w:rPr>
        <w:t>any sale, transfer, lease, pledge, or other disposition involving the interested stockholder of 10% or more of the assets of the corporation;</w:t>
      </w:r>
    </w:p>
    <w:p>
      <w:pPr>
        <w:spacing w:after="0" w:line="227" w:lineRule="exact"/>
        <w:rPr>
          <w:rFonts w:ascii="Arial" w:cs="Arial" w:eastAsia="Arial" w:hAnsi="Arial"/>
          <w:sz w:val="20"/>
          <w:szCs w:val="20"/>
          <w:color w:val="auto"/>
        </w:rPr>
      </w:pPr>
    </w:p>
    <w:p>
      <w:pPr>
        <w:ind w:left="640" w:right="520" w:hanging="316"/>
        <w:spacing w:after="0" w:line="218" w:lineRule="auto"/>
        <w:tabs>
          <w:tab w:leader="none" w:pos="635" w:val="left"/>
        </w:tabs>
        <w:numPr>
          <w:ilvl w:val="0"/>
          <w:numId w:val="52"/>
        </w:numPr>
        <w:rPr>
          <w:rFonts w:ascii="Arial" w:cs="Arial" w:eastAsia="Arial" w:hAnsi="Arial"/>
          <w:sz w:val="21"/>
          <w:szCs w:val="21"/>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215" w:lineRule="exact"/>
        <w:rPr>
          <w:rFonts w:ascii="Arial" w:cs="Arial" w:eastAsia="Arial" w:hAnsi="Arial"/>
          <w:sz w:val="21"/>
          <w:szCs w:val="21"/>
          <w:color w:val="auto"/>
        </w:rPr>
      </w:pPr>
    </w:p>
    <w:p>
      <w:pPr>
        <w:ind w:left="640" w:right="220" w:hanging="316"/>
        <w:spacing w:after="0" w:line="218" w:lineRule="auto"/>
        <w:tabs>
          <w:tab w:leader="none" w:pos="635" w:val="left"/>
        </w:tabs>
        <w:numPr>
          <w:ilvl w:val="0"/>
          <w:numId w:val="52"/>
        </w:numPr>
        <w:rPr>
          <w:rFonts w:ascii="Arial" w:cs="Arial" w:eastAsia="Arial" w:hAnsi="Arial"/>
          <w:sz w:val="21"/>
          <w:szCs w:val="21"/>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215" w:lineRule="exact"/>
        <w:rPr>
          <w:rFonts w:ascii="Arial" w:cs="Arial" w:eastAsia="Arial" w:hAnsi="Arial"/>
          <w:sz w:val="21"/>
          <w:szCs w:val="21"/>
          <w:color w:val="auto"/>
        </w:rPr>
      </w:pPr>
    </w:p>
    <w:p>
      <w:pPr>
        <w:ind w:left="640" w:right="60" w:hanging="316"/>
        <w:spacing w:after="0" w:line="218" w:lineRule="auto"/>
        <w:tabs>
          <w:tab w:leader="none" w:pos="635" w:val="left"/>
        </w:tabs>
        <w:numPr>
          <w:ilvl w:val="0"/>
          <w:numId w:val="52"/>
        </w:numPr>
        <w:rPr>
          <w:rFonts w:ascii="Arial" w:cs="Arial" w:eastAsia="Arial" w:hAnsi="Arial"/>
          <w:sz w:val="21"/>
          <w:szCs w:val="21"/>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9" w:lineRule="exact"/>
        <w:rPr>
          <w:sz w:val="20"/>
          <w:szCs w:val="20"/>
          <w:color w:val="auto"/>
        </w:rPr>
      </w:pPr>
    </w:p>
    <w:p>
      <w:pPr>
        <w:ind w:right="140" w:firstLine="318"/>
        <w:spacing w:after="0" w:line="229"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24" w:lineRule="exact"/>
        <w:rPr>
          <w:sz w:val="20"/>
          <w:szCs w:val="20"/>
          <w:color w:val="auto"/>
        </w:rPr>
      </w:pPr>
    </w:p>
    <w:p>
      <w:pPr>
        <w:ind w:firstLine="318"/>
        <w:spacing w:after="0" w:line="219" w:lineRule="auto"/>
        <w:rPr>
          <w:sz w:val="20"/>
          <w:szCs w:val="20"/>
          <w:color w:val="auto"/>
        </w:rPr>
      </w:pPr>
      <w:r>
        <w:rPr>
          <w:rFonts w:ascii="Arial" w:cs="Arial" w:eastAsia="Arial" w:hAnsi="Arial"/>
          <w:sz w:val="18"/>
          <w:szCs w:val="18"/>
          <w:color w:val="auto"/>
        </w:rPr>
        <w:t>The Certificate of Incorporation and the Bylaws include a number of provisions that may have the effect of deterring hostile takeovers, or delaying or preventing changes in control of the Company’s management team or changes in our Board of Directors or the Company’s governance or policy, including the following:</w:t>
      </w:r>
    </w:p>
    <w:p>
      <w:pPr>
        <w:spacing w:after="0" w:line="136" w:lineRule="exact"/>
        <w:rPr>
          <w:sz w:val="20"/>
          <w:szCs w:val="20"/>
          <w:color w:val="auto"/>
        </w:rPr>
      </w:pPr>
    </w:p>
    <w:p>
      <w:pPr>
        <w:ind w:left="640" w:right="40" w:hanging="316"/>
        <w:spacing w:after="0" w:line="207" w:lineRule="auto"/>
        <w:tabs>
          <w:tab w:leader="none" w:pos="635" w:val="left"/>
        </w:tabs>
        <w:numPr>
          <w:ilvl w:val="0"/>
          <w:numId w:val="53"/>
        </w:numPr>
        <w:rPr>
          <w:rFonts w:ascii="Arial" w:cs="Arial" w:eastAsia="Arial" w:hAnsi="Arial"/>
          <w:sz w:val="21"/>
          <w:szCs w:val="21"/>
          <w:color w:val="auto"/>
        </w:rPr>
      </w:pPr>
      <w:r>
        <w:rPr>
          <w:rFonts w:ascii="Arial" w:cs="Arial" w:eastAsia="Arial" w:hAnsi="Arial"/>
          <w:sz w:val="18"/>
          <w:szCs w:val="18"/>
          <w:b w:val="1"/>
          <w:bCs w:val="1"/>
          <w:i w:val="1"/>
          <w:iCs w:val="1"/>
          <w:color w:val="auto"/>
        </w:rPr>
        <w:t>Dual Class Common Stock</w:t>
      </w:r>
      <w:r>
        <w:rPr>
          <w:rFonts w:ascii="Arial" w:cs="Arial" w:eastAsia="Arial" w:hAnsi="Arial"/>
          <w:sz w:val="18"/>
          <w:szCs w:val="18"/>
          <w:color w:val="auto"/>
        </w:rPr>
        <w:t>. As described above in the section entitled “</w:t>
      </w:r>
      <w:r>
        <w:rPr>
          <w:rFonts w:ascii="Arial" w:cs="Arial" w:eastAsia="Arial" w:hAnsi="Arial"/>
          <w:sz w:val="18"/>
          <w:szCs w:val="18"/>
          <w:i w:val="1"/>
          <w:iCs w:val="1"/>
          <w:color w:val="auto"/>
        </w:rPr>
        <w:t>- Class A Common Stock and Class B Common Stock - Voting Rights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provides for a dual class common stock structure pursuant to which holders of Class B common stock have the ability to control the outcome of matters requiring stockholder approval, even if they own significantly less than a majority of the shares of outstanding Class A common stock and Class B common stock, including the election of directors and significant corporate transactions, such as a merger or other sale of the Company or its assets. The</w:t>
      </w:r>
    </w:p>
    <w:p>
      <w:pPr>
        <w:sectPr>
          <w:pgSz w:w="11900" w:h="16838" w:orient="portrait"/>
          <w:cols w:equalWidth="0" w:num="1">
            <w:col w:w="11200"/>
          </w:cols>
          <w:pgMar w:left="320" w:top="1386" w:right="379" w:bottom="1440" w:gutter="0" w:footer="0" w:header="0"/>
        </w:sectPr>
      </w:pPr>
    </w:p>
    <w:bookmarkStart w:id="112" w:name="page113"/>
    <w:bookmarkEnd w:id="112"/>
    <w:p>
      <w:pPr>
        <w:ind w:left="316"/>
        <w:spacing w:after="0"/>
        <w:rPr>
          <w:sz w:val="20"/>
          <w:szCs w:val="20"/>
          <w:color w:val="auto"/>
        </w:rPr>
      </w:pPr>
      <w:r>
        <w:rPr>
          <w:rFonts w:ascii="Arial" w:cs="Arial" w:eastAsia="Arial" w:hAnsi="Arial"/>
          <w:sz w:val="18"/>
          <w:szCs w:val="18"/>
          <w:color w:val="auto"/>
        </w:rPr>
        <w:t>Company’s investors, executives, and employees will have the ability to exercise significant influence over those matters.</w:t>
      </w:r>
    </w:p>
    <w:p>
      <w:pPr>
        <w:spacing w:after="0" w:line="151" w:lineRule="exact"/>
        <w:rPr>
          <w:sz w:val="20"/>
          <w:szCs w:val="20"/>
          <w:color w:val="auto"/>
        </w:rPr>
      </w:pPr>
    </w:p>
    <w:p>
      <w:pPr>
        <w:ind w:left="316" w:right="60" w:hanging="316"/>
        <w:spacing w:after="0" w:line="205" w:lineRule="auto"/>
        <w:tabs>
          <w:tab w:leader="none" w:pos="311" w:val="left"/>
        </w:tabs>
        <w:numPr>
          <w:ilvl w:val="0"/>
          <w:numId w:val="54"/>
        </w:numPr>
        <w:rPr>
          <w:rFonts w:ascii="Arial" w:cs="Arial" w:eastAsia="Arial" w:hAnsi="Arial"/>
          <w:sz w:val="21"/>
          <w:szCs w:val="21"/>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color w:val="auto"/>
        </w:rPr>
        <w:t>. The Certificate of Incorporation and the Bylaws authorize generally only our Board of Directors to fill vacant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directorships resulting from any cause or created by the expansion of the Board of Directors. In addition, the number of directors constituting our Board of Directors may be set only by resolution adopted by a majority vote of the entire Board of Directors. These provisions prevent a stockholder from increasing the size of the Board of Directors and gaining control of our Board of Directors by filling the resulting vacancies with its own nominees.</w:t>
      </w:r>
    </w:p>
    <w:p>
      <w:pPr>
        <w:spacing w:after="0" w:line="1" w:lineRule="exact"/>
        <w:rPr>
          <w:rFonts w:ascii="Arial" w:cs="Arial" w:eastAsia="Arial" w:hAnsi="Arial"/>
          <w:sz w:val="21"/>
          <w:szCs w:val="21"/>
          <w:color w:val="auto"/>
        </w:rPr>
      </w:pPr>
    </w:p>
    <w:p>
      <w:pPr>
        <w:ind w:left="316" w:right="20" w:hanging="316"/>
        <w:spacing w:after="0" w:line="202" w:lineRule="auto"/>
        <w:tabs>
          <w:tab w:leader="none" w:pos="311" w:val="left"/>
        </w:tabs>
        <w:numPr>
          <w:ilvl w:val="0"/>
          <w:numId w:val="54"/>
        </w:numPr>
        <w:rPr>
          <w:rFonts w:ascii="Arial" w:cs="Arial" w:eastAsia="Arial" w:hAnsi="Arial"/>
          <w:sz w:val="21"/>
          <w:szCs w:val="21"/>
          <w:color w:val="auto"/>
        </w:rPr>
      </w:pP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The Certificate of Incorporation and the Bylaws provide that the Board of Directors is classified into three classes of directors.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existence of a classified board of directors could delay a successful tender offeror from obtaining majority control of the Board of Directors, and the prospect of that delay might deter a potential offeror. For additional information, see the section entitled “</w:t>
      </w:r>
      <w:r>
        <w:rPr>
          <w:rFonts w:ascii="Arial" w:cs="Arial" w:eastAsia="Arial" w:hAnsi="Arial"/>
          <w:sz w:val="18"/>
          <w:szCs w:val="18"/>
          <w:i w:val="1"/>
          <w:iCs w:val="1"/>
          <w:color w:val="auto"/>
        </w:rPr>
        <w:t>Management - Executive Officers and</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 - Classified Board of Directors</w:t>
      </w:r>
      <w:r>
        <w:rPr>
          <w:rFonts w:ascii="Arial" w:cs="Arial" w:eastAsia="Arial" w:hAnsi="Arial"/>
          <w:sz w:val="18"/>
          <w:szCs w:val="18"/>
          <w:color w:val="auto"/>
        </w:rPr>
        <w:t>.”</w:t>
      </w:r>
    </w:p>
    <w:p>
      <w:pPr>
        <w:spacing w:after="0" w:line="2" w:lineRule="exact"/>
        <w:rPr>
          <w:rFonts w:ascii="Arial" w:cs="Arial" w:eastAsia="Arial" w:hAnsi="Arial"/>
          <w:sz w:val="21"/>
          <w:szCs w:val="21"/>
          <w:color w:val="auto"/>
        </w:rPr>
      </w:pPr>
    </w:p>
    <w:p>
      <w:pPr>
        <w:ind w:left="316" w:right="20" w:hanging="316"/>
        <w:spacing w:after="0" w:line="205" w:lineRule="auto"/>
        <w:tabs>
          <w:tab w:leader="none" w:pos="311" w:val="left"/>
        </w:tabs>
        <w:numPr>
          <w:ilvl w:val="0"/>
          <w:numId w:val="54"/>
        </w:numPr>
        <w:rPr>
          <w:rFonts w:ascii="Arial" w:cs="Arial" w:eastAsia="Arial" w:hAnsi="Arial"/>
          <w:sz w:val="21"/>
          <w:szCs w:val="21"/>
          <w:color w:val="auto"/>
        </w:rPr>
      </w:pPr>
      <w:r>
        <w:rPr>
          <w:rFonts w:ascii="Arial" w:cs="Arial" w:eastAsia="Arial" w:hAnsi="Arial"/>
          <w:sz w:val="18"/>
          <w:szCs w:val="18"/>
          <w:b w:val="1"/>
          <w:bCs w:val="1"/>
          <w:i w:val="1"/>
          <w:iCs w:val="1"/>
          <w:color w:val="auto"/>
        </w:rPr>
        <w:t>Directors Removed Only for Cause</w:t>
      </w:r>
      <w:r>
        <w:rPr>
          <w:rFonts w:ascii="Arial" w:cs="Arial" w:eastAsia="Arial" w:hAnsi="Arial"/>
          <w:sz w:val="18"/>
          <w:szCs w:val="18"/>
          <w:color w:val="auto"/>
        </w:rPr>
        <w:t>. The Certificate of Incorporation provides that stockholders may remove directors only for cause and only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the holders of at least two-thirds of the voting power of the then-outstanding common stock.</w:t>
      </w:r>
    </w:p>
    <w:p>
      <w:pPr>
        <w:spacing w:after="0" w:line="1" w:lineRule="exact"/>
        <w:rPr>
          <w:rFonts w:ascii="Arial" w:cs="Arial" w:eastAsia="Arial" w:hAnsi="Arial"/>
          <w:sz w:val="21"/>
          <w:szCs w:val="21"/>
          <w:color w:val="auto"/>
        </w:rPr>
      </w:pPr>
    </w:p>
    <w:p>
      <w:pPr>
        <w:ind w:left="316" w:right="20" w:hanging="316"/>
        <w:spacing w:after="0" w:line="225" w:lineRule="auto"/>
        <w:tabs>
          <w:tab w:leader="none" w:pos="311" w:val="left"/>
        </w:tabs>
        <w:numPr>
          <w:ilvl w:val="0"/>
          <w:numId w:val="54"/>
        </w:numPr>
        <w:rPr>
          <w:rFonts w:ascii="Arial" w:cs="Arial" w:eastAsia="Arial" w:hAnsi="Arial"/>
          <w:sz w:val="19"/>
          <w:szCs w:val="19"/>
          <w:color w:val="auto"/>
        </w:rPr>
      </w:pPr>
      <w:r>
        <w:rPr>
          <w:rFonts w:ascii="Arial" w:cs="Arial" w:eastAsia="Arial" w:hAnsi="Arial"/>
          <w:sz w:val="16"/>
          <w:szCs w:val="16"/>
          <w:b w:val="1"/>
          <w:bCs w:val="1"/>
          <w:i w:val="1"/>
          <w:iCs w:val="1"/>
          <w:color w:val="auto"/>
        </w:rPr>
        <w:t>Supermajority Requirements for Amendments of the Certificate of Incorporation and Bylaws</w:t>
      </w:r>
      <w:r>
        <w:rPr>
          <w:rFonts w:ascii="Arial" w:cs="Arial" w:eastAsia="Arial" w:hAnsi="Arial"/>
          <w:sz w:val="16"/>
          <w:szCs w:val="16"/>
          <w:color w:val="auto"/>
        </w:rPr>
        <w:t>. The Certificate of Incorporation further provide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affirmative vote of holders of at least two-thirds (2/3) of the voting power of all of the then outstanding shares of capital stock will be required to amend certain provisions of the Certificate of Incorporation, including provisions relating to the classified board, the size of the Board of Directors, removal of directors, special meetings, actions by written consent and designation of our preferred stock, provided that if two-thirds of the Board of Directors has approved such amendment only the affirmative vote of a majority of the voting power of all of the then outstanding shares of capital stock shall be required to amend the Certificate of Incorporation. The affirmative vote of holders of at least two-thirds (2/3) of the voting power of all of the then outstanding shares of common stock will be required to amend or repeal the Bylaws, although the Bylaws may be amended by a simple majority vote of the Board of Directors. Additionally, in the case of any proposed adoption, amendment, or repeal of any provisions of the Bylaws that is approved by the Board of Directors and submitted to the stockholders for adoption, if two-thirds of the Board of Directors has approved such adoption, amendment, or repeal of any provisions of the Bylaws, then only the affirmative vote of a majority of the voting power of all of the then outstanding shares of common stock shall be required to adopt, amend, or repeal any provision of the Bylaws.</w:t>
      </w:r>
    </w:p>
    <w:p>
      <w:pPr>
        <w:spacing w:after="0" w:line="4" w:lineRule="exact"/>
        <w:rPr>
          <w:rFonts w:ascii="Arial" w:cs="Arial" w:eastAsia="Arial" w:hAnsi="Arial"/>
          <w:sz w:val="19"/>
          <w:szCs w:val="19"/>
          <w:color w:val="auto"/>
        </w:rPr>
      </w:pPr>
    </w:p>
    <w:p>
      <w:pPr>
        <w:ind w:left="316" w:hanging="316"/>
        <w:spacing w:after="0" w:line="213" w:lineRule="auto"/>
        <w:tabs>
          <w:tab w:leader="none" w:pos="311" w:val="left"/>
        </w:tabs>
        <w:numPr>
          <w:ilvl w:val="0"/>
          <w:numId w:val="54"/>
        </w:numPr>
        <w:rPr>
          <w:rFonts w:ascii="Arial" w:cs="Arial" w:eastAsia="Arial" w:hAnsi="Arial"/>
          <w:sz w:val="20"/>
          <w:szCs w:val="20"/>
          <w:color w:val="auto"/>
        </w:rPr>
      </w:pPr>
      <w:r>
        <w:rPr>
          <w:rFonts w:ascii="Arial" w:cs="Arial" w:eastAsia="Arial" w:hAnsi="Arial"/>
          <w:sz w:val="17"/>
          <w:szCs w:val="17"/>
          <w:b w:val="1"/>
          <w:bCs w:val="1"/>
          <w:i w:val="1"/>
          <w:iCs w:val="1"/>
          <w:color w:val="auto"/>
        </w:rPr>
        <w:t>Stockholder Action; Special Meetings of Stockholders</w:t>
      </w:r>
      <w:r>
        <w:rPr>
          <w:rFonts w:ascii="Arial" w:cs="Arial" w:eastAsia="Arial" w:hAnsi="Arial"/>
          <w:sz w:val="17"/>
          <w:szCs w:val="17"/>
          <w:color w:val="auto"/>
        </w:rPr>
        <w:t>. The Certificate of Incorporation provides that the Company’s stockholders may not take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 by written consent, but may only take action at annual or special meetings of the Company’s stockholders. As a result, holders of our common stock would not be able to amend the Bylaws or remove directors without holding a meeting of the Company’s stockholders called in accordance with the Bylaws. The Certificate of Incorporation and the Bylaws provide that special meetings of the Company’s stockholders may be called only by a majority of the Board of Directors, the chairman of the Board of Directors or the Company’s chief executive officer, thus prohibiting a stockholder from calling a special meeting. These provisions might delay the ability of the Company’s stockholders to force consideration of a proposal or for stockholders to take any action, including the removal of directors.</w:t>
      </w:r>
    </w:p>
    <w:p>
      <w:pPr>
        <w:ind w:left="316" w:hanging="316"/>
        <w:spacing w:after="0" w:line="244" w:lineRule="auto"/>
        <w:tabs>
          <w:tab w:leader="none" w:pos="311" w:val="left"/>
        </w:tabs>
        <w:numPr>
          <w:ilvl w:val="0"/>
          <w:numId w:val="54"/>
        </w:numPr>
        <w:rPr>
          <w:rFonts w:ascii="Arial" w:cs="Arial" w:eastAsia="Arial" w:hAnsi="Arial"/>
          <w:sz w:val="18"/>
          <w:szCs w:val="18"/>
          <w:color w:val="auto"/>
        </w:rPr>
      </w:pPr>
      <w:r>
        <w:rPr>
          <w:rFonts w:ascii="Arial" w:cs="Arial" w:eastAsia="Arial" w:hAnsi="Arial"/>
          <w:sz w:val="15"/>
          <w:szCs w:val="15"/>
          <w:b w:val="1"/>
          <w:bCs w:val="1"/>
          <w:i w:val="1"/>
          <w:iCs w:val="1"/>
          <w:color w:val="auto"/>
        </w:rPr>
        <w:t>Advance Notice Requirements for Stockholder Proposals and Director Nominations</w:t>
      </w:r>
      <w:r>
        <w:rPr>
          <w:rFonts w:ascii="Arial" w:cs="Arial" w:eastAsia="Arial" w:hAnsi="Arial"/>
          <w:sz w:val="15"/>
          <w:szCs w:val="15"/>
          <w:color w:val="auto"/>
        </w:rPr>
        <w:t>. The Bylaws provide advance notice procedures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stockholders seeking to bring business before the Company’s annual meeting of stockholders or to nominate candidates for election as directors at the Company’s annual meeting of stockholders. The Bylaws also specify certain requirements regarding the form and content of a stockholder’s notice. These provisions may preclude the Company’s stockholders from bringing matters before the Company’s annual meeting of stockholders or from making nominations for directors at the Company annual meeting of stockholders. We expect that these provisions might also discourage or deter a</w:t>
      </w:r>
    </w:p>
    <w:p>
      <w:pPr>
        <w:sectPr>
          <w:pgSz w:w="11900" w:h="16838" w:orient="portrait"/>
          <w:cols w:equalWidth="0" w:num="1">
            <w:col w:w="10896"/>
          </w:cols>
          <w:pgMar w:left="644" w:top="1386" w:right="359" w:bottom="1440" w:gutter="0" w:footer="0" w:header="0"/>
        </w:sectPr>
      </w:pPr>
    </w:p>
    <w:bookmarkStart w:id="113" w:name="page114"/>
    <w:bookmarkEnd w:id="113"/>
    <w:p>
      <w:pPr>
        <w:ind w:left="640" w:right="160"/>
        <w:spacing w:after="0" w:line="204" w:lineRule="auto"/>
        <w:rPr>
          <w:sz w:val="20"/>
          <w:szCs w:val="20"/>
          <w:color w:val="auto"/>
        </w:rPr>
      </w:pPr>
      <w:r>
        <w:rPr>
          <w:rFonts w:ascii="Arial" w:cs="Arial" w:eastAsia="Arial" w:hAnsi="Arial"/>
          <w:sz w:val="18"/>
          <w:szCs w:val="18"/>
          <w:color w:val="auto"/>
        </w:rPr>
        <w:t>potential acquirer from conducting a solicitation of proxies to elect the acquirer’s own slate of directors or otherwise attempting to obtain control of the Company.</w:t>
      </w:r>
    </w:p>
    <w:p>
      <w:pPr>
        <w:spacing w:after="0" w:line="19" w:lineRule="exact"/>
        <w:rPr>
          <w:sz w:val="20"/>
          <w:szCs w:val="20"/>
          <w:color w:val="auto"/>
        </w:rPr>
      </w:pPr>
    </w:p>
    <w:p>
      <w:pPr>
        <w:ind w:left="640" w:right="320" w:hanging="316"/>
        <w:spacing w:after="0" w:line="237" w:lineRule="auto"/>
        <w:tabs>
          <w:tab w:leader="none" w:pos="635" w:val="left"/>
        </w:tabs>
        <w:numPr>
          <w:ilvl w:val="0"/>
          <w:numId w:val="55"/>
        </w:numPr>
        <w:rPr>
          <w:rFonts w:ascii="Arial" w:cs="Arial" w:eastAsia="Arial" w:hAnsi="Arial"/>
          <w:sz w:val="19"/>
          <w:szCs w:val="19"/>
          <w:color w:val="auto"/>
        </w:rPr>
      </w:pPr>
      <w:r>
        <w:rPr>
          <w:rFonts w:ascii="Arial" w:cs="Arial" w:eastAsia="Arial" w:hAnsi="Arial"/>
          <w:sz w:val="16"/>
          <w:szCs w:val="16"/>
          <w:b w:val="1"/>
          <w:bCs w:val="1"/>
          <w:i w:val="1"/>
          <w:iCs w:val="1"/>
          <w:color w:val="auto"/>
        </w:rPr>
        <w:t>No Cumulative Voting</w:t>
      </w:r>
      <w:r>
        <w:rPr>
          <w:rFonts w:ascii="Arial" w:cs="Arial" w:eastAsia="Arial" w:hAnsi="Arial"/>
          <w:sz w:val="16"/>
          <w:szCs w:val="16"/>
          <w:color w:val="auto"/>
        </w:rPr>
        <w:t>. The DGCL provides that stockholders are not entitled to the right to cumulate votes in the election of directors unless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corporation’s certificate of incorporation provides otherwise. The Certificate of Incorporation and Bylaws will not provide for cumulative voting.</w:t>
      </w:r>
    </w:p>
    <w:p>
      <w:pPr>
        <w:ind w:left="640" w:right="80" w:hanging="316"/>
        <w:spacing w:after="0" w:line="214" w:lineRule="auto"/>
        <w:tabs>
          <w:tab w:leader="none" w:pos="635" w:val="left"/>
        </w:tabs>
        <w:numPr>
          <w:ilvl w:val="0"/>
          <w:numId w:val="55"/>
        </w:numPr>
        <w:rPr>
          <w:rFonts w:ascii="Arial" w:cs="Arial" w:eastAsia="Arial" w:hAnsi="Arial"/>
          <w:sz w:val="20"/>
          <w:szCs w:val="20"/>
          <w:color w:val="auto"/>
        </w:rPr>
      </w:pPr>
      <w:r>
        <w:rPr>
          <w:rFonts w:ascii="Arial" w:cs="Arial" w:eastAsia="Arial" w:hAnsi="Arial"/>
          <w:sz w:val="17"/>
          <w:szCs w:val="17"/>
          <w:b w:val="1"/>
          <w:bCs w:val="1"/>
          <w:i w:val="1"/>
          <w:iCs w:val="1"/>
          <w:color w:val="auto"/>
        </w:rPr>
        <w:t>Issuance of Undesignated Preferred Stock</w:t>
      </w:r>
      <w:r>
        <w:rPr>
          <w:rFonts w:ascii="Arial" w:cs="Arial" w:eastAsia="Arial" w:hAnsi="Arial"/>
          <w:sz w:val="17"/>
          <w:szCs w:val="17"/>
          <w:color w:val="auto"/>
        </w:rPr>
        <w:t>. The Board of Directors has the authority, without further action by the stockholders, to issue up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50,000,000 shares of undesignated preferred stock with rights and preferences, including voting rights, designated from time to time by the Board of Directors. The existence of authorized but unissued shares of preferred stock enables the Board of Directors to render more difficult or to discourage an attempt to obtain control of the Company by means of a merger, tender offer, proxy contest or otherwise.</w:t>
      </w:r>
    </w:p>
    <w:p>
      <w:pPr>
        <w:ind w:left="640" w:hanging="316"/>
        <w:spacing w:after="0" w:line="223" w:lineRule="auto"/>
        <w:tabs>
          <w:tab w:leader="none" w:pos="635" w:val="left"/>
        </w:tabs>
        <w:numPr>
          <w:ilvl w:val="0"/>
          <w:numId w:val="55"/>
        </w:numPr>
        <w:rPr>
          <w:rFonts w:ascii="Arial" w:cs="Arial" w:eastAsia="Arial" w:hAnsi="Arial"/>
          <w:sz w:val="19"/>
          <w:szCs w:val="19"/>
          <w:color w:val="auto"/>
        </w:rPr>
      </w:pPr>
      <w:r>
        <w:rPr>
          <w:rFonts w:ascii="Arial" w:cs="Arial" w:eastAsia="Arial" w:hAnsi="Arial"/>
          <w:sz w:val="16"/>
          <w:szCs w:val="16"/>
          <w:b w:val="1"/>
          <w:bCs w:val="1"/>
          <w:i w:val="1"/>
          <w:iCs w:val="1"/>
          <w:color w:val="auto"/>
        </w:rPr>
        <w:t>Choice of Forum</w:t>
      </w:r>
      <w:r>
        <w:rPr>
          <w:rFonts w:ascii="Arial" w:cs="Arial" w:eastAsia="Arial" w:hAnsi="Arial"/>
          <w:sz w:val="16"/>
          <w:szCs w:val="16"/>
          <w:color w:val="auto"/>
        </w:rPr>
        <w:t>. In addition, the Certificate of Incorporation provides that, to the fullest extent permitted by law, the Court of Chancery of the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Delaware will be the exclusive forum for any derivative action or proceeding brought on the Company’s behalf; any action asserting a breach of fiduciary duty; any action asserting a claim against the Company arising pursuant to the DGCL, the Certificate of Incorporation or the Bylaws; any action asserting a claim against the Company that is governed by the internal affairs doctrine; or any to interpret, apply, enforce, or determine the validity of the Certificate of Incorporation or Bylaws. The enforceability of similar choice of forum provisions in other companies’ certificates of incorporation has been challenged in legal proceedings, and it is possible that a court could find these types of provisions to be inapplicable or unenforceable. The Certificate of Incorporation will also provide that the federal district courts of the United States will,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the Company’s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In addition, the Federal Forum Provision applies, to the fullest extent permitted by law, to suits brought to enforce any duty or liability created by the Exchange Act. Accordingly, actions by the Company’s stockholders to enforce any duty or liability created by the Exchange Act or the rules and regulations thereunder must be brought in federal court. The Company’s stockholders will not be deemed to have waived the Company’s compliance with the federal securities laws and the regulations promulgated thereunder. Any person or entity purchasing or otherwise acquiring or holding any interest in any of the Company’s securities shall be deemed to have notice of and consented to the Company’s exclusive forum provisions, including the Federal Forum Provision. These provisions may limit a stockholder’s ability to bring a claim in a judicial forum of their choosing for disputes with the Company or the Company’s directors, officers, or other employees, which may discourage lawsuits against the Company and the Company’s</w:t>
      </w:r>
    </w:p>
    <w:p>
      <w:pPr>
        <w:ind w:left="640"/>
        <w:spacing w:after="0" w:line="207" w:lineRule="auto"/>
        <w:rPr>
          <w:sz w:val="20"/>
          <w:szCs w:val="20"/>
          <w:color w:val="auto"/>
        </w:rPr>
      </w:pPr>
      <w:r>
        <w:rPr>
          <w:rFonts w:ascii="Arial" w:cs="Arial" w:eastAsia="Arial" w:hAnsi="Arial"/>
          <w:sz w:val="18"/>
          <w:szCs w:val="18"/>
          <w:color w:val="auto"/>
        </w:rPr>
        <w:t>directors, officers, and other employees.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0" w:lineRule="exact"/>
        <w:rPr>
          <w:sz w:val="20"/>
          <w:szCs w:val="20"/>
          <w:color w:val="auto"/>
        </w:rPr>
      </w:pPr>
    </w:p>
    <w:p>
      <w:pPr>
        <w:ind w:right="140" w:firstLine="318"/>
        <w:spacing w:after="0" w:line="229" w:lineRule="auto"/>
        <w:rPr>
          <w:sz w:val="20"/>
          <w:szCs w:val="20"/>
          <w:color w:val="auto"/>
        </w:rPr>
      </w:pPr>
      <w:r>
        <w:rPr>
          <w:rFonts w:ascii="Arial" w:cs="Arial" w:eastAsia="Arial" w:hAnsi="Arial"/>
          <w:sz w:val="18"/>
          <w:szCs w:val="18"/>
          <w:color w:val="auto"/>
        </w:rPr>
        <w:t>The transfer agent and registrar for our Class A common stock and Class B common stock is Continental Stock Transfer &amp; Trust Company. The transfer agent’s address is 1 State Street, 30th Floor, New York, New York 10004.</w:t>
      </w:r>
    </w:p>
    <w:p>
      <w:pPr>
        <w:sectPr>
          <w:pgSz w:w="11900" w:h="16838" w:orient="portrait"/>
          <w:cols w:equalWidth="0" w:num="1">
            <w:col w:w="11220"/>
          </w:cols>
          <w:pgMar w:left="320" w:top="1386" w:right="35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620"/>
        <w:spacing w:after="0"/>
        <w:rPr>
          <w:sz w:val="20"/>
          <w:szCs w:val="20"/>
          <w:color w:val="auto"/>
        </w:rPr>
      </w:pPr>
      <w:r>
        <w:rPr>
          <w:rFonts w:ascii="Arial" w:cs="Arial" w:eastAsia="Arial" w:hAnsi="Arial"/>
          <w:sz w:val="19"/>
          <w:szCs w:val="19"/>
          <w:b w:val="1"/>
          <w:bCs w:val="1"/>
          <w:color w:val="auto"/>
        </w:rPr>
        <w:t>ELECTION, WAIVER AND</w:t>
      </w:r>
    </w:p>
    <w:p>
      <w:pPr>
        <w:spacing w:after="0" w:line="47" w:lineRule="exact"/>
        <w:rPr>
          <w:sz w:val="20"/>
          <w:szCs w:val="20"/>
          <w:color w:val="auto"/>
        </w:rPr>
      </w:pPr>
    </w:p>
    <w:p>
      <w:pPr>
        <w:jc w:val="center"/>
        <w:ind w:left="620"/>
        <w:spacing w:after="0"/>
        <w:rPr>
          <w:sz w:val="20"/>
          <w:szCs w:val="20"/>
          <w:color w:val="auto"/>
        </w:rPr>
      </w:pPr>
      <w:r>
        <w:rPr>
          <w:rFonts w:ascii="Arial" w:cs="Arial" w:eastAsia="Arial" w:hAnsi="Arial"/>
          <w:sz w:val="19"/>
          <w:szCs w:val="19"/>
          <w:b w:val="1"/>
          <w:bCs w:val="1"/>
          <w:color w:val="auto"/>
        </w:rPr>
        <w:t>CONSENT</w:t>
      </w:r>
    </w:p>
    <w:p>
      <w:pPr>
        <w:spacing w:after="0" w:line="291"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9"/>
          <w:szCs w:val="19"/>
          <w:color w:val="auto"/>
        </w:rPr>
        <w:t>This ELECTION, WAIVER AND CONSENT (this “</w:t>
      </w:r>
      <w:r>
        <w:rPr>
          <w:rFonts w:ascii="Arial" w:cs="Arial" w:eastAsia="Arial" w:hAnsi="Arial"/>
          <w:sz w:val="19"/>
          <w:szCs w:val="19"/>
          <w:u w:val="single" w:color="auto"/>
          <w:color w:val="auto"/>
        </w:rPr>
        <w:t>Waiver</w:t>
      </w:r>
      <w:r>
        <w:rPr>
          <w:rFonts w:ascii="Arial" w:cs="Arial" w:eastAsia="Arial" w:hAnsi="Arial"/>
          <w:sz w:val="19"/>
          <w:szCs w:val="19"/>
          <w:color w:val="auto"/>
        </w:rPr>
        <w:t>”), is dated as of October 1, 2021, by and among Khosla Ventures SPAC Sponsor II LLC, a Delaware limited liability company (the “</w:t>
      </w:r>
      <w:r>
        <w:rPr>
          <w:rFonts w:ascii="Arial" w:cs="Arial" w:eastAsia="Arial" w:hAnsi="Arial"/>
          <w:sz w:val="19"/>
          <w:szCs w:val="19"/>
          <w:u w:val="single" w:color="auto"/>
          <w:color w:val="auto"/>
        </w:rPr>
        <w:t>Sponsor Holdco</w:t>
      </w:r>
      <w:r>
        <w:rPr>
          <w:rFonts w:ascii="Arial" w:cs="Arial" w:eastAsia="Arial" w:hAnsi="Arial"/>
          <w:sz w:val="19"/>
          <w:szCs w:val="19"/>
          <w:color w:val="auto"/>
        </w:rPr>
        <w:t xml:space="preserve">”), the Persons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the Sponsor Agreement (as defined below) (together with the Sponsor Holdco, each, a “</w:t>
      </w:r>
      <w:r>
        <w:rPr>
          <w:rFonts w:ascii="Arial" w:cs="Arial" w:eastAsia="Arial" w:hAnsi="Arial"/>
          <w:sz w:val="19"/>
          <w:szCs w:val="19"/>
          <w:u w:val="single" w:color="auto"/>
          <w:color w:val="auto"/>
        </w:rPr>
        <w:t>Sponsor</w:t>
      </w:r>
      <w:r>
        <w:rPr>
          <w:rFonts w:ascii="Arial" w:cs="Arial" w:eastAsia="Arial" w:hAnsi="Arial"/>
          <w:sz w:val="19"/>
          <w:szCs w:val="19"/>
          <w:color w:val="auto"/>
        </w:rPr>
        <w:t>” and, together, the “</w:t>
      </w:r>
      <w:r>
        <w:rPr>
          <w:rFonts w:ascii="Arial" w:cs="Arial" w:eastAsia="Arial" w:hAnsi="Arial"/>
          <w:sz w:val="19"/>
          <w:szCs w:val="19"/>
          <w:u w:val="single" w:color="auto"/>
          <w:color w:val="auto"/>
        </w:rPr>
        <w:t>Sponsors</w:t>
      </w:r>
      <w:r>
        <w:rPr>
          <w:rFonts w:ascii="Arial" w:cs="Arial" w:eastAsia="Arial" w:hAnsi="Arial"/>
          <w:sz w:val="19"/>
          <w:szCs w:val="19"/>
          <w:color w:val="auto"/>
        </w:rPr>
        <w:t>”), Khosla Ventures Acquisition Co. II, a Delaware corporation (“</w:t>
      </w:r>
      <w:r>
        <w:rPr>
          <w:rFonts w:ascii="Arial" w:cs="Arial" w:eastAsia="Arial" w:hAnsi="Arial"/>
          <w:sz w:val="19"/>
          <w:szCs w:val="19"/>
          <w:u w:val="single" w:color="auto"/>
          <w:color w:val="auto"/>
        </w:rPr>
        <w:t>Acquiror</w:t>
      </w:r>
      <w:r>
        <w:rPr>
          <w:rFonts w:ascii="Arial" w:cs="Arial" w:eastAsia="Arial" w:hAnsi="Arial"/>
          <w:sz w:val="19"/>
          <w:szCs w:val="19"/>
          <w:color w:val="auto"/>
        </w:rPr>
        <w:t>”), and Nextdoor,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96" w:lineRule="exact"/>
        <w:rPr>
          <w:sz w:val="20"/>
          <w:szCs w:val="20"/>
          <w:color w:val="auto"/>
        </w:rPr>
      </w:pPr>
    </w:p>
    <w:p>
      <w:pPr>
        <w:jc w:val="center"/>
        <w:ind w:left="620"/>
        <w:spacing w:after="0"/>
        <w:rPr>
          <w:sz w:val="20"/>
          <w:szCs w:val="20"/>
          <w:color w:val="auto"/>
        </w:rPr>
      </w:pPr>
      <w:r>
        <w:rPr>
          <w:rFonts w:ascii="Arial" w:cs="Arial" w:eastAsia="Arial" w:hAnsi="Arial"/>
          <w:sz w:val="19"/>
          <w:szCs w:val="19"/>
          <w:b w:val="1"/>
          <w:bCs w:val="1"/>
          <w:color w:val="auto"/>
        </w:rPr>
        <w:t>RECITALS</w:t>
      </w:r>
    </w:p>
    <w:p>
      <w:pPr>
        <w:spacing w:after="0" w:line="304" w:lineRule="exact"/>
        <w:rPr>
          <w:sz w:val="20"/>
          <w:szCs w:val="20"/>
          <w:color w:val="auto"/>
        </w:rPr>
      </w:pPr>
    </w:p>
    <w:p>
      <w:pPr>
        <w:jc w:val="both"/>
        <w:ind w:firstLine="636"/>
        <w:spacing w:after="0" w:line="322" w:lineRule="auto"/>
        <w:rPr>
          <w:sz w:val="20"/>
          <w:szCs w:val="20"/>
          <w:color w:val="auto"/>
        </w:rPr>
      </w:pPr>
      <w:r>
        <w:rPr>
          <w:rFonts w:ascii="Arial" w:cs="Arial" w:eastAsia="Arial" w:hAnsi="Arial"/>
          <w:sz w:val="19"/>
          <w:szCs w:val="19"/>
          <w:color w:val="auto"/>
        </w:rPr>
        <w:t>WHEREAS, reference is hereby made to that certain Sponsor Support Agreement, dated July 6, 2021, by and among the Sponsors, Acquiror and the Company (the “</w:t>
      </w:r>
      <w:r>
        <w:rPr>
          <w:rFonts w:ascii="Arial" w:cs="Arial" w:eastAsia="Arial" w:hAnsi="Arial"/>
          <w:sz w:val="19"/>
          <w:szCs w:val="19"/>
          <w:u w:val="single" w:color="auto"/>
          <w:color w:val="auto"/>
        </w:rPr>
        <w:t>Sponsor Agreement</w:t>
      </w:r>
      <w:r>
        <w:rPr>
          <w:rFonts w:ascii="Arial" w:cs="Arial" w:eastAsia="Arial" w:hAnsi="Arial"/>
          <w:sz w:val="19"/>
          <w:szCs w:val="19"/>
          <w:color w:val="auto"/>
        </w:rPr>
        <w: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capitalized terms used herein but not defined herein shall have the respective meanings given in the Sponsor Agreement;</w:t>
      </w:r>
    </w:p>
    <w:p>
      <w:pPr>
        <w:spacing w:after="0" w:line="321"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8"/>
          <w:szCs w:val="18"/>
          <w:color w:val="auto"/>
        </w:rPr>
        <w:t>WHEREAS, pursuant to Sections 1.5 and 1.10 of the Sponsor Agreement, immediately following the effectiveness of the Acquiror Post-Merger Charter, the Sponsors shall exchange all of the Sponsor Exchange Shares for an aggregate of 7,347,249 shares of Acquiror Post-Merger Class B Common Stock to be issued by Acquiror to Sponsors (the “</w:t>
      </w:r>
      <w:r>
        <w:rPr>
          <w:rFonts w:ascii="Arial" w:cs="Arial" w:eastAsia="Arial" w:hAnsi="Arial"/>
          <w:sz w:val="18"/>
          <w:szCs w:val="18"/>
          <w:u w:val="single" w:color="auto"/>
          <w:color w:val="auto"/>
        </w:rPr>
        <w:t>Sponsor Exchange Share Conversion</w:t>
      </w:r>
      <w:r>
        <w:rPr>
          <w:rFonts w:ascii="Arial" w:cs="Arial" w:eastAsia="Arial" w:hAnsi="Arial"/>
          <w:sz w:val="18"/>
          <w:szCs w:val="18"/>
          <w:color w:val="auto"/>
        </w:rPr>
        <w:t>”);</w:t>
      </w:r>
    </w:p>
    <w:p>
      <w:pPr>
        <w:spacing w:after="0" w:line="180"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9"/>
          <w:szCs w:val="19"/>
          <w:color w:val="auto"/>
        </w:rPr>
        <w:t>WHEREAS, pursuant to Section 3.4 of the Sponsor Agreement, the Sponsor Agreement may be amended, changed, supplemented, waived or otherwise modified or terminated upon the execution and delivery of a written instrument executed by Acquiror, the Sponsor Holdco and the Company;</w:t>
      </w:r>
    </w:p>
    <w:p>
      <w:pPr>
        <w:spacing w:after="0" w:line="211"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9"/>
          <w:szCs w:val="19"/>
          <w:color w:val="auto"/>
        </w:rPr>
        <w:t>WHEREAS, pursuant to Article IV, Section 1.1 of the Acquiror Post-Merger Charter, the shares of Acquiror Class K Common Stock issued and outstanding immediately prior to the Effective Time shall, automatically and without any action on the part of the respective holders thereof, be reclassified into shares of Acquiror Post-Merger Class B Common Stock;</w:t>
      </w:r>
    </w:p>
    <w:p>
      <w:pPr>
        <w:spacing w:after="0" w:line="211"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9"/>
          <w:szCs w:val="19"/>
          <w:color w:val="auto"/>
        </w:rPr>
        <w:t>WHEREAS, pursuant to Article V, Section 1 of the Acquiror Post-Merger Charter, each share of Acquiror Post-Merger Class B Common Stock shall be convertible into one fully paid and nonassessable share of Acquirer Post-Merger Class A Common Stock at the option of the holder thereof at any time upon written notice to Acquiror; and</w:t>
      </w:r>
    </w:p>
    <w:p>
      <w:pPr>
        <w:spacing w:after="0" w:line="198"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9"/>
          <w:szCs w:val="19"/>
          <w:color w:val="auto"/>
        </w:rPr>
        <w:t>WHEREAS, the parties hereto, including the Sponsors, wish to irrevocably (a) waive the Sponsor Exchange Share Conversion and (b) elect to convert any shares of Acquiror Post-Merger Class B Common Stock held by the Sponsors at the Effective Time into shares of Acquiror Post-Merger Class A Common Stock.</w:t>
      </w:r>
    </w:p>
    <w:p>
      <w:pPr>
        <w:sectPr>
          <w:pgSz w:w="11900" w:h="16838" w:orient="portrait"/>
          <w:cols w:equalWidth="0" w:num="1">
            <w:col w:w="11240"/>
          </w:cols>
          <w:pgMar w:left="320" w:top="108" w:right="339" w:bottom="1440" w:gutter="0" w:footer="0" w:header="0"/>
        </w:sectPr>
      </w:pPr>
    </w:p>
    <w:bookmarkStart w:id="115" w:name="page116"/>
    <w:bookmarkEnd w:id="115"/>
    <w:p>
      <w:pPr>
        <w:jc w:val="both"/>
        <w:ind w:firstLine="636"/>
        <w:spacing w:after="0" w:line="306" w:lineRule="auto"/>
        <w:rPr>
          <w:sz w:val="20"/>
          <w:szCs w:val="20"/>
          <w:color w:val="auto"/>
        </w:rPr>
      </w:pPr>
      <w:r>
        <w:rPr>
          <w:rFonts w:ascii="Arial" w:cs="Arial" w:eastAsia="Arial" w:hAnsi="Arial"/>
          <w:sz w:val="19"/>
          <w:szCs w:val="19"/>
          <w:color w:val="auto"/>
        </w:rPr>
        <w:t>NOW, THEREFORE, in consideration of the premises, representations, warranties, covenants, and agreements contained herein and in the Sponsor Agreement and for other good and valuable consideration, the receipt and sufficiency of which are hereby acknowledged, and intending to be legally bound, the parties agree as follows:</w:t>
      </w:r>
    </w:p>
    <w:p>
      <w:pPr>
        <w:spacing w:after="0" w:line="198" w:lineRule="exact"/>
        <w:rPr>
          <w:sz w:val="20"/>
          <w:szCs w:val="20"/>
          <w:color w:val="auto"/>
        </w:rPr>
      </w:pPr>
    </w:p>
    <w:p>
      <w:pPr>
        <w:jc w:val="both"/>
        <w:ind w:firstLine="642"/>
        <w:spacing w:after="0" w:line="306" w:lineRule="auto"/>
        <w:tabs>
          <w:tab w:leader="none" w:pos="127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parties hereto hereby irrevocably waive the Sponsor Exchange Share Conversion such that the Sponsor Exchange Shares shall not convert into Acquiror Post-Merger Class B Common Stock following the effectiveness of the Acquiror Post-Merger Charter and will instead remain Acquirer Post-Merger Class A Common Stock.</w:t>
      </w:r>
    </w:p>
    <w:p>
      <w:pPr>
        <w:spacing w:after="0" w:line="197" w:lineRule="exact"/>
        <w:rPr>
          <w:rFonts w:ascii="Arial" w:cs="Arial" w:eastAsia="Arial" w:hAnsi="Arial"/>
          <w:sz w:val="19"/>
          <w:szCs w:val="19"/>
          <w:color w:val="auto"/>
        </w:rPr>
      </w:pPr>
    </w:p>
    <w:p>
      <w:pPr>
        <w:jc w:val="both"/>
        <w:ind w:firstLine="642"/>
        <w:spacing w:after="0" w:line="330" w:lineRule="auto"/>
        <w:tabs>
          <w:tab w:leader="none" w:pos="127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Each of the Sponsors hereby irrevocably, contingent upon and effective immediately following the Effective Time, elects to convert all shares of Acquiror Post-Merger Class B Common held by such Sponsor into shares of Acquiror Post-Merger Class A Common Stock pursuant to Article V, Section 1 of the Acquiror Post-Merger Charter and hereby gives notice to Acquiror of such election.</w:t>
      </w:r>
    </w:p>
    <w:p>
      <w:pPr>
        <w:spacing w:after="0" w:line="192" w:lineRule="exact"/>
        <w:rPr>
          <w:rFonts w:ascii="Arial" w:cs="Arial" w:eastAsia="Arial" w:hAnsi="Arial"/>
          <w:sz w:val="18"/>
          <w:szCs w:val="18"/>
          <w:color w:val="auto"/>
        </w:rPr>
      </w:pPr>
    </w:p>
    <w:p>
      <w:pPr>
        <w:ind w:firstLine="642"/>
        <w:spacing w:after="0" w:line="322" w:lineRule="auto"/>
        <w:tabs>
          <w:tab w:leader="none" w:pos="127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Other Changes; Interpretation</w:t>
      </w:r>
      <w:r>
        <w:rPr>
          <w:rFonts w:ascii="Arial" w:cs="Arial" w:eastAsia="Arial" w:hAnsi="Arial"/>
          <w:sz w:val="19"/>
          <w:szCs w:val="19"/>
          <w:color w:val="auto"/>
        </w:rPr>
        <w:t>. Except as expressly provided herein, the provisions of the Sponsor Agreement shall remain in full force and effect.</w:t>
      </w:r>
    </w:p>
    <w:p>
      <w:pPr>
        <w:spacing w:after="0" w:line="182" w:lineRule="exact"/>
        <w:rPr>
          <w:rFonts w:ascii="Arial" w:cs="Arial" w:eastAsia="Arial" w:hAnsi="Arial"/>
          <w:sz w:val="19"/>
          <w:szCs w:val="19"/>
          <w:color w:val="auto"/>
        </w:rPr>
      </w:pPr>
    </w:p>
    <w:p>
      <w:pPr>
        <w:jc w:val="both"/>
        <w:ind w:firstLine="642"/>
        <w:spacing w:after="0" w:line="301" w:lineRule="auto"/>
        <w:tabs>
          <w:tab w:leader="none" w:pos="127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Waiver, and all claims or causes of action based upon, arising out of, or related to this Waiver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215" w:lineRule="exact"/>
        <w:rPr>
          <w:rFonts w:ascii="Arial" w:cs="Arial" w:eastAsia="Arial" w:hAnsi="Arial"/>
          <w:sz w:val="19"/>
          <w:szCs w:val="19"/>
          <w:color w:val="auto"/>
        </w:rPr>
      </w:pPr>
    </w:p>
    <w:p>
      <w:pPr>
        <w:jc w:val="both"/>
        <w:ind w:firstLine="642"/>
        <w:spacing w:after="0" w:line="301" w:lineRule="auto"/>
        <w:tabs>
          <w:tab w:leader="none" w:pos="127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Waiver may be executed in separate counterparts, each of which shall be deemed an original, but all of which together shall constitute one and the same instrument.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ectPr>
          <w:pgSz w:w="11900" w:h="16838" w:orient="portrait"/>
          <w:cols w:equalWidth="0" w:num="1">
            <w:col w:w="11240"/>
          </w:cols>
          <w:pgMar w:left="320" w:top="1421" w:right="339" w:bottom="1440" w:gutter="0" w:footer="0" w:header="0"/>
        </w:sectPr>
      </w:pPr>
    </w:p>
    <w:bookmarkStart w:id="116" w:name="page117"/>
    <w:bookmarkEnd w:id="116"/>
    <w:p>
      <w:pPr>
        <w:spacing w:after="0" w:line="329"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Sponsors, Acquiror and the Company have each caused this Election, Waiver and Consent to be duly executed</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40"/>
        <w:spacing w:after="0"/>
        <w:rPr>
          <w:sz w:val="20"/>
          <w:szCs w:val="20"/>
          <w:color w:val="auto"/>
        </w:rPr>
      </w:pPr>
      <w:r>
        <w:rPr>
          <w:rFonts w:ascii="Arial" w:cs="Arial" w:eastAsia="Arial" w:hAnsi="Arial"/>
          <w:sz w:val="19"/>
          <w:szCs w:val="19"/>
          <w:b w:val="1"/>
          <w:bCs w:val="1"/>
          <w:color w:val="auto"/>
        </w:rPr>
        <w:t>SPONSORS:</w:t>
      </w:r>
    </w:p>
    <w:p>
      <w:pPr>
        <w:spacing w:after="0" w:line="274"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KHOSLA VENTURES SPAC</w:t>
      </w:r>
    </w:p>
    <w:p>
      <w:pPr>
        <w:ind w:left="4440"/>
        <w:spacing w:after="0"/>
        <w:rPr>
          <w:sz w:val="20"/>
          <w:szCs w:val="20"/>
          <w:color w:val="auto"/>
        </w:rPr>
      </w:pPr>
      <w:r>
        <w:rPr>
          <w:rFonts w:ascii="Arial" w:cs="Arial" w:eastAsia="Arial" w:hAnsi="Arial"/>
          <w:sz w:val="19"/>
          <w:szCs w:val="19"/>
          <w:color w:val="auto"/>
        </w:rPr>
        <w:t>SPONSOR II LLC</w:t>
      </w:r>
    </w:p>
    <w:p>
      <w:pPr>
        <w:spacing w:after="0" w:line="200" w:lineRule="exact"/>
        <w:rPr>
          <w:sz w:val="20"/>
          <w:szCs w:val="20"/>
          <w:color w:val="auto"/>
        </w:rPr>
      </w:pPr>
    </w:p>
    <w:p>
      <w:pPr>
        <w:spacing w:after="0" w:line="334" w:lineRule="exact"/>
        <w:rPr>
          <w:sz w:val="20"/>
          <w:szCs w:val="20"/>
          <w:color w:val="auto"/>
        </w:rPr>
      </w:pPr>
    </w:p>
    <w:p>
      <w:pPr>
        <w:ind w:left="4440"/>
        <w:spacing w:after="0"/>
        <w:tabs>
          <w:tab w:leader="none" w:pos="50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i w:val="1"/>
          <w:iCs w:val="1"/>
          <w:color w:val="auto"/>
        </w:rPr>
        <w:t>/s/ Samir Kaul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15240</wp:posOffset>
            </wp:positionV>
            <wp:extent cx="15989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1598930" cy="8255"/>
                    </a:xfrm>
                    <a:prstGeom prst="rect">
                      <a:avLst/>
                    </a:prstGeom>
                    <a:noFill/>
                  </pic:spPr>
                </pic:pic>
              </a:graphicData>
            </a:graphic>
          </wp:anchor>
        </w:drawing>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Name: Samir Kaul</w:t>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President and Chief Executive</w:t>
      </w:r>
    </w:p>
    <w:p>
      <w:pPr>
        <w:ind w:left="4440"/>
        <w:spacing w:after="0"/>
        <w:tabs>
          <w:tab w:leader="none" w:pos="5060" w:val="left"/>
        </w:tabs>
        <w:rPr>
          <w:sz w:val="20"/>
          <w:szCs w:val="20"/>
          <w:color w:val="auto"/>
        </w:rPr>
      </w:pPr>
      <w:r>
        <w:rPr>
          <w:rFonts w:ascii="Arial" w:cs="Arial" w:eastAsia="Arial" w:hAnsi="Arial"/>
          <w:sz w:val="19"/>
          <w:szCs w:val="19"/>
          <w:color w:val="auto"/>
        </w:rPr>
        <w:t>Title:</w:t>
        <w:tab/>
        <w:t>Officer</w:t>
      </w:r>
    </w:p>
    <w:p>
      <w:pPr>
        <w:spacing w:after="0" w:line="200" w:lineRule="exact"/>
        <w:rPr>
          <w:sz w:val="20"/>
          <w:szCs w:val="20"/>
          <w:color w:val="auto"/>
        </w:rPr>
      </w:pPr>
    </w:p>
    <w:p>
      <w:pPr>
        <w:spacing w:after="0" w:line="334" w:lineRule="exact"/>
        <w:rPr>
          <w:sz w:val="20"/>
          <w:szCs w:val="20"/>
          <w:color w:val="auto"/>
        </w:rPr>
      </w:pPr>
    </w:p>
    <w:p>
      <w:pPr>
        <w:ind w:left="4440"/>
        <w:spacing w:after="0"/>
        <w:rPr>
          <w:sz w:val="20"/>
          <w:szCs w:val="20"/>
          <w:color w:val="auto"/>
        </w:rPr>
      </w:pPr>
      <w:r>
        <w:rPr>
          <w:rFonts w:ascii="Arial" w:cs="Arial" w:eastAsia="Arial" w:hAnsi="Arial"/>
          <w:sz w:val="19"/>
          <w:szCs w:val="19"/>
          <w:i w:val="1"/>
          <w:iCs w:val="1"/>
          <w:color w:val="auto"/>
        </w:rPr>
        <w:t>/s/ Vinod Khosla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15240</wp:posOffset>
            </wp:positionV>
            <wp:extent cx="20021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Name: Vinod Khosla</w:t>
      </w:r>
    </w:p>
    <w:p>
      <w:pPr>
        <w:spacing w:after="0" w:line="200" w:lineRule="exact"/>
        <w:rPr>
          <w:sz w:val="20"/>
          <w:szCs w:val="20"/>
          <w:color w:val="auto"/>
        </w:rPr>
      </w:pPr>
    </w:p>
    <w:p>
      <w:pPr>
        <w:spacing w:after="0" w:line="350" w:lineRule="exact"/>
        <w:rPr>
          <w:sz w:val="20"/>
          <w:szCs w:val="20"/>
          <w:color w:val="auto"/>
        </w:rPr>
      </w:pPr>
    </w:p>
    <w:p>
      <w:pPr>
        <w:ind w:left="4440"/>
        <w:spacing w:after="0"/>
        <w:rPr>
          <w:sz w:val="20"/>
          <w:szCs w:val="20"/>
          <w:color w:val="auto"/>
        </w:rPr>
      </w:pPr>
      <w:r>
        <w:rPr>
          <w:rFonts w:ascii="Arial" w:cs="Arial" w:eastAsia="Arial" w:hAnsi="Arial"/>
          <w:sz w:val="19"/>
          <w:szCs w:val="19"/>
          <w:i w:val="1"/>
          <w:iCs w:val="1"/>
          <w:color w:val="auto"/>
        </w:rPr>
        <w:t>s/ Samir Kaul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15240</wp:posOffset>
            </wp:positionV>
            <wp:extent cx="20021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Name: Samir Kaul</w:t>
      </w:r>
    </w:p>
    <w:p>
      <w:pPr>
        <w:spacing w:after="0" w:line="200" w:lineRule="exact"/>
        <w:rPr>
          <w:sz w:val="20"/>
          <w:szCs w:val="20"/>
          <w:color w:val="auto"/>
        </w:rPr>
      </w:pPr>
    </w:p>
    <w:p>
      <w:pPr>
        <w:spacing w:after="0" w:line="350" w:lineRule="exact"/>
        <w:rPr>
          <w:sz w:val="20"/>
          <w:szCs w:val="20"/>
          <w:color w:val="auto"/>
        </w:rPr>
      </w:pPr>
    </w:p>
    <w:p>
      <w:pPr>
        <w:ind w:left="4440"/>
        <w:spacing w:after="0"/>
        <w:rPr>
          <w:sz w:val="20"/>
          <w:szCs w:val="20"/>
          <w:color w:val="auto"/>
        </w:rPr>
      </w:pPr>
      <w:r>
        <w:rPr>
          <w:rFonts w:ascii="Arial" w:cs="Arial" w:eastAsia="Arial" w:hAnsi="Arial"/>
          <w:sz w:val="19"/>
          <w:szCs w:val="19"/>
          <w:i w:val="1"/>
          <w:iCs w:val="1"/>
          <w:u w:val="single" w:color="auto"/>
          <w:color w:val="auto"/>
        </w:rPr>
        <w:t>/s/ Peter Buckland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15240</wp:posOffset>
            </wp:positionV>
            <wp:extent cx="20021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Name: Peter Buckland</w:t>
      </w:r>
    </w:p>
    <w:p>
      <w:pPr>
        <w:spacing w:after="0" w:line="200" w:lineRule="exact"/>
        <w:rPr>
          <w:sz w:val="20"/>
          <w:szCs w:val="20"/>
          <w:color w:val="auto"/>
        </w:rPr>
      </w:pPr>
    </w:p>
    <w:p>
      <w:pPr>
        <w:spacing w:after="0" w:line="324" w:lineRule="exact"/>
        <w:rPr>
          <w:sz w:val="20"/>
          <w:szCs w:val="20"/>
          <w:color w:val="auto"/>
        </w:rPr>
      </w:pPr>
    </w:p>
    <w:p>
      <w:pPr>
        <w:ind w:left="4440"/>
        <w:spacing w:after="0"/>
        <w:rPr>
          <w:sz w:val="20"/>
          <w:szCs w:val="20"/>
          <w:color w:val="auto"/>
        </w:rPr>
      </w:pPr>
      <w:r>
        <w:rPr>
          <w:rFonts w:ascii="Arial" w:cs="Arial" w:eastAsia="Arial" w:hAnsi="Arial"/>
          <w:sz w:val="19"/>
          <w:szCs w:val="19"/>
          <w:i w:val="1"/>
          <w:iCs w:val="1"/>
          <w:color w:val="auto"/>
        </w:rPr>
        <w:t>/s/ Anita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15240</wp:posOffset>
            </wp:positionV>
            <wp:extent cx="20021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Name: Anita Sands</w:t>
      </w:r>
    </w:p>
    <w:p>
      <w:pPr>
        <w:spacing w:after="0" w:line="200" w:lineRule="exact"/>
        <w:rPr>
          <w:sz w:val="20"/>
          <w:szCs w:val="20"/>
          <w:color w:val="auto"/>
        </w:rPr>
      </w:pPr>
    </w:p>
    <w:p>
      <w:pPr>
        <w:spacing w:after="0" w:line="324" w:lineRule="exact"/>
        <w:rPr>
          <w:sz w:val="20"/>
          <w:szCs w:val="20"/>
          <w:color w:val="auto"/>
        </w:rPr>
      </w:pPr>
    </w:p>
    <w:p>
      <w:pPr>
        <w:ind w:left="4440"/>
        <w:spacing w:after="0"/>
        <w:rPr>
          <w:sz w:val="20"/>
          <w:szCs w:val="20"/>
          <w:color w:val="auto"/>
        </w:rPr>
      </w:pPr>
      <w:r>
        <w:rPr>
          <w:rFonts w:ascii="Arial" w:cs="Arial" w:eastAsia="Arial" w:hAnsi="Arial"/>
          <w:sz w:val="19"/>
          <w:szCs w:val="19"/>
          <w:i w:val="1"/>
          <w:iCs w:val="1"/>
          <w:color w:val="auto"/>
        </w:rPr>
        <w:t>/s/ Enrico Gaglioti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15240</wp:posOffset>
            </wp:positionV>
            <wp:extent cx="20021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Name: Enrico Gaglioti</w:t>
      </w:r>
    </w:p>
    <w:p>
      <w:pPr>
        <w:spacing w:after="0" w:line="200" w:lineRule="exact"/>
        <w:rPr>
          <w:sz w:val="20"/>
          <w:szCs w:val="20"/>
          <w:color w:val="auto"/>
        </w:rPr>
      </w:pPr>
    </w:p>
    <w:p>
      <w:pPr>
        <w:spacing w:after="0" w:line="324" w:lineRule="exact"/>
        <w:rPr>
          <w:sz w:val="20"/>
          <w:szCs w:val="20"/>
          <w:color w:val="auto"/>
        </w:rPr>
      </w:pPr>
    </w:p>
    <w:p>
      <w:pPr>
        <w:ind w:left="4440"/>
        <w:spacing w:after="0"/>
        <w:rPr>
          <w:sz w:val="20"/>
          <w:szCs w:val="20"/>
          <w:color w:val="auto"/>
        </w:rPr>
      </w:pPr>
      <w:r>
        <w:rPr>
          <w:rFonts w:ascii="Arial" w:cs="Arial" w:eastAsia="Arial" w:hAnsi="Arial"/>
          <w:sz w:val="19"/>
          <w:szCs w:val="19"/>
          <w:i w:val="1"/>
          <w:iCs w:val="1"/>
          <w:color w:val="auto"/>
        </w:rPr>
        <w:t>/s/ Dmitri Shklovsky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15240</wp:posOffset>
            </wp:positionV>
            <wp:extent cx="20021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13"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Name: Dmitri Shklovsky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Election, Waiver and Consent</w:t>
      </w:r>
      <w:r>
        <w:rPr>
          <w:rFonts w:ascii="Arial" w:cs="Arial" w:eastAsia="Arial" w:hAnsi="Arial"/>
          <w:sz w:val="18"/>
          <w:szCs w:val="18"/>
          <w:color w:val="auto"/>
        </w:rPr>
        <w:t>]</w:t>
      </w:r>
    </w:p>
    <w:p>
      <w:pPr>
        <w:sectPr>
          <w:pgSz w:w="11900" w:h="16838" w:orient="portrait"/>
          <w:cols w:equalWidth="0" w:num="1">
            <w:col w:w="11240"/>
          </w:cols>
          <w:pgMar w:left="320" w:top="1415" w:right="339" w:bottom="1440" w:gutter="0" w:footer="0" w:header="0"/>
        </w:sectPr>
      </w:pPr>
    </w:p>
    <w:bookmarkStart w:id="117" w:name="page118"/>
    <w:bookmarkEnd w:id="117"/>
    <w:p>
      <w:pPr>
        <w:ind w:firstLine="636"/>
        <w:spacing w:after="0" w:line="329"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Sponsors, Acquiror and the Company have each caused this Election, Waiver and Consent to be duly</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80"/>
        <w:spacing w:after="0"/>
        <w:rPr>
          <w:sz w:val="20"/>
          <w:szCs w:val="20"/>
          <w:color w:val="auto"/>
        </w:rPr>
      </w:pPr>
      <w:r>
        <w:rPr>
          <w:rFonts w:ascii="Arial" w:cs="Arial" w:eastAsia="Arial" w:hAnsi="Arial"/>
          <w:sz w:val="19"/>
          <w:szCs w:val="19"/>
          <w:b w:val="1"/>
          <w:bCs w:val="1"/>
          <w:color w:val="auto"/>
        </w:rPr>
        <w:t>ACQUIROR:</w:t>
      </w:r>
    </w:p>
    <w:p>
      <w:pPr>
        <w:spacing w:after="0" w:line="291"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KHOSLA VENTURES ACQUISITION CO. II</w:t>
      </w:r>
    </w:p>
    <w:p>
      <w:pPr>
        <w:spacing w:after="0" w:line="200" w:lineRule="exact"/>
        <w:rPr>
          <w:sz w:val="20"/>
          <w:szCs w:val="20"/>
          <w:color w:val="auto"/>
        </w:rPr>
      </w:pPr>
    </w:p>
    <w:p>
      <w:pPr>
        <w:spacing w:after="0" w:line="350" w:lineRule="exact"/>
        <w:rPr>
          <w:sz w:val="20"/>
          <w:szCs w:val="20"/>
          <w:color w:val="auto"/>
        </w:rPr>
      </w:pPr>
    </w:p>
    <w:p>
      <w:pPr>
        <w:ind w:left="3660"/>
        <w:spacing w:after="0"/>
        <w:tabs>
          <w:tab w:leader="none" w:pos="42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i w:val="1"/>
          <w:iCs w:val="1"/>
          <w:color w:val="auto"/>
        </w:rPr>
        <w:t>/s/ Peter Buckland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23387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13"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Name: Peter Buckland</w:t>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8"/>
          <w:szCs w:val="18"/>
          <w:color w:val="auto"/>
        </w:rPr>
        <w:t>Chief Operating Officer, Chief</w:t>
      </w:r>
    </w:p>
    <w:p>
      <w:pPr>
        <w:ind w:left="4800"/>
        <w:spacing w:after="0" w:line="203" w:lineRule="auto"/>
        <w:rPr>
          <w:sz w:val="20"/>
          <w:szCs w:val="20"/>
          <w:color w:val="auto"/>
        </w:rPr>
      </w:pPr>
      <w:r>
        <w:rPr>
          <w:rFonts w:ascii="Arial" w:cs="Arial" w:eastAsia="Arial" w:hAnsi="Arial"/>
          <w:sz w:val="19"/>
          <w:szCs w:val="19"/>
          <w:color w:val="auto"/>
        </w:rPr>
        <w:t>Financial Officer, Treasurer and</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Election, Waiver and Consent</w:t>
      </w:r>
      <w:r>
        <w:rPr>
          <w:rFonts w:ascii="Arial" w:cs="Arial" w:eastAsia="Arial" w:hAnsi="Arial"/>
          <w:sz w:val="18"/>
          <w:szCs w:val="18"/>
          <w:color w:val="auto"/>
        </w:rPr>
        <w:t>]</w:t>
      </w:r>
    </w:p>
    <w:p>
      <w:pPr>
        <w:sectPr>
          <w:pgSz w:w="11900" w:h="16838" w:orient="portrait"/>
          <w:cols w:equalWidth="0" w:num="1">
            <w:col w:w="11240"/>
          </w:cols>
          <w:pgMar w:left="320" w:top="1415" w:right="339" w:bottom="1440" w:gutter="0" w:footer="0" w:header="0"/>
        </w:sectPr>
      </w:pPr>
    </w:p>
    <w:bookmarkStart w:id="118" w:name="page119"/>
    <w:bookmarkEnd w:id="118"/>
    <w:p>
      <w:pPr>
        <w:ind w:firstLine="636"/>
        <w:spacing w:after="0" w:line="329"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Sponsors, Acquiror and the Company have each caused this Election, Waiver and Consent to be duly</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680"/>
        <w:spacing w:after="0"/>
        <w:rPr>
          <w:sz w:val="20"/>
          <w:szCs w:val="20"/>
          <w:color w:val="auto"/>
        </w:rPr>
      </w:pPr>
      <w:r>
        <w:rPr>
          <w:rFonts w:ascii="Arial" w:cs="Arial" w:eastAsia="Arial" w:hAnsi="Arial"/>
          <w:sz w:val="19"/>
          <w:szCs w:val="19"/>
          <w:b w:val="1"/>
          <w:bCs w:val="1"/>
          <w:color w:val="auto"/>
        </w:rPr>
        <w:t>COMPANY:</w:t>
      </w:r>
    </w:p>
    <w:p>
      <w:pPr>
        <w:spacing w:after="0" w:line="291" w:lineRule="exact"/>
        <w:rPr>
          <w:sz w:val="20"/>
          <w:szCs w:val="20"/>
          <w:color w:val="auto"/>
        </w:rPr>
      </w:pPr>
    </w:p>
    <w:p>
      <w:pPr>
        <w:ind w:left="3660"/>
        <w:spacing w:after="0"/>
        <w:rPr>
          <w:sz w:val="20"/>
          <w:szCs w:val="20"/>
          <w:color w:val="auto"/>
        </w:rPr>
      </w:pPr>
      <w:r>
        <w:rPr>
          <w:rFonts w:ascii="Arial" w:cs="Arial" w:eastAsia="Arial" w:hAnsi="Arial"/>
          <w:sz w:val="19"/>
          <w:szCs w:val="19"/>
          <w:color w:val="auto"/>
        </w:rPr>
        <w:t>NEXTDOOR, INC.</w:t>
      </w:r>
    </w:p>
    <w:p>
      <w:pPr>
        <w:spacing w:after="0" w:line="200" w:lineRule="exact"/>
        <w:rPr>
          <w:sz w:val="20"/>
          <w:szCs w:val="20"/>
          <w:color w:val="auto"/>
        </w:rPr>
      </w:pPr>
    </w:p>
    <w:p>
      <w:pPr>
        <w:spacing w:after="0" w:line="350" w:lineRule="exact"/>
        <w:rPr>
          <w:sz w:val="20"/>
          <w:szCs w:val="20"/>
          <w:color w:val="auto"/>
        </w:rPr>
      </w:pPr>
    </w:p>
    <w:p>
      <w:pPr>
        <w:ind w:left="3660"/>
        <w:spacing w:after="0"/>
        <w:tabs>
          <w:tab w:leader="none" w:pos="42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i w:val="1"/>
          <w:iCs w:val="1"/>
          <w:color w:val="auto"/>
        </w:rPr>
        <w:t>/s/ 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23387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13"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Name: Sarah Friar</w:t>
      </w:r>
    </w:p>
    <w:p>
      <w:pPr>
        <w:spacing w:after="0" w:line="29" w:lineRule="exact"/>
        <w:rPr>
          <w:sz w:val="20"/>
          <w:szCs w:val="20"/>
          <w:color w:val="auto"/>
        </w:rPr>
      </w:pPr>
    </w:p>
    <w:p>
      <w:pPr>
        <w:jc w:val="center"/>
        <w:ind w:right="360"/>
        <w:spacing w:after="0"/>
        <w:tabs>
          <w:tab w:leader="none" w:pos="1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Election, Waiver and Consent</w:t>
      </w:r>
      <w:r>
        <w:rPr>
          <w:rFonts w:ascii="Arial" w:cs="Arial" w:eastAsia="Arial" w:hAnsi="Arial"/>
          <w:sz w:val="18"/>
          <w:szCs w:val="18"/>
          <w:color w:val="auto"/>
        </w:rPr>
        <w:t>]</w:t>
      </w:r>
    </w:p>
    <w:p>
      <w:pPr>
        <w:sectPr>
          <w:pgSz w:w="11900" w:h="16838" w:orient="portrait"/>
          <w:cols w:equalWidth="0" w:num="1">
            <w:col w:w="11240"/>
          </w:cols>
          <w:pgMar w:left="320" w:top="141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3"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consent to the incorporation by reference in the Registration Statement (Form S-8 No. 333-262102) pertaining to the Nextdoor Holdings, Inc. 2021 Equity Incentive Plan, the Nextdoor, Inc. 2008 Equity Incentive Plan, the Nextdoor, Inc. 2018 Equity Incentive Plan and the Nextdoor Holdings, Inc. 2021 Employee Stock Purchase Plan of our report dated March 15, 2022, with respect to the consolidated financial statements of Nextdoor Holdings, Inc. included in this Annual Report (Form 10-K) of Nextdoor Holdings, Inc. for the year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rPr>
          <w:sz w:val="20"/>
          <w:szCs w:val="20"/>
          <w:color w:val="auto"/>
        </w:rPr>
      </w:pPr>
      <w:r>
        <w:rPr>
          <w:rFonts w:ascii="Arial" w:cs="Arial" w:eastAsia="Arial" w:hAnsi="Arial"/>
          <w:sz w:val="18"/>
          <w:szCs w:val="18"/>
          <w:color w:val="auto"/>
        </w:rPr>
        <w:t>March 15, 2022</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ind w:left="340" w:right="2080"/>
        <w:spacing w:after="0" w:line="289" w:lineRule="auto"/>
        <w:rPr>
          <w:sz w:val="20"/>
          <w:szCs w:val="20"/>
          <w:color w:val="auto"/>
        </w:rPr>
      </w:pPr>
      <w:r>
        <w:rPr>
          <w:rFonts w:ascii="Arial" w:cs="Arial" w:eastAsia="Arial" w:hAnsi="Arial"/>
          <w:sz w:val="18"/>
          <w:szCs w:val="18"/>
          <w:b w:val="1"/>
          <w:bCs w:val="1"/>
          <w:color w:val="auto"/>
        </w:rPr>
        <w:t>CERTIFICATION OF PRINCIPAL EXECUTIVE OFFICER PURSUANT TO RULE 13A-14(A) AND 15D-14(A) UNDER THE EXCHANGE ACT, 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Sarah Friar, certify that:</w:t>
      </w:r>
    </w:p>
    <w:p>
      <w:pPr>
        <w:spacing w:after="0" w:line="270" w:lineRule="exact"/>
        <w:rPr>
          <w:sz w:val="20"/>
          <w:szCs w:val="20"/>
          <w:color w:val="auto"/>
        </w:rPr>
      </w:pPr>
    </w:p>
    <w:p>
      <w:pPr>
        <w:ind w:left="320" w:hanging="314"/>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2021 of Nextdoor Holdings, Inc. (the “registrant”);</w:t>
      </w:r>
    </w:p>
    <w:p>
      <w:pPr>
        <w:spacing w:after="0" w:line="190" w:lineRule="exact"/>
        <w:rPr>
          <w:rFonts w:ascii="Arial" w:cs="Arial" w:eastAsia="Arial" w:hAnsi="Arial"/>
          <w:sz w:val="18"/>
          <w:szCs w:val="18"/>
          <w:color w:val="auto"/>
        </w:rPr>
      </w:pPr>
    </w:p>
    <w:p>
      <w:pPr>
        <w:ind w:left="320" w:right="160" w:hanging="314"/>
        <w:spacing w:after="0" w:line="402" w:lineRule="auto"/>
        <w:tabs>
          <w:tab w:leader="none" w:pos="3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left="320" w:right="600" w:hanging="314"/>
        <w:spacing w:after="0" w:line="327" w:lineRule="auto"/>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03" w:lineRule="exact"/>
        <w:rPr>
          <w:rFonts w:ascii="Arial" w:cs="Arial" w:eastAsia="Arial" w:hAnsi="Arial"/>
          <w:sz w:val="17"/>
          <w:szCs w:val="17"/>
          <w:color w:val="auto"/>
        </w:rPr>
      </w:pPr>
    </w:p>
    <w:p>
      <w:pPr>
        <w:ind w:left="320" w:right="100" w:hanging="314"/>
        <w:spacing w:after="0" w:line="295"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7" w:lineRule="exact"/>
        <w:rPr>
          <w:rFonts w:ascii="Arial" w:cs="Arial" w:eastAsia="Arial" w:hAnsi="Arial"/>
          <w:sz w:val="18"/>
          <w:szCs w:val="18"/>
          <w:color w:val="auto"/>
        </w:rPr>
      </w:pPr>
    </w:p>
    <w:p>
      <w:pPr>
        <w:ind w:left="640" w:right="80" w:hanging="316"/>
        <w:spacing w:after="0" w:line="286" w:lineRule="auto"/>
        <w:tabs>
          <w:tab w:leader="none" w:pos="63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640" w:right="120" w:hanging="316"/>
        <w:spacing w:after="0" w:line="327" w:lineRule="auto"/>
        <w:tabs>
          <w:tab w:leader="none" w:pos="6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7"/>
          <w:szCs w:val="17"/>
          <w:color w:val="auto"/>
        </w:rPr>
      </w:pPr>
    </w:p>
    <w:p>
      <w:pPr>
        <w:ind w:left="640" w:right="160" w:hanging="316"/>
        <w:spacing w:after="0" w:line="286" w:lineRule="auto"/>
        <w:tabs>
          <w:tab w:leader="none" w:pos="63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320" w:right="460" w:hanging="314"/>
        <w:spacing w:after="0" w:line="402" w:lineRule="auto"/>
        <w:tabs>
          <w:tab w:leader="none" w:pos="3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left="640" w:right="40" w:hanging="316"/>
        <w:spacing w:after="0" w:line="295" w:lineRule="auto"/>
        <w:tabs>
          <w:tab w:leader="none" w:pos="63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640" w:right="20" w:hanging="316"/>
        <w:spacing w:after="0" w:line="295" w:lineRule="auto"/>
        <w:tabs>
          <w:tab w:leader="none" w:pos="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7"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15, 2022</w:t>
      </w:r>
    </w:p>
    <w:p>
      <w:pPr>
        <w:spacing w:after="0" w:line="71" w:lineRule="exact"/>
        <w:rPr>
          <w:sz w:val="20"/>
          <w:szCs w:val="20"/>
          <w:color w:val="auto"/>
        </w:rPr>
      </w:pPr>
    </w:p>
    <w:p>
      <w:pPr>
        <w:ind w:left="7200"/>
        <w:spacing w:after="0"/>
        <w:tabs>
          <w:tab w:leader="none" w:pos="764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27940</wp:posOffset>
            </wp:positionV>
            <wp:extent cx="17754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1775460" cy="8255"/>
                    </a:xfrm>
                    <a:prstGeom prst="rect">
                      <a:avLst/>
                    </a:prstGeom>
                    <a:noFill/>
                  </pic:spPr>
                </pic:pic>
              </a:graphicData>
            </a:graphic>
          </wp:anchor>
        </w:drawing>
      </w:r>
    </w:p>
    <w:p>
      <w:pPr>
        <w:spacing w:after="0" w:line="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Sarah Friar</w:t>
      </w:r>
    </w:p>
    <w:p>
      <w:pPr>
        <w:ind w:left="7200"/>
        <w:spacing w:after="0" w:line="237" w:lineRule="auto"/>
        <w:rPr>
          <w:sz w:val="20"/>
          <w:szCs w:val="20"/>
          <w:color w:val="auto"/>
        </w:rPr>
      </w:pPr>
      <w:r>
        <w:rPr>
          <w:rFonts w:ascii="Arial" w:cs="Arial" w:eastAsia="Arial" w:hAnsi="Arial"/>
          <w:sz w:val="18"/>
          <w:szCs w:val="18"/>
          <w:color w:val="auto"/>
        </w:rPr>
        <w:t>Chief Executive Officer, President and</w:t>
      </w:r>
    </w:p>
    <w:p>
      <w:pPr>
        <w:ind w:left="720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40"/>
          </w:cols>
          <w:pgMar w:left="320" w:top="373"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82" w:lineRule="exact"/>
        <w:rPr>
          <w:sz w:val="20"/>
          <w:szCs w:val="20"/>
          <w:color w:val="auto"/>
        </w:rPr>
      </w:pPr>
    </w:p>
    <w:p>
      <w:pPr>
        <w:jc w:val="center"/>
        <w:ind w:left="340" w:right="2080"/>
        <w:spacing w:after="0" w:line="289" w:lineRule="auto"/>
        <w:rPr>
          <w:sz w:val="20"/>
          <w:szCs w:val="20"/>
          <w:color w:val="auto"/>
        </w:rPr>
      </w:pPr>
      <w:r>
        <w:rPr>
          <w:rFonts w:ascii="Arial" w:cs="Arial" w:eastAsia="Arial" w:hAnsi="Arial"/>
          <w:sz w:val="18"/>
          <w:szCs w:val="18"/>
          <w:b w:val="1"/>
          <w:bCs w:val="1"/>
          <w:color w:val="auto"/>
        </w:rPr>
        <w:t>CERTIFICATION OF PRINCIPAL FINANCIAL OFFICER PURSUANT TO RULE 13A-14(A) AND 15D-14(A) UNDER THE EXCHANGE ACT, AS ADOPTED PURSUANT 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color w:val="201F1E"/>
        </w:rPr>
        <w:t>Michael Doyle</w:t>
      </w:r>
      <w:r>
        <w:rPr>
          <w:rFonts w:ascii="Arial" w:cs="Arial" w:eastAsia="Arial" w:hAnsi="Arial"/>
          <w:sz w:val="18"/>
          <w:szCs w:val="18"/>
          <w:color w:val="auto"/>
        </w:rPr>
        <w:t>, certify that:</w:t>
      </w:r>
    </w:p>
    <w:p>
      <w:pPr>
        <w:spacing w:after="0" w:line="257" w:lineRule="exact"/>
        <w:rPr>
          <w:sz w:val="20"/>
          <w:szCs w:val="20"/>
          <w:color w:val="auto"/>
        </w:rPr>
      </w:pPr>
    </w:p>
    <w:p>
      <w:pPr>
        <w:ind w:left="320" w:hanging="314"/>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2021 of Nextdoor Holdings, Inc. (the “registrant”);</w:t>
      </w:r>
    </w:p>
    <w:p>
      <w:pPr>
        <w:spacing w:after="0" w:line="190" w:lineRule="exact"/>
        <w:rPr>
          <w:rFonts w:ascii="Arial" w:cs="Arial" w:eastAsia="Arial" w:hAnsi="Arial"/>
          <w:sz w:val="18"/>
          <w:szCs w:val="18"/>
          <w:color w:val="auto"/>
        </w:rPr>
      </w:pPr>
    </w:p>
    <w:p>
      <w:pPr>
        <w:ind w:left="320" w:right="160" w:hanging="314"/>
        <w:spacing w:after="0" w:line="402" w:lineRule="auto"/>
        <w:tabs>
          <w:tab w:leader="none" w:pos="3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left="320" w:right="600" w:hanging="314"/>
        <w:spacing w:after="0" w:line="327" w:lineRule="auto"/>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03" w:lineRule="exact"/>
        <w:rPr>
          <w:rFonts w:ascii="Arial" w:cs="Arial" w:eastAsia="Arial" w:hAnsi="Arial"/>
          <w:sz w:val="17"/>
          <w:szCs w:val="17"/>
          <w:color w:val="auto"/>
        </w:rPr>
      </w:pPr>
    </w:p>
    <w:p>
      <w:pPr>
        <w:ind w:left="320" w:right="100" w:hanging="314"/>
        <w:spacing w:after="0" w:line="295"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7" w:lineRule="exact"/>
        <w:rPr>
          <w:rFonts w:ascii="Arial" w:cs="Arial" w:eastAsia="Arial" w:hAnsi="Arial"/>
          <w:sz w:val="18"/>
          <w:szCs w:val="18"/>
          <w:color w:val="auto"/>
        </w:rPr>
      </w:pPr>
    </w:p>
    <w:p>
      <w:pPr>
        <w:ind w:left="640" w:right="80" w:hanging="316"/>
        <w:spacing w:after="0" w:line="286" w:lineRule="auto"/>
        <w:tabs>
          <w:tab w:leader="none" w:pos="63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640" w:right="120" w:hanging="316"/>
        <w:spacing w:after="0" w:line="327" w:lineRule="auto"/>
        <w:tabs>
          <w:tab w:leader="none" w:pos="6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7"/>
          <w:szCs w:val="17"/>
          <w:color w:val="auto"/>
        </w:rPr>
      </w:pPr>
    </w:p>
    <w:p>
      <w:pPr>
        <w:ind w:left="640" w:right="160" w:hanging="316"/>
        <w:spacing w:after="0" w:line="286" w:lineRule="auto"/>
        <w:tabs>
          <w:tab w:leader="none" w:pos="63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320" w:right="460" w:hanging="314"/>
        <w:spacing w:after="0" w:line="402" w:lineRule="auto"/>
        <w:tabs>
          <w:tab w:leader="none" w:pos="3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5"/>
          <w:szCs w:val="15"/>
          <w:color w:val="auto"/>
        </w:rPr>
      </w:pPr>
    </w:p>
    <w:p>
      <w:pPr>
        <w:ind w:left="640" w:right="40" w:hanging="316"/>
        <w:spacing w:after="0" w:line="295" w:lineRule="auto"/>
        <w:tabs>
          <w:tab w:leader="none" w:pos="63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640" w:right="20" w:hanging="316"/>
        <w:spacing w:after="0" w:line="295" w:lineRule="auto"/>
        <w:tabs>
          <w:tab w:leader="none" w:pos="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54"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15, 2022</w:t>
      </w:r>
    </w:p>
    <w:p>
      <w:pPr>
        <w:ind w:left="7200"/>
        <w:spacing w:after="0" w:line="185" w:lineRule="auto"/>
        <w:tabs>
          <w:tab w:leader="none" w:pos="7640" w:val="left"/>
        </w:tabs>
        <w:rPr>
          <w:sz w:val="20"/>
          <w:szCs w:val="20"/>
          <w:color w:val="auto"/>
        </w:rPr>
      </w:pPr>
      <w:r>
        <w:rPr>
          <w:rFonts w:ascii="Arial" w:cs="Arial" w:eastAsia="Arial" w:hAnsi="Arial"/>
          <w:sz w:val="27"/>
          <w:szCs w:val="27"/>
          <w:color w:val="auto"/>
          <w:vertAlign w:val="subscript"/>
        </w:rPr>
        <w:t>By:</w:t>
      </w:r>
      <w:r>
        <w:rPr>
          <w:sz w:val="20"/>
          <w:szCs w:val="20"/>
          <w:color w:val="auto"/>
        </w:rPr>
        <w:tab/>
      </w:r>
      <w:r>
        <w:rPr>
          <w:rFonts w:ascii="Arial" w:cs="Arial" w:eastAsia="Arial" w:hAnsi="Arial"/>
          <w:sz w:val="15"/>
          <w:szCs w:val="15"/>
          <w:i w:val="1"/>
          <w:iCs w:val="1"/>
          <w:color w:val="auto"/>
        </w:rPr>
        <w:t xml:space="preserve">/s/ </w:t>
      </w:r>
      <w:r>
        <w:rPr>
          <w:rFonts w:ascii="Arial" w:cs="Arial" w:eastAsia="Arial" w:hAnsi="Arial"/>
          <w:sz w:val="15"/>
          <w:szCs w:val="15"/>
          <w:i w:val="1"/>
          <w:iCs w:val="1"/>
          <w:color w:val="201F1E"/>
        </w:rPr>
        <w:t>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94615</wp:posOffset>
            </wp:positionV>
            <wp:extent cx="22129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130" w:lineRule="exact"/>
        <w:rPr>
          <w:sz w:val="20"/>
          <w:szCs w:val="20"/>
          <w:color w:val="auto"/>
        </w:rPr>
      </w:pPr>
    </w:p>
    <w:p>
      <w:pPr>
        <w:ind w:left="7200"/>
        <w:spacing w:after="0"/>
        <w:rPr>
          <w:sz w:val="20"/>
          <w:szCs w:val="20"/>
          <w:color w:val="auto"/>
        </w:rPr>
      </w:pPr>
      <w:r>
        <w:rPr>
          <w:rFonts w:ascii="Arial" w:cs="Arial" w:eastAsia="Arial" w:hAnsi="Arial"/>
          <w:sz w:val="18"/>
          <w:szCs w:val="18"/>
          <w:color w:val="201F1E"/>
        </w:rPr>
        <w:t>Michael Doyle</w:t>
      </w:r>
    </w:p>
    <w:p>
      <w:pPr>
        <w:spacing w:after="0" w:line="1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399"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 AS ADOPTED PURSUANT TO SECTION 906</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In connection with the Annual Report of Nextdoor Holdings, Inc. (the “Company”) on Form 10-K for the year ended December 31, 2021,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3"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15, 2022</w:t>
      </w:r>
    </w:p>
    <w:p>
      <w:pPr>
        <w:spacing w:after="0" w:line="114" w:lineRule="exact"/>
        <w:rPr>
          <w:sz w:val="20"/>
          <w:szCs w:val="20"/>
          <w:color w:val="auto"/>
        </w:rPr>
      </w:pPr>
    </w:p>
    <w:p>
      <w:pPr>
        <w:ind w:left="7200"/>
        <w:spacing w:after="0"/>
        <w:tabs>
          <w:tab w:leader="none" w:pos="7640" w:val="left"/>
        </w:tabs>
        <w:rPr>
          <w:sz w:val="20"/>
          <w:szCs w:val="20"/>
          <w:color w:val="auto"/>
        </w:rPr>
      </w:pPr>
      <w:r>
        <w:rPr>
          <w:rFonts w:ascii="Arial" w:cs="Arial" w:eastAsia="Arial" w:hAnsi="Arial"/>
          <w:sz w:val="35"/>
          <w:szCs w:val="35"/>
          <w:color w:val="auto"/>
          <w:vertAlign w:val="subscript"/>
        </w:rPr>
        <w:t>By:</w:t>
      </w:r>
      <w:r>
        <w:rPr>
          <w:sz w:val="20"/>
          <w:szCs w:val="20"/>
          <w:color w:val="auto"/>
        </w:rPr>
        <w:tab/>
      </w:r>
      <w:r>
        <w:rPr>
          <w:rFonts w:ascii="Arial" w:cs="Arial" w:eastAsia="Arial" w:hAnsi="Arial"/>
          <w:sz w:val="21"/>
          <w:szCs w:val="21"/>
          <w:color w:val="auto"/>
        </w:rPr>
        <w:t xml:space="preserve">/s/ </w:t>
      </w:r>
      <w:r>
        <w:rPr>
          <w:rFonts w:ascii="Arial" w:cs="Arial" w:eastAsia="Arial" w:hAnsi="Arial"/>
          <w:sz w:val="17"/>
          <w:szCs w:val="17"/>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120650</wp:posOffset>
            </wp:positionV>
            <wp:extent cx="16490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1649095" cy="8255"/>
                    </a:xfrm>
                    <a:prstGeom prst="rect">
                      <a:avLst/>
                    </a:prstGeom>
                    <a:noFill/>
                  </pic:spPr>
                </pic:pic>
              </a:graphicData>
            </a:graphic>
          </wp:anchor>
        </w:drawing>
      </w:r>
    </w:p>
    <w:p>
      <w:pPr>
        <w:spacing w:after="0" w:line="17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Sarah Friar</w:t>
      </w:r>
    </w:p>
    <w:p>
      <w:pPr>
        <w:ind w:left="7200"/>
        <w:spacing w:after="0" w:line="237" w:lineRule="auto"/>
        <w:rPr>
          <w:sz w:val="20"/>
          <w:szCs w:val="20"/>
          <w:color w:val="auto"/>
        </w:rPr>
      </w:pPr>
      <w:r>
        <w:rPr>
          <w:rFonts w:ascii="Arial" w:cs="Arial" w:eastAsia="Arial" w:hAnsi="Arial"/>
          <w:sz w:val="18"/>
          <w:szCs w:val="18"/>
          <w:color w:val="auto"/>
        </w:rPr>
        <w:t>Chief Executive Officer, President and</w:t>
      </w:r>
    </w:p>
    <w:p>
      <w:pPr>
        <w:ind w:left="720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40"/>
          </w:cols>
          <w:pgMar w:left="320" w:top="399"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 AS ADOPTED PURSUANT TO SECTION 906</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80"/>
        <w:spacing w:after="0" w:line="328" w:lineRule="auto"/>
        <w:rPr>
          <w:sz w:val="20"/>
          <w:szCs w:val="20"/>
          <w:color w:val="auto"/>
        </w:rPr>
      </w:pPr>
      <w:r>
        <w:rPr>
          <w:rFonts w:ascii="Arial" w:cs="Arial" w:eastAsia="Arial" w:hAnsi="Arial"/>
          <w:sz w:val="18"/>
          <w:szCs w:val="18"/>
          <w:color w:val="auto"/>
        </w:rPr>
        <w:t>In connection with the Annual Report of Nextdoor Holdings, Inc. (the “Company”) on Form 10-K for the year ended December 31, 2021,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3"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83"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15, 2022</w:t>
      </w:r>
    </w:p>
    <w:p>
      <w:pPr>
        <w:spacing w:after="0" w:line="283" w:lineRule="exact"/>
        <w:rPr>
          <w:sz w:val="20"/>
          <w:szCs w:val="20"/>
          <w:color w:val="auto"/>
        </w:rPr>
      </w:pPr>
    </w:p>
    <w:p>
      <w:pPr>
        <w:ind w:left="720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10795</wp:posOffset>
            </wp:positionV>
            <wp:extent cx="19011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Michael Doyle</w:t>
      </w:r>
    </w:p>
    <w:p>
      <w:pPr>
        <w:spacing w:after="0" w:line="1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240"/>
      </w:cols>
      <w:pgMar w:left="320" w:top="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2"/>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6"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35" Type="http://schemas.openxmlformats.org/officeDocument/2006/relationships/hyperlink" Target="https://www.sec.gov/ix?doc=/Archives/edgar/data/0001846069/000162828021019483/kvsb-20211001.htm" TargetMode="External"/><Relationship Id="rId136" Type="http://schemas.openxmlformats.org/officeDocument/2006/relationships/hyperlink" Target="https://www.sec.gov/ix?doc=/Archives/edgar/data/1846069/000162828021014051/kvsb-20210720.htm#i11186f3ee37c4f5d955bcd9dd1a562c4_5413" TargetMode="External"/><Relationship Id="rId137" Type="http://schemas.openxmlformats.org/officeDocument/2006/relationships/hyperlink" Target="https://www.sec.gov/Archives/edgar/data/0001846069/000162828021023197/exhibit31-super8xk.htm" TargetMode="External"/><Relationship Id="rId138" Type="http://schemas.openxmlformats.org/officeDocument/2006/relationships/hyperlink" Target="https://www.sec.gov/Archives/edgar/data/0001846069/000162828021023197/exhibit32-super8xk.htm" TargetMode="External"/><Relationship Id="rId139" Type="http://schemas.openxmlformats.org/officeDocument/2006/relationships/hyperlink" Target="https://www.sec.gov/Archives/edgar/data/0001846069/000162828021023197/exhibit41-super8xk.htm" TargetMode="External"/><Relationship Id="rId140" Type="http://schemas.openxmlformats.org/officeDocument/2006/relationships/hyperlink" Target="https://www.sec.gov/ix?doc=/Archives/edgar/data/0001846069/000162828021018395/kvsb-20210910.htm#i11186f3ee37c4f5d955bcd9dd1a562c4_5394" TargetMode="External"/><Relationship Id="rId141" Type="http://schemas.openxmlformats.org/officeDocument/2006/relationships/hyperlink" Target="https://www.sec.gov/ix?doc=/Archives/edgar/data/0001846069/000162828021018395/kvsb-20210910.htm#i11186f3ee37c4f5d955bcd9dd1a562c4_5333" TargetMode="External"/><Relationship Id="rId142" Type="http://schemas.openxmlformats.org/officeDocument/2006/relationships/hyperlink" Target="https://www.sec.gov/ix?doc=/Archives/edgar/data/0001846069/000162828021018395/kvsb-20210910.htm#i11186f3ee37c4f5d955bcd9dd1a562c4_5294" TargetMode="External"/><Relationship Id="rId143" Type="http://schemas.openxmlformats.org/officeDocument/2006/relationships/hyperlink" Target="https://www.sec.gov/Archives/edgar/data/0001846069/000162828021023197/exhibit105-super8xk.htm" TargetMode="External"/><Relationship Id="rId144" Type="http://schemas.openxmlformats.org/officeDocument/2006/relationships/hyperlink" Target="https://www.sec.gov/Archives/edgar/data/0001846069/000162828021014051/exhibit1024-sx4.htm" TargetMode="External"/><Relationship Id="rId145" Type="http://schemas.openxmlformats.org/officeDocument/2006/relationships/hyperlink" Target="https://www.sec.gov/Archives/edgar/data/0001846069/000162828021014051/exhibit1026-sx4.htm" TargetMode="External"/><Relationship Id="rId147" Type="http://schemas.openxmlformats.org/officeDocument/2006/relationships/hyperlink" Target="https://www.sec.gov/Archives/edgar/data/0001846069/000162828021014051/exhibit1027-sx4.htm" TargetMode="External"/><Relationship Id="rId148" Type="http://schemas.openxmlformats.org/officeDocument/2006/relationships/hyperlink" Target="https://www.sec.gov/Archives/edgar/data/0001846069/000162828021014051/exhibit1025-sx4.htm" TargetMode="External"/><Relationship Id="rId149" Type="http://schemas.openxmlformats.org/officeDocument/2006/relationships/hyperlink" Target="https://www.sec.gov/Archives/edgar/data/0001846069/000162828021014051/exhibit1028-sx4.htm" TargetMode="External"/><Relationship Id="rId150" Type="http://schemas.openxmlformats.org/officeDocument/2006/relationships/hyperlink" Target="https://www.sec.gov/Archives/edgar/data/1846069/000162828021014051/exhibit1029-sx4.htm" TargetMode="External"/><Relationship Id="rId151" Type="http://schemas.openxmlformats.org/officeDocument/2006/relationships/hyperlink" Target="https://www.sec.gov/Archives/edgar/data/0001846069/000162828021023197/exhibit1018-super8xk.htm" TargetMode="External"/><Relationship Id="rId152" Type="http://schemas.openxmlformats.org/officeDocument/2006/relationships/hyperlink" Target="https://www.sec.gov/Archives/edgar/data/0001846069/000162828021023197/exhibit107-super8xk.htm" TargetMode="External"/><Relationship Id="rId153" Type="http://schemas.openxmlformats.org/officeDocument/2006/relationships/hyperlink" Target="https://www.sec.gov/Archives/edgar/data/1846069/000162828021014051/exhibit1015-sx4.htm" TargetMode="External"/><Relationship Id="rId154" Type="http://schemas.openxmlformats.org/officeDocument/2006/relationships/hyperlink" Target="https://www.sec.gov/Archives/edgar/data/0001846069/000162828021014051/exhibit1016-sx4.htm" TargetMode="External"/><Relationship Id="rId155" Type="http://schemas.openxmlformats.org/officeDocument/2006/relationships/hyperlink" Target="https://www.sec.gov/Archives/edgar/data/0001846069/000162828021023197/exhibit1010-super8xk.htm" TargetMode="External"/><Relationship Id="rId156" Type="http://schemas.openxmlformats.org/officeDocument/2006/relationships/hyperlink" Target="https://www.sec.gov/Archives/edgar/data/1846069/000119312521099046/d116114dex105.htm" TargetMode="External"/><Relationship Id="rId157" Type="http://schemas.openxmlformats.org/officeDocument/2006/relationships/hyperlink" Target="https://www.sec.gov/Archives/edgar/data/0001846069/000162828021014051/exhibit1018-sx4.htm" TargetMode="External"/><Relationship Id="rId158" Type="http://schemas.openxmlformats.org/officeDocument/2006/relationships/hyperlink" Target="https://www.sec.gov/Archives/edgar/data/0001846069/000162828021014051/exhibit1019-sx4.htm" TargetMode="External"/><Relationship Id="rId159" Type="http://schemas.openxmlformats.org/officeDocument/2006/relationships/hyperlink" Target="https://www.sec.gov/Archives/edgar/data/0001846069/000162828021014051/exhibit1020-sx4.htm" TargetMode="External"/><Relationship Id="rId160" Type="http://schemas.openxmlformats.org/officeDocument/2006/relationships/hyperlink" Target="https://www.sec.gov/Archives/edgar/data/0001846069/000162828021014051/exhibit1021-sx4.htm" TargetMode="External"/><Relationship Id="rId161" Type="http://schemas.openxmlformats.org/officeDocument/2006/relationships/hyperlink" Target="https://www.sec.gov/Archives/edgar/data/0001846069/000162828021023197/exhibit106-super8xk.htm" TargetMode="External"/><Relationship Id="rId162" Type="http://schemas.openxmlformats.org/officeDocument/2006/relationships/hyperlink" Target="https://www.sec.gov/Archives/edgar/data/1846069/000162828021014051/exhibit1023-sx4.htm" TargetMode="External"/><Relationship Id="rId163" Type="http://schemas.openxmlformats.org/officeDocument/2006/relationships/hyperlink" Target="https://www.sec.gov/Archives/edgar/data/0001846069/000162828021023197/exhibit211-super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2022-03-15T15:16:41Z</dcterms:created>
  <dcterms:modified xsi:type="dcterms:W3CDTF">2022-03-15T15:16:41Z</dcterms:modified>
</cp:coreProperties>
</file>