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9075" w:type="dxa"/>
        <w:jc w:val="center"/>
        <w:tblInd w:w="0" w:type="dxa"/>
        <w:tblLayout w:type="fixed"/>
        <w:tblCellMar>
          <w:top w:w="28" w:type="dxa"/>
          <w:left w:w="28" w:type="dxa"/>
          <w:bottom w:w="28" w:type="dxa"/>
          <w:right w:w="28" w:type="dxa"/>
        </w:tblCellMar>
      </w:tblPr>
      <w:tblGrid>
        <w:gridCol w:w="141"/>
        <w:gridCol w:w="124"/>
        <w:gridCol w:w="126"/>
        <w:gridCol w:w="2538"/>
        <w:gridCol w:w="2538"/>
        <w:gridCol w:w="36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2025</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transition period from to </w:t>
      </w:r>
    </w:p>
    <w:p>
      <w:pPr>
        <w:pStyle w:val="TextBody"/>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001-40246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Nextdoor Holdings,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56" w:type="dxa"/>
        <w:jc w:val="left"/>
        <w:tblInd w:w="0" w:type="dxa"/>
        <w:tblLayout w:type="fixed"/>
        <w:tblCellMar>
          <w:top w:w="28" w:type="dxa"/>
          <w:left w:w="28" w:type="dxa"/>
          <w:bottom w:w="28" w:type="dxa"/>
          <w:right w:w="28" w:type="dxa"/>
        </w:tblCellMar>
      </w:tblPr>
      <w:tblGrid>
        <w:gridCol w:w="1091"/>
        <w:gridCol w:w="957"/>
        <w:gridCol w:w="967"/>
        <w:gridCol w:w="109"/>
        <w:gridCol w:w="109"/>
        <w:gridCol w:w="109"/>
        <w:gridCol w:w="528"/>
        <w:gridCol w:w="528"/>
        <w:gridCol w:w="75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86-1776836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(State or Other Jurisdiction of</w:t>
            </w:r>
          </w:p>
          <w:p>
            <w:pPr>
              <w:pStyle w:val="TableContents"/>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(I.R.S. Employer</w:t>
            </w:r>
          </w:p>
          <w:p>
            <w:pPr>
              <w:pStyle w:val="TableContents"/>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420 Taylor Street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San Francisco, California</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94102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5156" w:type="dxa"/>
            <w:gridSpan w:val="9"/>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(415) 344-0333</w:t>
            </w:r>
          </w:p>
          <w:p>
            <w:pPr>
              <w:pStyle w:val="TableContents"/>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bl>
    <w:tbl>
      <w:tblPr>
        <w:tblW w:w="8384" w:type="dxa"/>
        <w:jc w:val="left"/>
        <w:tblInd w:w="0" w:type="dxa"/>
        <w:tblLayout w:type="fixed"/>
        <w:tblCellMar>
          <w:top w:w="28" w:type="dxa"/>
          <w:left w:w="28" w:type="dxa"/>
          <w:bottom w:w="28" w:type="dxa"/>
          <w:right w:w="28" w:type="dxa"/>
        </w:tblCellMar>
      </w:tblPr>
      <w:tblGrid>
        <w:gridCol w:w="1354"/>
        <w:gridCol w:w="1182"/>
        <w:gridCol w:w="1199"/>
        <w:gridCol w:w="474"/>
        <w:gridCol w:w="474"/>
        <w:gridCol w:w="476"/>
        <w:gridCol w:w="945"/>
        <w:gridCol w:w="945"/>
        <w:gridCol w:w="1335"/>
      </w:tblGrid>
      <w:tr>
        <w:trPr/>
        <w:tc>
          <w:tcPr>
            <w:tcW w:w="135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7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KIND</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345"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64"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before="0" w:after="180"/>
        <w:jc w:val="left"/>
        <w:rPr/>
      </w:pPr>
      <w:r>
        <w:rPr/>
      </w:r>
    </w:p>
    <w:p>
      <w:pPr>
        <w:pStyle w:val="TextBody"/>
        <w:bidi w:val="0"/>
        <w:spacing w:lineRule="auto" w:line="345"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As of May 5, 2025, there were 234,706,942 shares of the registrant’s Class A common stock outstanding and 147,881,514 shares of the registrant’s Class B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3"/>
        <w:gridCol w:w="687"/>
        <w:gridCol w:w="687"/>
        <w:gridCol w:w="2518"/>
        <w:gridCol w:w="2471"/>
        <w:gridCol w:w="2516"/>
        <w:gridCol w:w="158"/>
        <w:gridCol w:w="158"/>
        <w:gridCol w:w="227"/>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3">
              <w:r>
                <w:rPr>
                  <w:rStyle w:val="InternetLink"/>
                  <w:rFonts w:ascii="Times New Roman;sans-serif" w:hAnsi="Times New Roman;sans-serif"/>
                  <w:b w:val="false"/>
                  <w:color w:val="0000FF"/>
                  <w:sz w:val="20"/>
                  <w:u w:val="single"/>
                </w:rPr>
                <w:t>Special Note Regarding Forward-Looking Statements</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31b5bf5e563b4bcb92a5237fa69425c1_13">
              <w:r>
                <w:rPr>
                  <w:rStyle w:val="InternetLink"/>
                  <w:rFonts w:ascii="Times New Roman;sans-serif" w:hAnsi="Times New Roman;sans-serif"/>
                  <w:b w:val="false"/>
                  <w:color w:val="0000FF"/>
                  <w:sz w:val="20"/>
                  <w:u w:val="single"/>
                </w:rPr>
                <w:t>2</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6">
              <w:r>
                <w:rPr>
                  <w:rStyle w:val="InternetLink"/>
                  <w:rFonts w:ascii="Times New Roman;sans-serif" w:hAnsi="Times New Roman;sans-serif"/>
                  <w:b w:val="false"/>
                  <w:color w:val="0000FF"/>
                  <w:sz w:val="20"/>
                  <w:u w:val="single"/>
                </w:rPr>
                <w:t>Risk Factor Summary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6">
              <w:r>
                <w:rPr>
                  <w:rStyle w:val="InternetLink"/>
                  <w:rFonts w:ascii="Times New Roman;sans-serif" w:hAnsi="Times New Roman;sans-serif"/>
                  <w:b w:val="false"/>
                  <w:color w:val="0000FF"/>
                  <w:sz w:val="20"/>
                  <w:u w:val="single"/>
                </w:rPr>
                <w:t>4</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9">
              <w:r>
                <w:rPr>
                  <w:rStyle w:val="InternetLink"/>
                  <w:rFonts w:ascii="Times New Roman;sans-serif" w:hAnsi="Times New Roman;sans-serif"/>
                  <w:b w:val="false"/>
                  <w:color w:val="0000FF"/>
                  <w:sz w:val="20"/>
                  <w:u w:val="single"/>
                </w:rPr>
                <w:t>Part I - Financial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22">
              <w:r>
                <w:rPr>
                  <w:rStyle w:val="InternetLink"/>
                  <w:rFonts w:ascii="Times New Roman;sans-serif" w:hAnsi="Times New Roman;sans-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22">
              <w:r>
                <w:rPr>
                  <w:rStyle w:val="InternetLink"/>
                  <w:rFonts w:ascii="Times New Roman;sans-serif" w:hAnsi="Times New Roman;sans-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25">
              <w:r>
                <w:rPr>
                  <w:rStyle w:val="InternetLink"/>
                  <w:rFonts w:ascii="Times New Roman;sans-serif" w:hAnsi="Times New Roman;sans-serif"/>
                  <w:b w:val="false"/>
                  <w:color w:val="0000FF"/>
                  <w:sz w:val="20"/>
                  <w:u w:val="single"/>
                </w:rPr>
                <w:t>Condensed Consolidated Balance Sheets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25">
              <w:r>
                <w:rPr>
                  <w:rStyle w:val="InternetLink"/>
                  <w:rFonts w:ascii="Times New Roman;sans-serif" w:hAnsi="Times New Roman;sans-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31">
              <w:r>
                <w:rPr>
                  <w:rStyle w:val="InternetLink"/>
                  <w:rFonts w:ascii="Times New Roman;sans-serif" w:hAnsi="Times New Roman;sans-serif"/>
                  <w:b w:val="false"/>
                  <w:color w:val="0000FF"/>
                  <w:sz w:val="20"/>
                  <w:u w:val="single"/>
                </w:rPr>
                <w:t>Condensed Consolidated Statements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31">
              <w:r>
                <w:rPr>
                  <w:rStyle w:val="InternetLink"/>
                  <w:rFonts w:ascii="Times New Roman;sans-serif" w:hAnsi="Times New Roman;sans-serif"/>
                  <w:b w:val="false"/>
                  <w:color w:val="0000FF"/>
                  <w:sz w:val="20"/>
                  <w:u w:val="single"/>
                </w:rPr>
                <w:t>7</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34">
              <w:r>
                <w:rPr>
                  <w:rStyle w:val="InternetLink"/>
                  <w:rFonts w:ascii="Times New Roman;sans-serif" w:hAnsi="Times New Roman;sans-serif"/>
                  <w:b w:val="false"/>
                  <w:color w:val="0000FF"/>
                  <w:sz w:val="20"/>
                  <w:u w:val="single"/>
                </w:rPr>
                <w:t>Condensed Consolidated Statements of Comprehensive Loss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34">
              <w:r>
                <w:rPr>
                  <w:rStyle w:val="InternetLink"/>
                  <w:rFonts w:ascii="Times New Roman;sans-serif" w:hAnsi="Times New Roman;sans-serif"/>
                  <w:b w:val="false"/>
                  <w:color w:val="0000FF"/>
                  <w:sz w:val="20"/>
                  <w:u w:val="single"/>
                </w:rPr>
                <w:t>8</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37">
              <w:r>
                <w:rPr>
                  <w:rStyle w:val="InternetLink"/>
                  <w:rFonts w:ascii="Times New Roman;sans-serif" w:hAnsi="Times New Roman;sans-serif"/>
                  <w:b w:val="false"/>
                  <w:color w:val="0000FF"/>
                  <w:sz w:val="20"/>
                  <w:u w:val="single"/>
                </w:rPr>
                <w:t>Condensed Consolidated Statements of Stockholders’ Equity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37">
              <w:r>
                <w:rPr>
                  <w:rStyle w:val="InternetLink"/>
                  <w:rFonts w:ascii="Times New Roman;sans-serif" w:hAnsi="Times New Roman;sans-serif"/>
                  <w:b w:val="false"/>
                  <w:color w:val="0000FF"/>
                  <w:sz w:val="20"/>
                  <w:u w:val="single"/>
                </w:rPr>
                <w:t>9</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40">
              <w:r>
                <w:rPr>
                  <w:rStyle w:val="InternetLink"/>
                  <w:rFonts w:ascii="Times New Roman;sans-serif" w:hAnsi="Times New Roman;sans-serif"/>
                  <w:b w:val="false"/>
                  <w:color w:val="0000FF"/>
                  <w:sz w:val="20"/>
                  <w:u w:val="single"/>
                </w:rPr>
                <w:t>Condensed Consolidated Statements of Cash Flows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40">
              <w:r>
                <w:rPr>
                  <w:rStyle w:val="InternetLink"/>
                  <w:rFonts w:ascii="Times New Roman;sans-serif" w:hAnsi="Times New Roman;sans-serif"/>
                  <w:b w:val="false"/>
                  <w:color w:val="0000FF"/>
                  <w:sz w:val="20"/>
                  <w:u w:val="single"/>
                </w:rPr>
                <w:t>10</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43">
              <w:r>
                <w:rPr>
                  <w:rStyle w:val="InternetLink"/>
                  <w:rFonts w:ascii="Times New Roman;sans-serif" w:hAnsi="Times New Roman;sans-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43">
              <w:r>
                <w:rPr>
                  <w:rStyle w:val="InternetLink"/>
                  <w:rFonts w:ascii="Times New Roman;sans-serif" w:hAnsi="Times New Roman;sans-serif"/>
                  <w:b w:val="false"/>
                  <w:color w:val="0000FF"/>
                  <w:sz w:val="20"/>
                  <w:u w:val="single"/>
                </w:rPr>
                <w:t>10</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88">
              <w:r>
                <w:rPr>
                  <w:rStyle w:val="InternetLink"/>
                  <w:rFonts w:ascii="Times New Roman;sans-serif" w:hAnsi="Times New Roman;sans-serif"/>
                  <w:b w:val="false"/>
                  <w:color w:val="0000FF"/>
                  <w:sz w:val="20"/>
                  <w:u w:val="single"/>
                </w:rPr>
                <w:t>20</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18">
              <w:r>
                <w:rPr>
                  <w:rStyle w:val="InternetLink"/>
                  <w:rFonts w:ascii="Times New Roman;sans-serif" w:hAnsi="Times New Roman;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18">
              <w:r>
                <w:rPr>
                  <w:rStyle w:val="InternetLink"/>
                  <w:rFonts w:ascii="Times New Roman;sans-serif" w:hAnsi="Times New Roman;sans-serif"/>
                  <w:b w:val="false"/>
                  <w:color w:val="0000FF"/>
                  <w:sz w:val="20"/>
                  <w:u w:val="single"/>
                </w:rPr>
                <w:t>30</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21">
              <w:r>
                <w:rPr>
                  <w:rStyle w:val="InternetLink"/>
                  <w:rFonts w:ascii="Times New Roman;sans-serif" w:hAnsi="Times New Roman;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21">
              <w:r>
                <w:rPr>
                  <w:rStyle w:val="InternetLink"/>
                  <w:rFonts w:ascii="Times New Roman;sans-serif" w:hAnsi="Times New Roman;sans-serif"/>
                  <w:b w:val="false"/>
                  <w:color w:val="0000FF"/>
                  <w:sz w:val="20"/>
                  <w:u w:val="single"/>
                </w:rPr>
                <w:t>30</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24">
              <w:r>
                <w:rPr>
                  <w:rStyle w:val="InternetLink"/>
                  <w:rFonts w:ascii="Times New Roman;sans-serif" w:hAnsi="Times New Roman;sans-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27">
              <w:r>
                <w:rPr>
                  <w:rStyle w:val="InternetLink"/>
                  <w:rFonts w:ascii="Times New Roman;sans-serif" w:hAnsi="Times New Roman;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27">
              <w:r>
                <w:rPr>
                  <w:rStyle w:val="InternetLink"/>
                  <w:rFonts w:ascii="Times New Roman;sans-serif" w:hAnsi="Times New Roman;sans-serif"/>
                  <w:b w:val="false"/>
                  <w:color w:val="0000FF"/>
                  <w:sz w:val="20"/>
                  <w:u w:val="single"/>
                </w:rPr>
                <w:t>31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FF"/>
                <w:sz w:val="20"/>
                <w:u w:val="single"/>
              </w:rPr>
              <w:t>R</w:t>
            </w:r>
            <w:hyperlink w:anchor="i31b5bf5e563b4bcb92a5237fa69425c1_130">
              <w:r>
                <w:rPr>
                  <w:rStyle w:val="InternetLink"/>
                  <w:rFonts w:ascii="Times New Roman;sans-serif" w:hAnsi="Times New Roman;sans-serif"/>
                  <w:b w:val="false"/>
                  <w:color w:val="000080"/>
                  <w:sz w:val="20"/>
                  <w:u w:val="single"/>
                </w:rPr>
                <w:t>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30">
              <w:r>
                <w:rPr>
                  <w:rStyle w:val="InternetLink"/>
                  <w:rFonts w:ascii="Times New Roman;sans-serif" w:hAnsi="Times New Roman;sans-serif"/>
                  <w:b w:val="false"/>
                  <w:color w:val="0000FF"/>
                  <w:sz w:val="20"/>
                  <w:u w:val="single"/>
                </w:rPr>
                <w:t>31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33">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33">
              <w:r>
                <w:rPr>
                  <w:rStyle w:val="InternetLink"/>
                  <w:rFonts w:ascii="Times New Roman;sans-serif" w:hAnsi="Times New Roman;sans-serif"/>
                  <w:b w:val="false"/>
                  <w:color w:val="0000FF"/>
                  <w:sz w:val="20"/>
                  <w:u w:val="single"/>
                </w:rPr>
                <w:t>61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36">
              <w:r>
                <w:rPr>
                  <w:rStyle w:val="InternetLink"/>
                  <w:rFonts w:ascii="Times New Roman;sans-serif" w:hAnsi="Times New Roman;sans-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36">
              <w:r>
                <w:rPr>
                  <w:rStyle w:val="InternetLink"/>
                  <w:rFonts w:ascii="Times New Roman;sans-serif" w:hAnsi="Times New Roman;sans-serif"/>
                  <w:b w:val="false"/>
                  <w:color w:val="0000FF"/>
                  <w:sz w:val="20"/>
                  <w:u w:val="single"/>
                </w:rPr>
                <w:t>62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39">
              <w:r>
                <w:rPr>
                  <w:rStyle w:val="InternetLink"/>
                  <w:rFonts w:ascii="Times New Roman;sans-serif" w:hAnsi="Times New Roman;sans-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39">
              <w:r>
                <w:rPr>
                  <w:rStyle w:val="InternetLink"/>
                  <w:rFonts w:ascii="Times New Roman;sans-serif" w:hAnsi="Times New Roman;sans-serif"/>
                  <w:b w:val="false"/>
                  <w:color w:val="0000FF"/>
                  <w:sz w:val="20"/>
                  <w:u w:val="single"/>
                </w:rPr>
                <w:t>62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42">
              <w:r>
                <w:rPr>
                  <w:rStyle w:val="InternetLink"/>
                  <w:rFonts w:ascii="Times New Roman;sans-serif" w:hAnsi="Times New Roman;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42">
              <w:r>
                <w:rPr>
                  <w:rStyle w:val="InternetLink"/>
                  <w:rFonts w:ascii="Times New Roman;sans-serif" w:hAnsi="Times New Roman;sans-serif"/>
                  <w:b w:val="false"/>
                  <w:color w:val="0000FF"/>
                  <w:sz w:val="20"/>
                  <w:u w:val="single"/>
                </w:rPr>
                <w:t>63</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48">
              <w:r>
                <w:rPr>
                  <w:rStyle w:val="InternetLink"/>
                  <w:rFonts w:ascii="Times New Roman;sans-serif" w:hAnsi="Times New Roman;sans-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48">
              <w:r>
                <w:rPr>
                  <w:rStyle w:val="InternetLink"/>
                  <w:rFonts w:ascii="Times New Roman;sans-serif" w:hAnsi="Times New Roman;sans-serif"/>
                  <w:b w:val="false"/>
                  <w:color w:val="0000FF"/>
                  <w:sz w:val="20"/>
                  <w:u w:val="single"/>
                </w:rPr>
                <w:t>64</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1b5bf5e563b4bcb92a5237fa69425c1_151">
              <w:r>
                <w:rPr>
                  <w:rStyle w:val="InternetLink"/>
                  <w:rFonts w:ascii="Times New Roman;sans-serif" w:hAnsi="Times New Roman;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1b5bf5e563b4bcb92a5237fa69425c1_151">
              <w:r>
                <w:rPr>
                  <w:rStyle w:val="InternetLink"/>
                  <w:rFonts w:ascii="Times New Roman;sans-serif" w:hAnsi="Times New Roman;sans-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w:t>
                      </w:r>
                    </w:p>
                  </w:txbxContent>
                </v:textbox>
                <w10:wrap type="none"/>
              </v:rect>
            </w:pict>
          </mc:Fallback>
        </mc:AlternateContent>
      </w:r>
    </w:p>
    <w:p>
      <w:pPr>
        <w:pStyle w:val="TextBody"/>
        <w:bidi w:val="0"/>
        <w:spacing w:lineRule="auto" w:line="288" w:before="0" w:after="180"/>
        <w:jc w:val="left"/>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 “targets,” and variations of such words and similar expressions are intended to identify forward-looking statements.</w:t>
      </w:r>
      <w:r>
        <w:rPr>
          <w:color w:val="000000"/>
        </w:rPr>
        <w:t xml:space="preserve"> </w:t>
      </w:r>
      <w:r>
        <w:rPr>
          <w:rFonts w:ascii="Times New Roman;sans-serif" w:hAnsi="Times New Roman;sans-serif"/>
          <w:b w:val="false"/>
          <w:color w:val="000000"/>
          <w:sz w:val="20"/>
        </w:rPr>
        <w:t>Forward-looking statements in this Quarterly Report may include, for example, statements about: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anticipated growth, including our ability to scale new neighbor growth, our ability to grow engagement by our existing neighbor base and our ability to increase monetization of our platform;</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scale our business and monetization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development of, or investment in, new products or enhancements to our platform, including as part of our NEXT initiative;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political, economic, and macroeconomic climate, whether in the advertising industry in general, or among specific types of advertisers or within particular geographies, including but not limited to the impacts related to significant political, trade, or regulatory developments, turmoil in the global banking system, labor shortages, supply chain disruptions, a potential recession, a potential temporary federal government shutdown, inflation, and changing interest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expand our business operations abroad by opening new and expanding within existing neighborhoods outside of the United States;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respond to general economic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invest in, and the ultimate success of, technologies, including artificial intelligence, aimed at enhancing our business solutions and delivering additional value to customers on our platform;</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scale our business effectively;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achieve and maintain profitability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access sources of capital to finance operations and growth;</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success of strategic relationships with third parties;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maintain the listing of our Class A common stock on the New York Stock Exchange;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changes in applicable laws or regulations, both within and outside of the United States;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impact of the regulatory environment and complexities with compliance related to such environment;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inability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as a result of interruptions, delays, or failures resulting from earthquakes, fires, floods, adverse weather conditions, other natural disasters, power loss, terrorism, pandemics, geopolitical conflict (including the wars in Ukraine and the Middle East), other physical security threats, cyber-attacks, or other catastrophic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success in retaining or recruiting, or changes required in, our officers, key employees, or directors;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financial performance;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txbxContent>
                </v:textbox>
                <w10:wrap type="none"/>
              </v:rect>
            </w:pict>
          </mc:Fallback>
        </mc:AlternateContent>
      </w:r>
    </w:p>
    <w:p>
      <w:pPr>
        <w:pStyle w:val="TextBody"/>
        <w:bidi w:val="0"/>
        <w:spacing w:lineRule="auto" w:line="288" w:before="0" w:after="180"/>
        <w:jc w:val="left"/>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other factors detailed in Part II, Item 1A, “Risk Factors” in this Quarterly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w:t>
                      </w:r>
                    </w:p>
                  </w:txbxContent>
                </v:textbox>
                <w10:wrap type="none"/>
              </v:rect>
            </w:pict>
          </mc:Fallback>
        </mc:AlternateContent>
      </w:r>
    </w:p>
    <w:p>
      <w:pPr>
        <w:pStyle w:val="TextBody"/>
        <w:bidi w:val="0"/>
        <w:spacing w:lineRule="auto" w:line="288" w:before="0" w:after="180"/>
        <w:jc w:val="left"/>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Adverse global economic and financial conditions could harm our business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highly competitive. Competition presents an ongoing threat to the success of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If we fail to scale our business effectively, our business, operating results, and financial condition would be adversely affected.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are dependent on third-party software and service providers, including the Google Ad Manager (“GAM”) platform, for management and delivery of certain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Security breaches, including improper access to or disclosure of our data or our neighbors’ data, or other hacking and phishing attacks on our or third-party systems, could harm our reputation and adversely affect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Certain of our market opportunities and key metric estimates could prove to be inaccurate, and any real or perceived inaccuracies may harm our reputation and negatively affect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w:t>
                      </w:r>
                    </w:p>
                  </w:txbxContent>
                </v:textbox>
                <w10:wrap type="none"/>
              </v:rect>
            </w:pict>
          </mc:Fallback>
        </mc:AlternateContent>
      </w:r>
    </w:p>
    <w:p>
      <w:pPr>
        <w:pStyle w:val="TextBody"/>
        <w:bidi w:val="0"/>
        <w:spacing w:lineRule="auto" w:line="288" w:before="0" w:after="180"/>
        <w:jc w:val="left"/>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may have greater than anticipated tax liabilities, which could harm our business, revenue and financial results.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liable as a result of content or information that is published or made available on our platform.</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are currently, and in the future may be, involved in legal disputes that are expensive and time consuming, and, if resolved adversely, could harm our business, operating results, and financial condition.</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price of our Class A common stock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w:t>
                      </w:r>
                    </w:p>
                  </w:txbxContent>
                </v:textbox>
                <w10:wrap type="none"/>
              </v:rect>
            </w:pict>
          </mc:Fallback>
        </mc:AlternateContent>
      </w:r>
    </w:p>
    <w:p>
      <w:pPr>
        <w:pStyle w:val="TextBody"/>
        <w:bidi w:val="0"/>
        <w:spacing w:lineRule="auto" w:line="288" w:before="0" w:after="180"/>
        <w:jc w:val="left"/>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89"/>
        <w:gridCol w:w="2288"/>
        <w:gridCol w:w="2246"/>
        <w:gridCol w:w="221"/>
        <w:gridCol w:w="866"/>
        <w:gridCol w:w="114"/>
        <w:gridCol w:w="109"/>
        <w:gridCol w:w="109"/>
        <w:gridCol w:w="109"/>
        <w:gridCol w:w="239"/>
        <w:gridCol w:w="938"/>
        <w:gridCol w:w="177"/>
      </w:tblGrid>
      <w:tr>
        <w:trPr/>
        <w:tc>
          <w:tcPr>
            <w:tcW w:w="278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$297 and $451 as of March 31, 2025 and December 31, 2024, respectively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466,692 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14,447 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17,427 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513,953 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2,500,000 shares authorized, 235,007 and 224,488 shares issued and outstanding as of March 31, 2025 and December 31, 2024, respectively</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500,000 shares authorized, 147,882 and 158,134 shares issued and outstanding as of March 31, 2025 and December 31, 2024, respectively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1,316,616 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(864,083)</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453,488 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494,962 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513,953 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w:t>
                      </w:r>
                    </w:p>
                  </w:txbxContent>
                </v:textbox>
                <w10:wrap type="none"/>
              </v:rect>
            </w:pict>
          </mc:Fallback>
        </mc:AlternateContent>
      </w:r>
    </w:p>
    <w:p>
      <w:pPr>
        <w:pStyle w:val="TextBody"/>
        <w:bidi w:val="0"/>
        <w:spacing w:lineRule="auto" w:line="288" w:before="0" w:after="180"/>
        <w:jc w:val="left"/>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15"/>
        <w:gridCol w:w="2236"/>
        <w:gridCol w:w="2262"/>
        <w:gridCol w:w="211"/>
        <w:gridCol w:w="771"/>
        <w:gridCol w:w="109"/>
        <w:gridCol w:w="109"/>
        <w:gridCol w:w="109"/>
        <w:gridCol w:w="109"/>
        <w:gridCol w:w="211"/>
        <w:gridCol w:w="771"/>
        <w:gridCol w:w="109"/>
        <w:gridCol w:w="109"/>
        <w:gridCol w:w="109"/>
        <w:gridCol w:w="109"/>
        <w:gridCol w:w="156"/>
      </w:tblGrid>
      <w:tr>
        <w:trPr/>
        <w:tc>
          <w:tcPr>
            <w:tcW w:w="2715"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Class A and Class B common stockholders, basic and diluted</w:t>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384,335 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LOSS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9249" w:type="dxa"/>
        <w:jc w:val="left"/>
        <w:tblInd w:w="0" w:type="dxa"/>
        <w:tblLayout w:type="fixed"/>
        <w:tblCellMar>
          <w:top w:w="28" w:type="dxa"/>
          <w:left w:w="28" w:type="dxa"/>
          <w:bottom w:w="28" w:type="dxa"/>
          <w:right w:w="28" w:type="dxa"/>
        </w:tblCellMar>
      </w:tblPr>
      <w:tblGrid>
        <w:gridCol w:w="2249"/>
        <w:gridCol w:w="1961"/>
        <w:gridCol w:w="1999"/>
        <w:gridCol w:w="211"/>
        <w:gridCol w:w="796"/>
        <w:gridCol w:w="109"/>
        <w:gridCol w:w="109"/>
        <w:gridCol w:w="109"/>
        <w:gridCol w:w="109"/>
        <w:gridCol w:w="211"/>
        <w:gridCol w:w="796"/>
        <w:gridCol w:w="109"/>
        <w:gridCol w:w="109"/>
        <w:gridCol w:w="109"/>
        <w:gridCol w:w="109"/>
        <w:gridCol w:w="154"/>
      </w:tblGrid>
      <w:tr>
        <w:trPr/>
        <w:tc>
          <w:tcPr>
            <w:tcW w:w="2249"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 (loss) on available-for-sale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1790" w:type="dxa"/>
        <w:jc w:val="center"/>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51"/>
        <w:gridCol w:w="331"/>
        <w:gridCol w:w="109"/>
        <w:gridCol w:w="109"/>
        <w:gridCol w:w="109"/>
        <w:gridCol w:w="109"/>
        <w:gridCol w:w="368"/>
        <w:gridCol w:w="368"/>
        <w:gridCol w:w="196"/>
        <w:gridCol w:w="109"/>
        <w:gridCol w:w="109"/>
        <w:gridCol w:w="109"/>
        <w:gridCol w:w="251"/>
        <w:gridCol w:w="331"/>
        <w:gridCol w:w="109"/>
        <w:gridCol w:w="109"/>
        <w:gridCol w:w="109"/>
        <w:gridCol w:w="109"/>
        <w:gridCol w:w="196"/>
        <w:gridCol w:w="871"/>
        <w:gridCol w:w="109"/>
        <w:gridCol w:w="109"/>
        <w:gridCol w:w="109"/>
        <w:gridCol w:w="109"/>
        <w:gridCol w:w="276"/>
        <w:gridCol w:w="785"/>
        <w:gridCol w:w="155"/>
        <w:gridCol w:w="109"/>
        <w:gridCol w:w="109"/>
        <w:gridCol w:w="109"/>
        <w:gridCol w:w="196"/>
        <w:gridCol w:w="751"/>
        <w:gridCol w:w="109"/>
        <w:gridCol w:w="109"/>
        <w:gridCol w:w="109"/>
        <w:gridCol w:w="109"/>
        <w:gridCol w:w="292"/>
        <w:gridCol w:w="1098"/>
        <w:gridCol w:w="231"/>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453,488 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(9,130)</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17,091 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(21,952)</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(886,035)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558,557 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19,506 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(28,261)</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2024</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189,631 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201,251 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541,442 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72" w:type="dxa"/>
            <w:gridSpan w:val="4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331"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15"/>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72" w:type="dxa"/>
            <w:gridSpan w:val="4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331"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15"/>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9743" w:type="dxa"/>
        <w:jc w:val="left"/>
        <w:tblInd w:w="0" w:type="dxa"/>
        <w:tblLayout w:type="fixed"/>
        <w:tblCellMar>
          <w:top w:w="28" w:type="dxa"/>
          <w:left w:w="28" w:type="dxa"/>
          <w:bottom w:w="28" w:type="dxa"/>
          <w:right w:w="28" w:type="dxa"/>
        </w:tblCellMar>
      </w:tblPr>
      <w:tblGrid>
        <w:gridCol w:w="2646"/>
        <w:gridCol w:w="2320"/>
        <w:gridCol w:w="2338"/>
        <w:gridCol w:w="197"/>
        <w:gridCol w:w="727"/>
        <w:gridCol w:w="109"/>
        <w:gridCol w:w="109"/>
        <w:gridCol w:w="109"/>
        <w:gridCol w:w="109"/>
        <w:gridCol w:w="197"/>
        <w:gridCol w:w="727"/>
        <w:gridCol w:w="155"/>
      </w:tblGrid>
      <w:tr>
        <w:trPr/>
        <w:tc>
          <w:tcPr>
            <w:tcW w:w="2646"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investments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marketable securities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67,277 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to Opportunity Finance Network</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under share repurchase program</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71,404 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to the consolidated balance sheets</w:t>
            </w:r>
          </w:p>
        </w:tc>
        <w:tc>
          <w:tcPr>
            <w:tcW w:w="10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69,670 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80,841 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 Description of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Nextdoor Holdings, Inc. (“Nextdoor” or the “Company”) is headquartered in San Francisco, California. Nextdoor is the essential neighborhood network. Neighbors, public agencies and businesses use Nextdoor to connect around local information that matters in more than 345,000 neighborhoods globally, across 11 countries.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2024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2024.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2025 or any other future interim or annual period.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Company’s significant accounting policies disclosed in Note 2 to the consolidated financial statements described in the Company’s Annual Report on Form 10-K as of and for the year ended December 31, 2024 that have had a material impact on the Company’s condensed consolidated financial statements and related notes.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18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which expands income tax disclosures primarily related to an entity’s rate reconciliation and information on income taxes paid. The Company will be required to adopt this standard for the annual report period ending December 31, 2025. This guidance will be applied on a prospective basis with the option to apply the standard retrospectively. While the standard will require additional disclosures related to the Company’s income taxes, the Company does not expect this standard to have an impact on its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 Expense Disaggregation Disclosures (Subtopic 220-40): Disaggregation of Income Statement Expenses, which requires incremental disclosures to disaggregate income statement expense items. ASU 2024-03 is effective for annual periods beginning after December 15, 2026, and interim periods within fiscal years beginning after December 15, 2027 with early adoption permitted. The Company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3. Deferred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advertising arrangements the Company requires payment upfront from its customers. The Company records deferred revenue when it collects cash from customers in advance of revenue recognition. As of March 31, 2025 and December 31, 2024, deferred revenue was $6.9 million and $6.8 million, respectively, and included within accrued expenses and other current liabilities on the condensed consolidated balance sheets. For the three months ended March 31, 2025 and 2024, revenue recognized from deferred revenue at the beginning of each period was $2.7 million and $1.1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4. Cash Equivalents and Marketable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costs, unrealized gains and losses, and estimated fair values of the Company’s cash equivalents and marketable securities were as follows (in thousands):</w:t>
      </w:r>
    </w:p>
    <w:tbl>
      <w:tblPr>
        <w:tblW w:w="7409"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09"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marketable securities are designated as available-for-sale securities as of March 31, 2025 and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and gross unrealized losses aggregated by category and the length of time that individual securities have been in a continuous unrealized loss position. </w:t>
      </w:r>
    </w:p>
    <w:tbl>
      <w:tblPr>
        <w:tblW w:w="10205" w:type="dxa"/>
        <w:jc w:val="left"/>
        <w:tblInd w:w="0" w:type="dxa"/>
        <w:tblLayout w:type="fixed"/>
        <w:tblCellMar>
          <w:top w:w="28" w:type="dxa"/>
          <w:left w:w="28" w:type="dxa"/>
          <w:bottom w:w="28" w:type="dxa"/>
          <w:right w:w="28" w:type="dxa"/>
        </w:tblCellMar>
      </w:tblPr>
      <w:tblGrid>
        <w:gridCol w:w="673"/>
        <w:gridCol w:w="483"/>
        <w:gridCol w:w="486"/>
        <w:gridCol w:w="211"/>
        <w:gridCol w:w="721"/>
        <w:gridCol w:w="109"/>
        <w:gridCol w:w="109"/>
        <w:gridCol w:w="109"/>
        <w:gridCol w:w="109"/>
        <w:gridCol w:w="348"/>
        <w:gridCol w:w="806"/>
        <w:gridCol w:w="181"/>
        <w:gridCol w:w="109"/>
        <w:gridCol w:w="109"/>
        <w:gridCol w:w="109"/>
        <w:gridCol w:w="245"/>
        <w:gridCol w:w="420"/>
        <w:gridCol w:w="126"/>
        <w:gridCol w:w="109"/>
        <w:gridCol w:w="109"/>
        <w:gridCol w:w="109"/>
        <w:gridCol w:w="387"/>
        <w:gridCol w:w="746"/>
        <w:gridCol w:w="201"/>
        <w:gridCol w:w="109"/>
        <w:gridCol w:w="109"/>
        <w:gridCol w:w="109"/>
        <w:gridCol w:w="211"/>
        <w:gridCol w:w="721"/>
        <w:gridCol w:w="109"/>
        <w:gridCol w:w="109"/>
        <w:gridCol w:w="109"/>
        <w:gridCol w:w="109"/>
        <w:gridCol w:w="341"/>
        <w:gridCol w:w="790"/>
        <w:gridCol w:w="255"/>
      </w:tblGrid>
      <w:tr>
        <w:trPr/>
        <w:tc>
          <w:tcPr>
            <w:tcW w:w="67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17"/>
        <w:gridCol w:w="467"/>
        <w:gridCol w:w="470"/>
        <w:gridCol w:w="211"/>
        <w:gridCol w:w="826"/>
        <w:gridCol w:w="109"/>
        <w:gridCol w:w="109"/>
        <w:gridCol w:w="109"/>
        <w:gridCol w:w="109"/>
        <w:gridCol w:w="325"/>
        <w:gridCol w:w="752"/>
        <w:gridCol w:w="169"/>
        <w:gridCol w:w="109"/>
        <w:gridCol w:w="109"/>
        <w:gridCol w:w="109"/>
        <w:gridCol w:w="211"/>
        <w:gridCol w:w="616"/>
        <w:gridCol w:w="109"/>
        <w:gridCol w:w="109"/>
        <w:gridCol w:w="109"/>
        <w:gridCol w:w="109"/>
        <w:gridCol w:w="361"/>
        <w:gridCol w:w="696"/>
        <w:gridCol w:w="188"/>
        <w:gridCol w:w="109"/>
        <w:gridCol w:w="109"/>
        <w:gridCol w:w="109"/>
        <w:gridCol w:w="211"/>
        <w:gridCol w:w="826"/>
        <w:gridCol w:w="109"/>
        <w:gridCol w:w="109"/>
        <w:gridCol w:w="109"/>
        <w:gridCol w:w="109"/>
        <w:gridCol w:w="319"/>
        <w:gridCol w:w="738"/>
        <w:gridCol w:w="240"/>
      </w:tblGrid>
      <w:tr>
        <w:trPr/>
        <w:tc>
          <w:tcPr>
            <w:tcW w:w="6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contractual maturities of the Company’s marketable securities (in thousands):</w:t>
      </w:r>
    </w:p>
    <w:tbl>
      <w:tblPr>
        <w:tblW w:w="5561" w:type="dxa"/>
        <w:jc w:val="left"/>
        <w:tblInd w:w="0" w:type="dxa"/>
        <w:tblLayout w:type="fixed"/>
        <w:tblCellMar>
          <w:top w:w="28" w:type="dxa"/>
          <w:left w:w="28" w:type="dxa"/>
          <w:bottom w:w="28" w:type="dxa"/>
          <w:right w:w="28" w:type="dxa"/>
        </w:tblCellMar>
      </w:tblPr>
      <w:tblGrid>
        <w:gridCol w:w="815"/>
        <w:gridCol w:w="714"/>
        <w:gridCol w:w="720"/>
        <w:gridCol w:w="229"/>
        <w:gridCol w:w="898"/>
        <w:gridCol w:w="118"/>
        <w:gridCol w:w="109"/>
        <w:gridCol w:w="109"/>
        <w:gridCol w:w="109"/>
        <w:gridCol w:w="308"/>
        <w:gridCol w:w="1207"/>
        <w:gridCol w:w="225"/>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Estimated Fair Value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147,712 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to four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359,720 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360,547 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61" w:type="dxa"/>
        <w:jc w:val="left"/>
        <w:tblInd w:w="0" w:type="dxa"/>
        <w:tblLayout w:type="fixed"/>
        <w:tblCellMar>
          <w:top w:w="28" w:type="dxa"/>
          <w:left w:w="28" w:type="dxa"/>
          <w:bottom w:w="28" w:type="dxa"/>
          <w:right w:w="28" w:type="dxa"/>
        </w:tblCellMar>
      </w:tblPr>
      <w:tblGrid>
        <w:gridCol w:w="815"/>
        <w:gridCol w:w="714"/>
        <w:gridCol w:w="720"/>
        <w:gridCol w:w="229"/>
        <w:gridCol w:w="898"/>
        <w:gridCol w:w="118"/>
        <w:gridCol w:w="109"/>
        <w:gridCol w:w="109"/>
        <w:gridCol w:w="109"/>
        <w:gridCol w:w="308"/>
        <w:gridCol w:w="1207"/>
        <w:gridCol w:w="225"/>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Estimated Fair Value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172,333 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to four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380,886 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381,429 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5. 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assets and liabilities measured at fair value on a recurring basis are classified by level within the fair value hierarchy. There were no financial assets or liabilities measured using Level 3 inputs as of March 31,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that are measured at fair value on a recurring basis (in thousands):</w:t>
      </w:r>
    </w:p>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pStyle w:val="TextBody"/>
        <w:bidi w:val="0"/>
        <w:spacing w:lineRule="auto" w:line="288" w:before="0" w:after="180"/>
        <w:jc w:val="both"/>
        <w:rPr/>
      </w:pPr>
      <w:r>
        <w:rPr>
          <w:rFonts w:ascii="Times New Roman;sans-serif" w:hAnsi="Times New Roman;sans-serif"/>
          <w:b w:val="false"/>
          <w:color w:val="000000"/>
          <w:sz w:val="20"/>
        </w:rPr>
        <w:br/>
      </w:r>
      <w:r>
        <w:rPr>
          <w:rFonts w:ascii="Times New Roman;sans-serif" w:hAnsi="Times New Roman;sans-serif"/>
          <w:b/>
          <w:i/>
          <w:color w:val="000000"/>
          <w:sz w:val="20"/>
        </w:rPr>
        <w:t xml:space="preserve">Assets and Liabilities Measured at Fair Value on a Recurring Basis </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certain financial instruments, including cash held in banks, accounts receivable, and accounts payable approximate fair value due to their short-term maturities and are excluded from the fair value table above.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Financial Instruments, Assets, and Liabilities Not Recorded at Fair Value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assets not recorded at fair value (in thousands):</w:t>
      </w:r>
    </w:p>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2025</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there were no other financial instruments or liabilities that were not recorded at fair value.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6. Commitments and Contingencies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matter discussed below summarizes the Company’s current significant ongoing pending legal proceedings.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and Derivative Litigation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a securities class action complaint was filed against the Company and certain of its former executive officers (collectively, the “Defendants”) in the U.S. District Court for the Northern District of California. The lawsuit alleges that Defendants violated the Securities Exchange Act of 1934, as amended, by making materially false and misleading statements about the Company’s business and prospects for future growth in the period between July 6, 2021 and November 8, 2022. Motions for lead plaintiff were filed on April 29, 2024 and the court appointed a lead plaintiff on July 12, 2024. The lead plaintiff filed the amended complaint on September 10, 2024. The Company filed a Motion to Dismiss on November 12, 2024. The plaintiff filed an opposition to the Motion to Dismiss on January 14, 2025 and the Company filed its reply brief on February 13, 2025. A hearing was initially scheduled for March 20, 2025, but the court took the motion under submission without oral argument.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2024, a purported shareholder derivative complaint was filed in the U.S. District Court for the Northern District of California. The complaint names as defendants certain of the Company’s former and current officers and directors, as well as the Company as nominal defendant, and asserts state and federal claims based on some of the same alleged misstatements as the securities class action complaint described above. The complaint seeks unspecified damages, attorneys’ fees, and other costs. The lawsuit is currently stayed. On April 3, 2025, the court referred the derivative action to the magistrate judge for discovery, which does not impact the current stay.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Class Action Litigation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28, 2024 and October 29, 2024, two class action complaints were filed in the Delaware Court of Chancery against the Company, certain of the Company’s former officers, certain of the former officers and directors of the special purpose acquisition company KVSB into which the Company merged on November 5, 2021, the sponsor of the Company’s special purpose acquisition merger Khosla Ventures SPAC Sponsor II LLC (the “Sponsor”), and certain entities allegedly related to the Sponsor. The two complaints were consolidated on December 6, 2024 and the plaintiffs filed a consolidated complaint on December 26, 2024. The consolidated complaint is brought on behalf of a class of KVSB stockholders who could have, but did not, choose to redeem their KVSB shares in connection with the November 5, 2021 merger between KVSB and the Company. The consolidated complaint alleges that defendants breached various duties to KVSB stockholders by making false or misleading statements and/or aided and abetted such breaches. The consolidated complaint also alleges claims for unjust enrichment. The consolidated complaint seeks damages, disgorgement, attorneys’ fees, and other costs. Defendants answered the consolidated complaint on February 10, 2025, following which discovery commenced. The Company intends to vigorously defend against the claims in these actions. Given the procedural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months ended March 31, 2025 and 2024, the Company did not incur material costs to defend lawsuits or settle claims related to these indemnifications. The Company believes the fair value of these liabilities is not material and accordingly has no liabilities recorded for these agreements as of March 31, 2025 and December 31, 2024.</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Opportunity Finance Network Loan Agreement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June 29, 2022, the Company entered into a credit agreement with Opportunity Finance Network (“OFN”) to lend up to an aggregate of $15.0 million, unsecured, over the course of 24 months. OFN is a national network of community development financial institutions (“CDFIs”). OFN will use the loan proceeds to make low-cost, fixed-rate loans to OFN-member CDFIs that on-lend those loan proceeds to fund affordable housing, community facilities, small businesses, nonprofit organizations, consumer finance, and other eligible financing extended by such CDFIs. Each disbursement made by the Company will bear interest at a rate of 0.75% per annum and will be due quarterly from OFN. The outstanding principal, plus any accrued and unpaid interest, for each disbursement becomes due and payable 10 years following the disbursement date. During the year ended December 31, 2024, the Company made one final loan disbursement of $7.5 million. As of March 31, 2025, the note receivable from OFN totaled $15.0 million and is recorded under other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7. Common Stock and Stockholders’ Equity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Equity Incentive Plans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br/>
        <w:br/>
        <w:t xml:space="preserve">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three months ended March 31, 2025 and 2024, 408,404 and 407,298 shares of Class A common stock were purchased under the 2021 ESPP, respectively.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Share Repurchase Program does not obligate the Company to repurchase any dollar amount or number of shares, and the program may be extended, modified, suspended, or discontinued at any time. On February 21, 2024, the Company’s Board of Directors authorized and approved an increase of $150.0 million to the Share Repurchase Program and extended the expiration date to March 31, 2026.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repurchased and retired 4,720,415 shares of its Class A common stock at an average purchase price of $1.92 per share for an aggregate repurchase price of $9.1 million. During the three months ended March 31, 2024, the Company repurchased and retired 4,448,423 shares of its Class A common stock at an average purchase price of $2.19 per share for an aggregate repurchase price of $9.8 million. As of March 31, 2025, the Company had $88.2 million available for future share repurchases under the Share Repurchase Program.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 and RSUs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for the three months ended March 31, 2025 and related information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879"/>
        <w:gridCol w:w="772"/>
        <w:gridCol w:w="774"/>
        <w:gridCol w:w="494"/>
        <w:gridCol w:w="356"/>
        <w:gridCol w:w="357"/>
        <w:gridCol w:w="109"/>
        <w:gridCol w:w="109"/>
        <w:gridCol w:w="109"/>
        <w:gridCol w:w="412"/>
        <w:gridCol w:w="998"/>
        <w:gridCol w:w="212"/>
        <w:gridCol w:w="109"/>
        <w:gridCol w:w="109"/>
        <w:gridCol w:w="109"/>
        <w:gridCol w:w="830"/>
        <w:gridCol w:w="830"/>
        <w:gridCol w:w="833"/>
        <w:gridCol w:w="109"/>
        <w:gridCol w:w="109"/>
        <w:gridCol w:w="109"/>
        <w:gridCol w:w="316"/>
        <w:gridCol w:w="923"/>
        <w:gridCol w:w="238"/>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19,516 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2025</w:t>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18,084 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expected to vest at March 31, 2025</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is calculated as the difference between the exercise price of the underlying common stock option award and the fair value of the Company’s common stock as of the respective balance sheet date. No options were granted during the three months ended March 31, 2025. The weighted average grant date fair value of options granted was $1.10 per share during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the options exercised was $0.3 million and $1.6 million for the three months ended March 31, 2025 and 2024, respectively.</w:t>
        <w:br/>
        <w:br/>
        <w:t>A summary of the Company’s RSU activity for the three months ended March 31, 2025 and related information is as follows (in thousands, except per share data):</w:t>
      </w:r>
    </w:p>
    <w:tbl>
      <w:tblPr>
        <w:tblW w:w="7646" w:type="dxa"/>
        <w:jc w:val="left"/>
        <w:tblInd w:w="0" w:type="dxa"/>
        <w:tblLayout w:type="fixed"/>
        <w:tblCellMar>
          <w:top w:w="28" w:type="dxa"/>
          <w:left w:w="28" w:type="dxa"/>
          <w:bottom w:w="28" w:type="dxa"/>
          <w:right w:w="28" w:type="dxa"/>
        </w:tblCellMar>
      </w:tblPr>
      <w:tblGrid>
        <w:gridCol w:w="979"/>
        <w:gridCol w:w="858"/>
        <w:gridCol w:w="863"/>
        <w:gridCol w:w="469"/>
        <w:gridCol w:w="469"/>
        <w:gridCol w:w="471"/>
        <w:gridCol w:w="109"/>
        <w:gridCol w:w="109"/>
        <w:gridCol w:w="109"/>
        <w:gridCol w:w="773"/>
        <w:gridCol w:w="1873"/>
        <w:gridCol w:w="56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2024</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(6,289)</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2025</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63,778 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Market-based PSUs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March 7, 2025, the Company granted its Chief Executive Officer a market-based performance stock unit (“PSU”) award of approximately 0.7 million shares of the Company’s Class A common stock (“2025 PSU”), and on April 3, 2024, the Company granted its Chief Executive Officer a similar market-based PSU award of approximately 5.0 million shares of Class A common stock (“2024 PSU”). For both awards, the PSUs will vest based on stock price targets achieved over a four-year period, and any PSUs that have not vested at the end of the applicable performance period will be forfeited. Vesting is subject to the grantee’s continuous employment with the Company as Chief Executive Officer or Executive Chair, as well as other customary provisions pursuant to the Company’s 2021 Plan. The grant date fair value of the 2025 PSU was $1.0 million and the grant date fair value of the 2024 PSU was $9.3 million, each calculated using a Monte Carlo simulation model and recognized over the respective derived service periods using the graded-vesting method. Compensation cost is not adjusted in future periods for subsequent changes in the expected outcome of market-related conditions. For the three months ended March 31, 2025, the Company recognized $1.2 million of stock-based compensation expense in connection with these two awards.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calculate the fair value of market-based PSUs made during the following periods:</w:t>
      </w:r>
    </w:p>
    <w:tbl>
      <w:tblPr>
        <w:tblW w:w="4568" w:type="dxa"/>
        <w:jc w:val="left"/>
        <w:tblInd w:w="0" w:type="dxa"/>
        <w:tblLayout w:type="fixed"/>
        <w:tblCellMar>
          <w:top w:w="28" w:type="dxa"/>
          <w:left w:w="28" w:type="dxa"/>
          <w:bottom w:w="28" w:type="dxa"/>
          <w:right w:w="28" w:type="dxa"/>
        </w:tblCellMar>
      </w:tblPr>
      <w:tblGrid>
        <w:gridCol w:w="772"/>
        <w:gridCol w:w="677"/>
        <w:gridCol w:w="680"/>
        <w:gridCol w:w="259"/>
        <w:gridCol w:w="259"/>
        <w:gridCol w:w="259"/>
        <w:gridCol w:w="259"/>
        <w:gridCol w:w="259"/>
        <w:gridCol w:w="259"/>
        <w:gridCol w:w="259"/>
        <w:gridCol w:w="259"/>
        <w:gridCol w:w="367"/>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expense in the condensed consolidated statements of operations as follows (in thousands):</w:t>
      </w:r>
    </w:p>
    <w:tbl>
      <w:tblPr>
        <w:tblW w:w="5200"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$117.6 million of unrecognized stock-based compensation expense, which is expected to be recognized over a weighted average period of 2.1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8. Net Loss Per Share Attributable to Common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1513"/>
        <w:gridCol w:w="1301"/>
        <w:gridCol w:w="1304"/>
        <w:gridCol w:w="211"/>
        <w:gridCol w:w="753"/>
        <w:gridCol w:w="109"/>
        <w:gridCol w:w="109"/>
        <w:gridCol w:w="109"/>
        <w:gridCol w:w="109"/>
        <w:gridCol w:w="211"/>
        <w:gridCol w:w="648"/>
        <w:gridCol w:w="109"/>
        <w:gridCol w:w="109"/>
        <w:gridCol w:w="109"/>
        <w:gridCol w:w="109"/>
        <w:gridCol w:w="211"/>
        <w:gridCol w:w="753"/>
        <w:gridCol w:w="109"/>
        <w:gridCol w:w="109"/>
        <w:gridCol w:w="109"/>
        <w:gridCol w:w="109"/>
        <w:gridCol w:w="211"/>
        <w:gridCol w:w="753"/>
        <w:gridCol w:w="109"/>
        <w:gridCol w:w="109"/>
        <w:gridCol w:w="109"/>
        <w:gridCol w:w="109"/>
        <w:gridCol w:w="109"/>
        <w:gridCol w:w="109"/>
        <w:gridCol w:w="109"/>
        <w:gridCol w:w="109"/>
        <w:gridCol w:w="156"/>
      </w:tblGrid>
      <w:tr>
        <w:trPr/>
        <w:tc>
          <w:tcPr>
            <w:tcW w:w="1513"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gridSpan w:val="6"/>
            <w:tcBorders/>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Class A and Class B common stockholders, basic and diluted</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outstanding have been excluded from the computations of diluted net loss per share because such securities have an anti-dilutive impact due to losses reported (in thousands):</w:t>
      </w:r>
    </w:p>
    <w:tbl>
      <w:tblPr>
        <w:tblW w:w="5483" w:type="dxa"/>
        <w:jc w:val="left"/>
        <w:tblInd w:w="0" w:type="dxa"/>
        <w:tblLayout w:type="fixed"/>
        <w:tblCellMar>
          <w:top w:w="28" w:type="dxa"/>
          <w:left w:w="28" w:type="dxa"/>
          <w:bottom w:w="28" w:type="dxa"/>
          <w:right w:w="28" w:type="dxa"/>
        </w:tblCellMar>
      </w:tblPr>
      <w:tblGrid>
        <w:gridCol w:w="1120"/>
        <w:gridCol w:w="982"/>
        <w:gridCol w:w="988"/>
        <w:gridCol w:w="360"/>
        <w:gridCol w:w="361"/>
        <w:gridCol w:w="228"/>
        <w:gridCol w:w="140"/>
        <w:gridCol w:w="140"/>
        <w:gridCol w:w="140"/>
        <w:gridCol w:w="360"/>
        <w:gridCol w:w="361"/>
        <w:gridCol w:w="303"/>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39,781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63,778</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84,798 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82,267 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income tax expense for the three months ended March 31, 2025 and 2024 of $0.1 million and $0.2 million, respectively, both of which were primarily related to foreign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10. Segment and Geographical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one reportable and operating segment. The Company’s Chief Operating Decision Maker is its CEO, who reviews financial information presented on a consolidated basis for purposes of making operating decisions, assessing financial performance, and allocating resources. Net loss is the Company’s primary measure of profit or loss and cost of revenue, research and development, sales and marketing, and general and administrative expenses are considered significant segment expenses and are reflected in the consolidated statement of operations. Other segment items included in consolidated net loss are interest income, other income (expense), net and the provision for income taxes, which are also reflected in the consolidated statements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geography based on the customers’ location was as follows (in thousands):</w:t>
      </w:r>
    </w:p>
    <w:tbl>
      <w:tblPr>
        <w:tblW w:w="4089"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Nextdoor is the essential neighborhood network. Neighbors, public agencies and businesses use Nextdoor to connect around local information that matters in more than 345,000 neighborhoods globally, across 11 countries.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Key business metrics for the three months ended March 31, 2025 are as follows: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Weekly Active Users (“WAUs”) were 46.1 million, an increase of 6% compared to the three months ended March 31, 2024.</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Average revenue per weekly active user (“ARPU”) was $1.18, a decrease of 4% compared to the three months ended March 31, 2024.</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Results as of and for the three months ended March 31, 2025 are as follows: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Revenue for the three months ended March 31, 2025 was $54.2 million, an increase of 2% compared to the three months ended March 31, 2024.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Total costs and expenses for the three months ended March 31, 2025 were $81.2 million, a decrease of 8% compared to the three months ended March 31, 2024.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Net loss for the three months ended March 31, 2025 decreased 22% to $22.0 million, compared to $28.3 million for the three months ended March 31, 2024.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Adjusted EBITDA loss for the three months ended March 31, 2025 decreased 35% to $9.2 million, compared to $14.0 million for the three months ended March 31, 2024.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Cash, cash equivalents, and marketable securities were $417.9 million as of March 31, 2025.</w:t>
      </w:r>
    </w:p>
    <w:p>
      <w:pPr>
        <w:pStyle w:val="TextBody"/>
        <w:bidi w:val="0"/>
        <w:spacing w:lineRule="auto" w:line="276" w:before="0" w:after="18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Non-GAAP Financial Measure</w:t>
      </w:r>
      <w:r>
        <w:rPr>
          <w:color w:val="000000"/>
        </w:rPr>
        <w:t xml:space="preserve">” </w:t>
      </w:r>
      <w:r>
        <w:rPr>
          <w:rFonts w:ascii="Times New Roman;sans-serif" w:hAnsi="Times New Roman;sans-serif"/>
          <w:b w:val="false"/>
          <w:color w:val="000000"/>
          <w:sz w:val="20"/>
        </w:rPr>
        <w:t>below for more information and for a reconciliation of net loss, the most directly comparable financial measure calculated and presented in accordance with U.S. generally accepted accounting principles (“GAAP”), to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measures presented in our unaudited condensed consolidated financial statements, we use the following key business metrics to evaluate our business, measure our performance, develop financial forecasts, and make strategic decisions: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Weekly Active Users (WAU) and Platform WAU</w:t>
      </w:r>
    </w:p>
    <w:p>
      <w:pPr>
        <w:pStyle w:val="TextBody"/>
        <w:bidi w:val="0"/>
        <w:spacing w:lineRule="auto" w:line="276" w:before="0" w:after="180"/>
        <w:jc w:val="both"/>
        <w:rPr/>
      </w:pPr>
      <w:r>
        <w:rPr>
          <w:rFonts w:ascii="Times New Roman;sans-serif" w:hAnsi="Times New Roman;sans-serif"/>
          <w:b w:val="false"/>
          <w:color w:val="000000"/>
          <w:sz w:val="20"/>
        </w:rPr>
        <w:t>We define a WAU as a Nextdoor user who opens our application, logs on to our website, or engages with an email with monetizable content at least once during a defined 7-day period.</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have also historically presented WAUs by geography because we are more advanced in engagement and monetization in the United States than internationally. </w:t>
      </w:r>
    </w:p>
    <w:p>
      <w:pPr>
        <w:pStyle w:val="TextBody"/>
        <w:bidi w:val="0"/>
        <w:spacing w:lineRule="auto" w:line="288" w:before="0" w:after="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Platform WAU is the subset of our WAUs who open our application or logs on to our website at least once during a defined 7-day period (“Platform WAU”). It excludes WAUs that only engage with an email with monetizable content. In our future filings, we will no longer report WAUs and will instead report Platform WAUs. In recent periods, we have made changes to the business that have made Platform WAU a more important business metric for us, and as we proceed with our NEXT initiative (which is focused on making our platform more robust and engaging for users), we believe that Platform WAUs will be a more important metric for our business than it has been in the past. In light of these changes, we believe that reporting Platform WAUs instead of WAUs will provide more relevant insight into our current business performance and will better align with how management currently views the business. Moreover, while we continue to view international monetization as a long-term growth opportunity, our focus is on improving our product experience and aligning our operations to best serve users and advertisers in existing markets, primarily in the United States. Accordingly, in future filings, we will no longer provide a breakout of our key business metrics between the United States and international market.</w:t>
      </w:r>
    </w:p>
    <w:p>
      <w:pPr>
        <w:pStyle w:val="TextBody"/>
        <w:bidi w:val="0"/>
        <w:spacing w:before="0" w:after="0"/>
        <w:jc w:val="left"/>
        <w:rPr/>
      </w:pPr>
      <w:r>
        <w:rPr/>
      </w:r>
    </w:p>
    <w:p>
      <w:pPr>
        <w:pStyle w:val="TextBody"/>
        <w:bidi w:val="0"/>
        <w:spacing w:lineRule="auto" w:line="276" w:before="0" w:after="180"/>
        <w:jc w:val="both"/>
        <w:rPr/>
      </w:pPr>
      <w:r>
        <w:rPr>
          <w:rFonts w:ascii="Times New Roman;sans-serif" w:hAnsi="Times New Roman;sans-serif"/>
          <w:b w:val="false"/>
          <w:color w:val="000000"/>
          <w:sz w:val="20"/>
        </w:rPr>
        <w:t xml:space="preserve">In recent years, changes made to third party email operating systems have limited our ability to measure user engagement with emails containing monetizable content. This impacts our ability to accurately calculate a portion of WAUs for periods following the adoption of the updated operating systems. To address this, we use estimates for these user engagement numbers based on historical data sets, as well as data from users who engage with Nextdoor’s monetizable email content. This does not impact our ability to accurately calculate Platform WAU. For additional information, please see the section entitled “Risk Factors – </w:t>
      </w:r>
      <w:r>
        <w:rPr>
          <w:rFonts w:ascii="Times New Roman;sans-serif" w:hAnsi="Times New Roman;sans-serif"/>
          <w:b w:val="false"/>
          <w:i/>
          <w:color w:val="000000"/>
          <w:sz w:val="20"/>
        </w:rPr>
        <w:t>Certain of our market opportunities and key metric estimates could prove to be inaccurate, and any real or perceived inaccuracies may harm our reputation and negatively affect our business.</w:t>
      </w:r>
      <w:r>
        <w:rPr>
          <w:color w:val="000000"/>
        </w:rPr>
        <w:t>”</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WAU for the three months ended March 31, 2025 and 2024 were 46.1 million and 43.4 million, respectively, which represents 6% growth period over period. Our Platform WAU for the three months ended March 31, 2025 and 2024 were 22.5 million and 21.4 million, respectively, which represents a 5% growth period over period.</w:t>
      </w:r>
    </w:p>
    <w:p>
      <w:pPr>
        <w:pStyle w:val="TextBody"/>
        <w:bidi w:val="0"/>
        <w:spacing w:before="0" w:after="180"/>
        <w:jc w:val="both"/>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Quarterly Average Weekly Active Users and Platform Weekly Active Users</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extBody"/>
        <w:bidi w:val="0"/>
        <w:spacing w:before="0" w:after="180"/>
        <w:jc w:val="center"/>
        <w:rPr/>
      </w:pPr>
      <w:r>
        <w:rPr/>
        <w:drawing>
          <wp:inline distT="0" distB="0" distL="0" distR="0">
            <wp:extent cx="5048250" cy="3143250"/>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2"/>
                    <a:stretch>
                      <a:fillRect/>
                    </a:stretch>
                  </pic:blipFill>
                  <pic:spPr bwMode="auto">
                    <a:xfrm>
                      <a:off x="0" y="0"/>
                      <a:ext cx="5048250" cy="314325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before="0" w:after="180"/>
        <w:jc w:val="center"/>
        <w:rPr/>
      </w:pPr>
      <w:r>
        <w:rPr/>
        <w:drawing>
          <wp:inline distT="0" distB="0" distL="0" distR="0">
            <wp:extent cx="2952750" cy="304800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2952750" cy="3048000"/>
                    </a:xfrm>
                    <a:prstGeom prst="rect">
                      <a:avLst/>
                    </a:prstGeom>
                  </pic:spPr>
                </pic:pic>
              </a:graphicData>
            </a:graphic>
          </wp:inline>
        </w:drawing>
      </w:r>
      <w:bookmarkStart w:id="1" w:name="i-2"/>
      <w:bookmarkEnd w:id="1"/>
      <w:r>
        <w:rPr/>
        <w:drawing>
          <wp:inline distT="0" distB="0" distL="0" distR="0">
            <wp:extent cx="2952750" cy="3048000"/>
            <wp:effectExtent l="0" t="0" r="0" b="0"/>
            <wp:docPr id="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3" descr=""/>
                    <pic:cNvPicPr>
                      <a:picLocks noChangeAspect="1" noChangeArrowheads="1"/>
                    </pic:cNvPicPr>
                  </pic:nvPicPr>
                  <pic:blipFill>
                    <a:blip r:embed="rId4"/>
                    <a:stretch>
                      <a:fillRect/>
                    </a:stretch>
                  </pic:blipFill>
                  <pic:spPr bwMode="auto">
                    <a:xfrm>
                      <a:off x="0" y="0"/>
                      <a:ext cx="2952750" cy="3048000"/>
                    </a:xfrm>
                    <a:prstGeom prst="rect">
                      <a:avLst/>
                    </a:prstGeom>
                  </pic:spPr>
                </pic:pic>
              </a:graphicData>
            </a:graphic>
          </wp:inline>
        </w:drawing>
      </w:r>
      <w:bookmarkStart w:id="2" w:name="i-3"/>
      <w:bookmarkEnd w:id="2"/>
    </w:p>
    <w:p>
      <w:pPr>
        <w:pStyle w:val="TextBody"/>
        <w:bidi w:val="0"/>
        <w:spacing w:lineRule="auto" w:line="276"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Average Revenue per Weekly Active User (ARPU) </w:t>
      </w:r>
    </w:p>
    <w:p>
      <w:pPr>
        <w:pStyle w:val="TextBody"/>
        <w:bidi w:val="0"/>
        <w:spacing w:lineRule="auto" w:line="276" w:before="0" w:after="180"/>
        <w:jc w:val="both"/>
        <w:rPr/>
      </w:pPr>
      <w:r>
        <w:rPr>
          <w:rFonts w:ascii="Times New Roman;sans-serif" w:hAnsi="Times New Roman;sans-serif"/>
          <w:b w:val="false"/>
          <w:color w:val="000000"/>
          <w:sz w:val="20"/>
        </w:rPr>
        <w:t>We generate revenue primarily from advertising. We measure monetization of our platform through our ARPU metric. We define ARPU as our total revenue in that geography during a period divided by the average of the number of WAUs in that geography during the same period. We have also historically presented ARPU on a U.S. and international basis because we are more advanced in our monetization in the United States than internationally. In future filings, we will continue to present ARPU but the denominator will be based on the average number of Platform WAUs instead of WAUs. Similarly, for the reasons discussed above under “</w:t>
      </w:r>
      <w:r>
        <w:rPr>
          <w:rFonts w:ascii="Times New Roman;sans-serif" w:hAnsi="Times New Roman;sans-serif"/>
          <w:b w:val="false"/>
          <w:i/>
          <w:color w:val="000000"/>
          <w:sz w:val="20"/>
        </w:rPr>
        <w:t>Weekly Active Users (WAU) and Platform WAU</w:t>
      </w:r>
      <w:r>
        <w:rPr>
          <w:color w:val="000000"/>
        </w:rPr>
        <w:t>”</w:t>
      </w:r>
      <w:r>
        <w:rPr>
          <w:rFonts w:ascii="Times New Roman;sans-serif" w:hAnsi="Times New Roman;sans-serif"/>
          <w:b w:val="false"/>
          <w:color w:val="000000"/>
          <w:sz w:val="20"/>
        </w:rPr>
        <w:t>, we will no longer provide a breakout of our key business metrics between the United States and international.</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three months ended March 31, 2025 and 2024 was $1.18 and $1.22, respectively, with the decrease due to stronger WAU growth relative to revenue growth. Our ARPU for Platform WAU for the three months ended March 31, 2025 and 2024 was $2.41 and $2.49, respectively, with the decrease due to stronger WAU growth relative to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Quarterly ARPU</w:t>
      </w:r>
    </w:p>
    <w:p>
      <w:pPr>
        <w:pStyle w:val="TextBody"/>
        <w:bidi w:val="0"/>
        <w:spacing w:before="0" w:after="180"/>
        <w:jc w:val="center"/>
        <w:rPr/>
      </w:pPr>
      <w:r>
        <w:rPr/>
        <w:drawing>
          <wp:inline distT="0" distB="0" distL="0" distR="0">
            <wp:extent cx="5048250" cy="3143250"/>
            <wp:effectExtent l="0" t="0" r="0" b="0"/>
            <wp:docPr id="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4" descr=""/>
                    <pic:cNvPicPr>
                      <a:picLocks noChangeAspect="1" noChangeArrowheads="1"/>
                    </pic:cNvPicPr>
                  </pic:nvPicPr>
                  <pic:blipFill>
                    <a:blip r:embed="rId5"/>
                    <a:stretch>
                      <a:fillRect/>
                    </a:stretch>
                  </pic:blipFill>
                  <pic:spPr bwMode="auto">
                    <a:xfrm>
                      <a:off x="0" y="0"/>
                      <a:ext cx="5048250" cy="3143250"/>
                    </a:xfrm>
                    <a:prstGeom prst="rect">
                      <a:avLst/>
                    </a:prstGeom>
                  </pic:spPr>
                </pic:pic>
              </a:graphicData>
            </a:graphic>
          </wp:inline>
        </w:drawing>
      </w:r>
      <w:bookmarkStart w:id="3" w:name="i-4"/>
      <w:bookmarkEnd w:id="3"/>
    </w:p>
    <w:p>
      <w:pPr>
        <w:pStyle w:val="TextBody"/>
        <w:bidi w:val="0"/>
        <w:spacing w:before="0" w:after="180"/>
        <w:jc w:val="center"/>
        <w:rPr/>
      </w:pPr>
      <w:r>
        <w:rPr/>
        <w:drawing>
          <wp:inline distT="0" distB="0" distL="0" distR="0">
            <wp:extent cx="2952750" cy="3048000"/>
            <wp:effectExtent l="0" t="0" r="0" b="0"/>
            <wp:docPr id="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 descr=""/>
                    <pic:cNvPicPr>
                      <a:picLocks noChangeAspect="1" noChangeArrowheads="1"/>
                    </pic:cNvPicPr>
                  </pic:nvPicPr>
                  <pic:blipFill>
                    <a:blip r:embed="rId6"/>
                    <a:stretch>
                      <a:fillRect/>
                    </a:stretch>
                  </pic:blipFill>
                  <pic:spPr bwMode="auto">
                    <a:xfrm>
                      <a:off x="0" y="0"/>
                      <a:ext cx="2952750" cy="3048000"/>
                    </a:xfrm>
                    <a:prstGeom prst="rect">
                      <a:avLst/>
                    </a:prstGeom>
                  </pic:spPr>
                </pic:pic>
              </a:graphicData>
            </a:graphic>
          </wp:inline>
        </w:drawing>
      </w:r>
      <w:bookmarkStart w:id="4" w:name="i-5"/>
      <w:bookmarkEnd w:id="4"/>
      <w:r>
        <w:rPr/>
        <w:drawing>
          <wp:inline distT="0" distB="0" distL="0" distR="0">
            <wp:extent cx="2952750" cy="3048000"/>
            <wp:effectExtent l="0" t="0" r="0" b="0"/>
            <wp:docPr id="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6" descr=""/>
                    <pic:cNvPicPr>
                      <a:picLocks noChangeAspect="1" noChangeArrowheads="1"/>
                    </pic:cNvPicPr>
                  </pic:nvPicPr>
                  <pic:blipFill>
                    <a:blip r:embed="rId7"/>
                    <a:stretch>
                      <a:fillRect/>
                    </a:stretch>
                  </pic:blipFill>
                  <pic:spPr bwMode="auto">
                    <a:xfrm>
                      <a:off x="0" y="0"/>
                      <a:ext cx="2952750" cy="3048000"/>
                    </a:xfrm>
                    <a:prstGeom prst="rect">
                      <a:avLst/>
                    </a:prstGeom>
                  </pic:spPr>
                </pic:pic>
              </a:graphicData>
            </a:graphic>
          </wp:inline>
        </w:drawing>
      </w:r>
      <w:bookmarkStart w:id="5" w:name="i-6"/>
      <w:bookmarkEnd w:id="5"/>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delivering and supporting our advertising products and credit card transaction fees related to processing customer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of personnel-related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our neighbor support team, our outsourced neighbor support function, and verification costs.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marketing costs related to local business acquisition largely consists of digital advertising and, to a lesser extent, direct mail campaigns. Performance marketing costs related to user acquisition largely consist of digital advertising and, to a lesser extent, the distribution of mailed invitations.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pStyle w:val="TextBody"/>
        <w:bidi w:val="0"/>
        <w:spacing w:lineRule="auto" w:line="288" w:before="0" w:after="180"/>
        <w:jc w:val="left"/>
        <w:rPr/>
      </w:pPr>
      <w:r>
        <w:rPr>
          <w:rFonts w:ascii="Times New Roman;sans-serif" w:hAnsi="Times New Roman;sans-serif"/>
          <w:b/>
          <w:i/>
          <w:color w:val="000000"/>
          <w:sz w:val="20"/>
        </w:rPr>
        <w:t>Interest Income</w:t>
      </w:r>
      <w:r>
        <w:rPr>
          <w:color w:val="000000"/>
        </w:rPr>
        <w:t xml:space="preserve">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our cash, cash equivalents, and marketable securities.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unrealized gains and losses from the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tbl>
      <w:tblPr>
        <w:tblW w:w="5424" w:type="dxa"/>
        <w:jc w:val="center"/>
        <w:tblInd w:w="0" w:type="dxa"/>
        <w:tblLayout w:type="fixed"/>
        <w:tblCellMar>
          <w:top w:w="28" w:type="dxa"/>
          <w:left w:w="28" w:type="dxa"/>
          <w:bottom w:w="28" w:type="dxa"/>
          <w:right w:w="28" w:type="dxa"/>
        </w:tblCellMar>
      </w:tblPr>
      <w:tblGrid>
        <w:gridCol w:w="863"/>
        <w:gridCol w:w="760"/>
        <w:gridCol w:w="761"/>
        <w:gridCol w:w="211"/>
        <w:gridCol w:w="796"/>
        <w:gridCol w:w="109"/>
        <w:gridCol w:w="109"/>
        <w:gridCol w:w="109"/>
        <w:gridCol w:w="109"/>
        <w:gridCol w:w="211"/>
        <w:gridCol w:w="796"/>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and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5200" w:type="dxa"/>
        <w:jc w:val="center"/>
        <w:tblInd w:w="0" w:type="dxa"/>
        <w:tblLayout w:type="fixed"/>
        <w:tblCellMar>
          <w:top w:w="28" w:type="dxa"/>
          <w:left w:w="28" w:type="dxa"/>
          <w:bottom w:w="28" w:type="dxa"/>
          <w:right w:w="28" w:type="dxa"/>
        </w:tblCellMar>
      </w:tblPr>
      <w:tblGrid>
        <w:gridCol w:w="837"/>
        <w:gridCol w:w="736"/>
        <w:gridCol w:w="737"/>
        <w:gridCol w:w="211"/>
        <w:gridCol w:w="721"/>
        <w:gridCol w:w="109"/>
        <w:gridCol w:w="109"/>
        <w:gridCol w:w="109"/>
        <w:gridCol w:w="109"/>
        <w:gridCol w:w="211"/>
        <w:gridCol w:w="721"/>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unaudited condensed consolidated statements of operations as a percentage of revenue for each of the periods presented:</w:t>
      </w:r>
    </w:p>
    <w:tbl>
      <w:tblPr>
        <w:tblW w:w="5873" w:type="dxa"/>
        <w:jc w:val="center"/>
        <w:tblInd w:w="0" w:type="dxa"/>
        <w:tblLayout w:type="fixed"/>
        <w:tblCellMar>
          <w:top w:w="28" w:type="dxa"/>
          <w:left w:w="28" w:type="dxa"/>
          <w:bottom w:w="28" w:type="dxa"/>
          <w:right w:w="28" w:type="dxa"/>
        </w:tblCellMar>
      </w:tblPr>
      <w:tblGrid>
        <w:gridCol w:w="1037"/>
        <w:gridCol w:w="912"/>
        <w:gridCol w:w="915"/>
        <w:gridCol w:w="233"/>
        <w:gridCol w:w="233"/>
        <w:gridCol w:w="498"/>
        <w:gridCol w:w="200"/>
        <w:gridCol w:w="200"/>
        <w:gridCol w:w="200"/>
        <w:gridCol w:w="233"/>
        <w:gridCol w:w="233"/>
        <w:gridCol w:w="498"/>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 a percentage of total revenue)</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Note: Certain figures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2025 and 2024</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963" w:type="dxa"/>
        <w:jc w:val="center"/>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$1.0 million, or 2%, for the three months ended March 31, 2025 compared to the three months ended March 31, 2024. The increase was primarily due to increased user engagement, as measured by a 5% increase in Q1 Platform WAUs, which exceeded the increase in advertiser spending.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7952" w:type="dxa"/>
        <w:jc w:val="center"/>
        <w:tblInd w:w="0" w:type="dxa"/>
        <w:tblLayout w:type="fixed"/>
        <w:tblCellMar>
          <w:top w:w="28" w:type="dxa"/>
          <w:left w:w="28" w:type="dxa"/>
          <w:bottom w:w="28" w:type="dxa"/>
          <w:right w:w="28" w:type="dxa"/>
        </w:tblCellMar>
      </w:tblPr>
      <w:tblGrid>
        <w:gridCol w:w="911"/>
        <w:gridCol w:w="802"/>
        <w:gridCol w:w="807"/>
        <w:gridCol w:w="230"/>
        <w:gridCol w:w="672"/>
        <w:gridCol w:w="119"/>
        <w:gridCol w:w="119"/>
        <w:gridCol w:w="119"/>
        <w:gridCol w:w="119"/>
        <w:gridCol w:w="230"/>
        <w:gridCol w:w="672"/>
        <w:gridCol w:w="119"/>
        <w:gridCol w:w="109"/>
        <w:gridCol w:w="109"/>
        <w:gridCol w:w="109"/>
        <w:gridCol w:w="211"/>
        <w:gridCol w:w="541"/>
        <w:gridCol w:w="109"/>
        <w:gridCol w:w="109"/>
        <w:gridCol w:w="109"/>
        <w:gridCol w:w="109"/>
        <w:gridCol w:w="164"/>
        <w:gridCol w:w="166"/>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decreased by $0.5 million, or 5%, for the three months ended March 31, 2025 compared to the three months ended March 31, 2024. The decrease was primarily due to a $0.6 million decrease in third-party hosting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963"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$2.2 million, or 7%, for the three months ended March 31, 2025 compared to the three months ended March 31, 2024. The increase was primarily due to a $2.0 million increase in personnel-related costs driven by an increase in headcount.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8577" w:type="dxa"/>
        <w:jc w:val="left"/>
        <w:tblInd w:w="0" w:type="dxa"/>
        <w:tblLayout w:type="fixed"/>
        <w:tblCellMar>
          <w:top w:w="28" w:type="dxa"/>
          <w:left w:w="28" w:type="dxa"/>
          <w:bottom w:w="28" w:type="dxa"/>
          <w:right w:w="28" w:type="dxa"/>
        </w:tblCellMar>
      </w:tblPr>
      <w:tblGrid>
        <w:gridCol w:w="1041"/>
        <w:gridCol w:w="916"/>
        <w:gridCol w:w="922"/>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performance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Neighbor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and marketing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decreased by $7.8 million, or 26%, for the three months ended March 31, 2025 compared to the three months ended March 31, 2024. The decrease was primarily due to a $4.2 million decrease in personnel-related costs driven by a decrease in headcount, a $1.8 million decrease in performance marketing costs to attract local businesses and a $1.6 million decrease in performance marketing costs for user acquisition.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962"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541"/>
        <w:gridCol w:w="109"/>
        <w:gridCol w:w="109"/>
        <w:gridCol w:w="109"/>
        <w:gridCol w:w="109"/>
        <w:gridCol w:w="164"/>
        <w:gridCol w:w="166"/>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decreased by $0.6 million, or 4%, for the three months ended March 31, 2025 compared to the three months ended March 31, 2024. The decrease was primarily due to a $0.7 million decrease in personnel-related costs driven by a decrease in headcount.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8208" w:type="dxa"/>
        <w:jc w:val="left"/>
        <w:tblInd w:w="0" w:type="dxa"/>
        <w:tblLayout w:type="fixed"/>
        <w:tblCellMar>
          <w:top w:w="28" w:type="dxa"/>
          <w:left w:w="28" w:type="dxa"/>
          <w:bottom w:w="28" w:type="dxa"/>
          <w:right w:w="28" w:type="dxa"/>
        </w:tblCellMar>
      </w:tblPr>
      <w:tblGrid>
        <w:gridCol w:w="911"/>
        <w:gridCol w:w="802"/>
        <w:gridCol w:w="807"/>
        <w:gridCol w:w="230"/>
        <w:gridCol w:w="672"/>
        <w:gridCol w:w="119"/>
        <w:gridCol w:w="119"/>
        <w:gridCol w:w="119"/>
        <w:gridCol w:w="119"/>
        <w:gridCol w:w="230"/>
        <w:gridCol w:w="672"/>
        <w:gridCol w:w="119"/>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by $1.9 million, or 27%, for the three months ended March 31, 2025 compared to the three months ended March 31, 2024. The decrease was driven by lower returns on marketable securities as a result of lower invested balances and lower interest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558" w:type="dxa"/>
        <w:jc w:val="left"/>
        <w:tblInd w:w="0" w:type="dxa"/>
        <w:tblLayout w:type="fixed"/>
        <w:tblCellMar>
          <w:top w:w="28" w:type="dxa"/>
          <w:left w:w="28" w:type="dxa"/>
          <w:bottom w:w="28" w:type="dxa"/>
          <w:right w:w="28" w:type="dxa"/>
        </w:tblCellMar>
      </w:tblPr>
      <w:tblGrid>
        <w:gridCol w:w="863"/>
        <w:gridCol w:w="759"/>
        <w:gridCol w:w="762"/>
        <w:gridCol w:w="256"/>
        <w:gridCol w:w="566"/>
        <w:gridCol w:w="132"/>
        <w:gridCol w:w="132"/>
        <w:gridCol w:w="132"/>
        <w:gridCol w:w="132"/>
        <w:gridCol w:w="256"/>
        <w:gridCol w:w="658"/>
        <w:gridCol w:w="132"/>
        <w:gridCol w:w="109"/>
        <w:gridCol w:w="109"/>
        <w:gridCol w:w="109"/>
        <w:gridCol w:w="211"/>
        <w:gridCol w:w="466"/>
        <w:gridCol w:w="109"/>
        <w:gridCol w:w="109"/>
        <w:gridCol w:w="109"/>
        <w:gridCol w:w="109"/>
        <w:gridCol w:w="140"/>
        <w:gridCol w:w="140"/>
        <w:gridCol w:w="141"/>
        <w:gridCol w:w="109"/>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by $0.4 million for the three months ended March 31, 2025 compared to the three months ended March 31, 2024. The increase was primarily due to the periodic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7949" w:type="dxa"/>
        <w:jc w:val="left"/>
        <w:tblInd w:w="0" w:type="dxa"/>
        <w:tblLayout w:type="fixed"/>
        <w:tblCellMar>
          <w:top w:w="28" w:type="dxa"/>
          <w:left w:w="28" w:type="dxa"/>
          <w:bottom w:w="28" w:type="dxa"/>
          <w:right w:w="28" w:type="dxa"/>
        </w:tblCellMar>
      </w:tblPr>
      <w:tblGrid>
        <w:gridCol w:w="911"/>
        <w:gridCol w:w="802"/>
        <w:gridCol w:w="807"/>
        <w:gridCol w:w="266"/>
        <w:gridCol w:w="589"/>
        <w:gridCol w:w="137"/>
        <w:gridCol w:w="137"/>
        <w:gridCol w:w="137"/>
        <w:gridCol w:w="137"/>
        <w:gridCol w:w="266"/>
        <w:gridCol w:w="589"/>
        <w:gridCol w:w="137"/>
        <w:gridCol w:w="109"/>
        <w:gridCol w:w="109"/>
        <w:gridCol w:w="109"/>
        <w:gridCol w:w="211"/>
        <w:gridCol w:w="436"/>
        <w:gridCol w:w="109"/>
        <w:gridCol w:w="109"/>
        <w:gridCol w:w="109"/>
        <w:gridCol w:w="109"/>
        <w:gridCol w:w="218"/>
        <w:gridCol w:w="21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decreased by $0.1 million, or 29%, for the three months ended March 31, 2025 compared to the three months ended March 31, 2024. The decrease was primarily due to a decrease in foreign income tax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generated losses from our operations, as reflected in our accumulated deficit of $886.0 million as of March 31, 2025.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$417.9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 Moreover, any instability in the U.S. or international banking systems may impact liquidity both in the short term and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before="0" w:after="0"/>
        <w:ind w:left="0" w:right="0" w:hanging="36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On February 21, 2024, our Board of Directors authorized and approved an increase of $150.0 million to the Share Repurchase Program and extended the expiration date to March 31, 2026. During the three months ended March 31, 2025, we repurchased and retired 4.7 million shares of Class A common stock at an average purchase price of $1.92 per share for an aggregate repurchase price of $9.1 million. As of March 31, 2025, we had $88.2 million available for future share repurchases under the Share Repurchase Program. </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818" w:type="dxa"/>
        <w:jc w:val="center"/>
        <w:tblInd w:w="0" w:type="dxa"/>
        <w:tblLayout w:type="fixed"/>
        <w:tblCellMar>
          <w:top w:w="28" w:type="dxa"/>
          <w:left w:w="28" w:type="dxa"/>
          <w:bottom w:w="28" w:type="dxa"/>
          <w:right w:w="28" w:type="dxa"/>
        </w:tblCellMar>
      </w:tblPr>
      <w:tblGrid>
        <w:gridCol w:w="1526"/>
        <w:gridCol w:w="1342"/>
        <w:gridCol w:w="1346"/>
        <w:gridCol w:w="211"/>
        <w:gridCol w:w="796"/>
        <w:gridCol w:w="109"/>
        <w:gridCol w:w="109"/>
        <w:gridCol w:w="109"/>
        <w:gridCol w:w="109"/>
        <w:gridCol w:w="211"/>
        <w:gridCol w:w="79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during the three months ended March 31, 2025 was $0.4 million which resulted from a net loss of $22.0 million, adjusted for non-cash charges of $17.0 million and net cash inflows of $5.3 million from changes in operating assets and liabilities. Non-cash charges primarily consisted of $17.1 million of stock-based compensation expense and $0.5 million of depreciation and amortization expense, partially offset by $0.7 million of accretion on investments. The net cash inflows from changes in operating assets and liabilities were primarily due to a $9.8 million decrease in accounts receivable, a $0.8 million increase in accounts payable, and a $0.7 million decrease in operating lease right-of-use assets due to normal amortization. These amounts were partially offset by a $3.6 million increase in prepaid expenses and other assets, a $2.0 million decrease in operating lease liabilities due to lease payments, and a $0.3 million decrease in accrued expenses and other liabilities.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during the three months ended March 31, 2024 was $13.6 million which resulted from a net loss of $28.3 million, adjusted for non-cash charges of $19.4 million and net cash outflows of $4.7 million from changes in operating assets and liabilities. Non-cash charges primarily consisted of $19.5 million of stock-based compensation expense and $1.4 million of depreciation and amortization expense, partially offset by $1.9 million of accretion on investments. The net cash outflows from changes in operating assets and liabilities were primarily due to a $3.1 million decrease in accrued expenses and other liabilities, a $1.7 million increase in prepaid expenses and other assets, and a $1.5 million decrease in operating lease liabilities due to lease payments. These amounts were partially offset by a $1.2 million decrease in operating lease right-of-use assets due to normal amortization, a $0.2 million increase in accounts payable, and a $0.2 million decrease in accounts receivable.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three months ended March 31, 2025 was $21.6 million, which consisted of proceeds from sales of marketable securities of $62.5 million and proceeds from maturities of marketable securities of $38.5 million. This was partially offset by purchases of marketable securities of $79.4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three months ended March 31, 2024 was $35.9 million, which consisted of proceeds from maturities of marketable securities of $67.3 million and proceeds from sales of marketable securities of $28.8 million. This was partially offset by purchases of marketable securities of $52.6 million and a loan to Opportunity Finance Network of $7.5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for the three months ended March 31, 2025 was $12.8 million, which consisted of repurchases of common stock of $9.1 million and tax withholdings on release of restricted stock units of $6.0 million. This was partially offset by proceeds from the exercise of stock options of $1.6 million and proceeds from the issuance of common stock under the employee stock purchase plan of $0.7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three months ended March 31, 2024 was $12.9 million, which consisted of repurchases of common stock of $9.8 million, prepayment under the Share Repurchase Program of $5.3 million, and tax withholdings on release of restricted stock units of $1.3 million. This was partially offset by proceeds from the exercise of stock options of $2.8 million and proceeds from the issuance of common stock under the employee stock purchase plan of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that represents our net loss adjusted for depreciation and amortization, stock-based compensation, net interest income, provision for income taxes, and any restructuring charges or acquisition-related costs.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loss, the most comparable GAAP measure, to Adjusted EBITDA:</w:t>
      </w:r>
    </w:p>
    <w:tbl>
      <w:tblPr>
        <w:tblW w:w="5634" w:type="dxa"/>
        <w:jc w:val="center"/>
        <w:tblInd w:w="0" w:type="dxa"/>
        <w:tblLayout w:type="fixed"/>
        <w:tblCellMar>
          <w:top w:w="28" w:type="dxa"/>
          <w:left w:w="28" w:type="dxa"/>
          <w:bottom w:w="28" w:type="dxa"/>
          <w:right w:w="28" w:type="dxa"/>
        </w:tblCellMar>
      </w:tblPr>
      <w:tblGrid>
        <w:gridCol w:w="937"/>
        <w:gridCol w:w="824"/>
        <w:gridCol w:w="833"/>
        <w:gridCol w:w="211"/>
        <w:gridCol w:w="796"/>
        <w:gridCol w:w="109"/>
        <w:gridCol w:w="109"/>
        <w:gridCol w:w="109"/>
        <w:gridCol w:w="109"/>
        <w:gridCol w:w="211"/>
        <w:gridCol w:w="796"/>
        <w:gridCol w:w="109"/>
        <w:gridCol w:w="109"/>
        <w:gridCol w:w="109"/>
        <w:gridCol w:w="109"/>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requiring estimates, assumptions, and judgments as compared to the critical accounting policies and estimates as described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Recently Issued Accounting Pronouncements </w:t>
      </w:r>
    </w:p>
    <w:p>
      <w:pPr>
        <w:pStyle w:val="TextBody"/>
        <w:bidi w:val="0"/>
        <w:spacing w:lineRule="auto" w:line="288" w:before="0" w:after="180"/>
        <w:jc w:val="both"/>
        <w:rPr/>
      </w:pPr>
      <w:r>
        <w:rPr>
          <w:rFonts w:ascii="Times New Roman;sans-serif" w:hAnsi="Times New Roman;sans-serif"/>
          <w:b w:val="false"/>
          <w:color w:val="000000"/>
          <w:sz w:val="20"/>
        </w:rPr>
        <w:t>Refer to</w:t>
      </w:r>
      <w:r>
        <w:rPr>
          <w:color w:val="000000"/>
        </w:rPr>
        <w:t xml:space="preserve"> </w:t>
      </w:r>
      <w:r>
        <w:rPr>
          <w:rFonts w:ascii="Times New Roman;sans-serif" w:hAnsi="Times New Roman;sans-serif"/>
          <w:b w:val="false"/>
          <w:color w:val="000000"/>
          <w:sz w:val="20"/>
        </w:rPr>
        <w:t>Note 2</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cash and cash equivalents of $57.3 million and marketable securities of $360.5 million. Our cash and cash equivalents consist of cash in bank accounts, demand deposits, and money market funds.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March 31, 2025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Limitations on the Effectiveness of Disclosure Controls and Procedures</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6, Commitments and Contingencies, to our unaudited condensed consolidated financial statements included in Part I, Item 1 of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commenced operating the Nextdoor platform in 2011 and began supporting the platform with advertising in 2016. Moreover, we recently introduced our NEXT initiative, a planned complete transformation of our platform with the goal of making our platform more robust and engaging for users, as well as more compelling for advertisers.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Adverse global economic and financial conditions could harm our business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global economic and financial events and the effects thereof, such as health epidemics or pandemics, the wars in Ukraine and the Middle East, inflation, changing interest rates, potential recessions, the implementation of tariffs by the United States, China, or other governments, 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spending by our advertisers. For example, in April 2025, the United States announced tariffs on imported goods from most countries, certain of which have been temporarily suspended. U.S. tariffs, and any new or additional retaliatory tariffs that may be imposed by other countries in response to such U.S. tariffs, may also adversely affect spending by advertisers and, consequently, our operating results. The announcement of these tariffs has also recently resulted in significant volatility in the stock market. We are closely monitoring this evolving situation and there can be no assurance that we will be able to mitigate the impacts of any trade measures on our business, which could adversely impact our business, operating results, financial condition, and our stock price.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decreases in neighbor or advertiser engagement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slower than anticipated growth in, or lack of growth or decreases in, the number of neighbors active on the platform;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the implementation of tariffs by the United States, China, or other governments, a potential recession, inflation and changing interest rates;</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platform changes (such as the migration to our proprietary ad server) or inventory management decisions that change the size, format, frequency, or relative prominence of advertisements displayed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competitors offering more attractive pricing for advertisements that we are unable or unwilling to match;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decrease in the quantity or quality of advertisements shown to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laws,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demographics of our neighbors that make us less attractive to advertisers;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neighbors who exercise opt-out rights under privacy laws to restrict the advertisements they receive;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neighbors that upload content or take other actions that are deemed to be hostile, inappropriate, illicit, objectionable, illegal, or otherwise not consistent with the brand of our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government actions or legislative, regulatory, or other legal developments;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 behavior or changes to the platform that may affect, among other things, the safety and security of other neighbors or the cultivation of a positive and inclusive online community;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media reports or other negative publicity involving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implementing or enforcing policies, such as advertising policies, community guidelines, and other terms or service that are perceived negatively by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develop and improve our products for advertisers;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limitations in, or reductions to, the availability, accuracy, utility, and security of analytics and measurement solutions offered by us or third parties that are intended to demonstrate the value of our advertisements to advertisers;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to our data privacy practices that affect the type or manner of advertising that we are able to provide, including as a result of changes to laws, regulations or regulatory actions, such as the European Union and United Kingdom’s respective General Data Protection Regulations (collectively, “GDPR”), European Directive 2002/58/EC (the “ePrivacy Directive”), the Canadian Personal Information Protection and Electronic Documents Act (“PIPEDA”), the Australia Privacy Act 1988 along with the 2024 reforms thereto and the Australian Privacy Principles (“APPs”), the CCPA in California, and comparable U.S. state privacy laws in over a third of other states, or changes to third-party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attract and retain advertisers depends on our ability to collect and use data and develop products to enable us to effectively deliver and accurately measure advertisements on the Nextdoor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has its Intelligent Tracking Prevention (“ITP”) feature in its Safari browser, which blocks some or all third-party cookies by default on mobile and desktop and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uses an App Tracking Transparency framework that limits the ability of mobile applications to request an iOS device’s advertising identifier and affects our ability to track neighbors’ actions off our platform and connect their interactions with on-platform advertising. Google recently went back on its plans to phase out third-party cookies, but is exploring ways to allow users to make browser-level privacy choices that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add new neighbors or retain current neighbors, or if current neighbors engage less with the Nextdoor platform, our business, operating results, and financial condition would be adversely impacted.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NEXT initiative, a planned complete transformation of our platform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could negatively impact our ability to grow, retain and engage current and prospective neighbors,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neighbors increasing their engagement with competitors’ platforms, products or services instead of, or more frequently than,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the amount of time neighbors spend across all applications and platforms, including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failing to introduce platform enhancements that neighbors find engaging or if we introduce new features, terms, policies or procedures, or make changes to our platform, including changes we are implementing with our NEXT initiative, that are not favorably received by current or prospective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technical or other problems frustrating the neighbor experience, such as problems that prevent us from delivering our service in a fast and reliable manner;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neighbors having difficulty installing, updating or otherwise accessing the Nextdoor platform on mobile devices through the app or web browsers;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 behavior on the Nextdoor platform changing, including a decrease in the quality and frequency of content shares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decreases in neighbor or advertiser sentiment due to questions about the quality or usefulness of our platform, concerns about the nature of content made available on the platform, concerns related to privacy, safety, security, well-being or other factors;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mandated by legislation, government and regulatory authorities, or litigation that adversely impact our platform or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failing to obtain or attract engaging third-party content;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third parties preventing their content from being displayed on the Nextdoor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we may make to how we promote different features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initiatives designed to attract and retain neighbors and engagement are unsuccessful or discontinued, whether as a result of actions by us, third parties, or otherwise;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or other partners and companies in the industry are the subject of adverse media reports or other negative publicity;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are unable to combat spam, harassment, cyberbullying or other hostile, inappropriate, abusive or offensive content or usage on our platform;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cannot preserve and enhance our brand and reputation as a trusted neighborhood networking community.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highly competitive. Competition presents an ongoing threat to the success of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companies that provide a variety of internet products, services, content, and online advertising. In addition, aspects of our platform compete with other products and services, including home services, classifieds,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compete depends upon many factors both within and beyond our control,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popularity, usefulness, ease of use, performance, and reliability of our platform compared to our competitors’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size and composition of our neighbor base;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engagement of neighbors with our platform and competing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first- and third-party data available to us relative to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and retain advertisers who use our free or paid advertisements services;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and market acceptance of developments and enhancements to our platform or our competitors’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safety and security efforts and our ability to protect neighbor data and to provide neighbors with control over their data;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distribute our platform to new and existing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effectively monetize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successful implementation of platform changes, such as the migration to our proprietary ad server and introduction of AI technologies into our platform, and our NEXT initiative;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frequency, size, format, quality, and relative prominence of the advertisements displayed by us or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customer service and support efforts;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marketing and selling efforts, including our ability to measure the effectiveness of our advertisements and to provide advertisers with a compelling return on their investments;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establish and maintain publisher interest in integrating their content with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mandated by legislation, regulatory authorities, or litigation, some of which may have a disproportionate effect on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acquisitions or consolidation within our industry, which may result in more formidable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retain, and motivate talented employees, particularly software engineers, designers, and product managers;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cost-effectively manage and grow our operations;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reputation and brand strength relative to those of our competitors.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compete effectively, our neighbor base and level of neighbor engagement may decrease, we may become less attractive to advertisers and our business, operating results, and financial condition may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wars in Ukraine and the Middle East),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amount of our employees are based in our headquarters located in San Francisco, California. If there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catastrophic failure involving our systems or major disruptive event affecting our headquarters or the San Francisco area in general, we may be unable to operate our platform.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scale our business effectively, our business, operating results, and financial condition would be adversely affected.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as we have grown, our business has become increasingly complex and may require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the implementation of tariffs by the United States, China, or other governments, changing interest rates and inflation, and the wars in Ukraine and the Middle East.</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from time to time, we realign our resources and talent to implement stage-appropriate business strategies, which could include furloughs, layoffs and reductions in force. For example, in 2023 and 2024, in response to changing economic conditions and in an effort to support our growth, scale and profitability objectives,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its leased headquarters in San Francisco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adjust its office space footprint to better align with the needs of its work model.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or our industry generally are unable to provide a high-quality and secure customer experience in the various locales in which we operate, our brand could suffer reputational damage and our business results could be harmed.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our AI initiatives, which could adversely affect our business, reputation, or financial results.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continuing to make investments in AI initiatives, including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For example, the use of datasets to develop AI models, the content generated by AI systems, or the application of AI systems may be found to be insufficient, offensive, biased, or harmful, or violate current or future laws and regulations. Moreover, AI may give rise to litigation risk, including potential intellectual property or privacy liability. Furthermore, the integration of third-party AI models with our products and services relies on certain safeguards implemented by the third-party developers of the underlying AI models, including those related to the accuracy, bias, and other variables of the data, and these safeguards may be insufficient. If our offerings draw controversy due to their perceived or actual impact on society, such as AI solutions that have unintended consequences or are controversial because of their impact on human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other companies may develop AI features and technologies that are similar or superior to our technologies or are more cost-effective to develop and deploy. Given the long history of development in the AI sector, other parties may have (or in the future may obtain) patents or other proprietary rights that would prevent, limit, or interfere with our ability to make, use, or sell our own AI features. Our AI initiatives also depend on our access to data to effectively train our models. In addition, existing laws and regulations may be interpreted, or new laws and regulations regarding AI have been and may in the future be adopted and interpreted, in ways which could negatively affect the way we use AI in our products. For example, the EU Artificial Intelligence Act (the “EU AI Act”) prohibits certain AI applications and systems with unacceptable risk and imposes additional requirements on the use of other high-risk or limited-risk AI applications or systems, which may require the implementation of additional quality assurance controls and measures to be reviewed and approved by regulatory submissions of our products. Similarly, in the United States, over half of U.S. states have considered or adopted legislation concerning AI and generative AI. For example, the Colorado Artificial Intelligence Act, which comes into effect on February 1, 2026, regulates the use of high-risk AI systems in certain critical sectors and imposes general disclosure requirements. In California, laws aimed at addressing potential harms from AI use, such as deepfakes or misleading political advertisements, have faced legal challenges. We may not always be able to anticipate the regulatory development and necessary response to these frameworks given that they are still rapidly evolving. We may also have to expend resources to adjust our product or service offerings in certain jurisdictions if the legal frameworks governing the use of AI are not consistent across jurisdictions. Finally, intellectual property ownership issues, licensing and privacy rights surrounding AI technologies are evolving and have not been fully addressed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or state courts or foreign jurisdictions, which may expose us to claims of intellectual property infringement or misappropriation or privacy rights violations, or result in inquiries by government bodies or agencies. Any of these factors could adversely affect our business, operating results, and financial condition.</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Unfavorable media coverage negatively affects our business from time to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product and investment decisions may conflict with the short-term financial results and may not produce the long-term benefits that we expect.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product and investment decisions, which we believe are essential to the success of our platform and in serving the best, long-term interests of Nextdoor and our stockholders. In the past, we have forgone, and may in the future, including with the introduction of NEXT, forgo, certain expansion or revenue opportunities or other opportunities that have positive short-term financial impacts that we do not believe are aligned with the long-term success of our platform, even if our decision may negatively impact our operating results in the short term. In addition, in connection with implementing our NEXT initiative, we anticipate shifts in usage and ad supply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impressions which may adversely impact our business, operating results, and financial condition. Our decisions may not result in the long-term benefits that we expect, in which case our neighbor engagement, business, operating results, and financial condition could be harmed.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expand our international operations where we have limited operating experience and may be subject to increased business, regulatory, and economic risks that could seriously harm our business, operating results, and financial condition.</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further expand our business operations abroad by opening new and expanding within existing neighborhoods outside of the United States, though our primary focus remains on improving our product experience and aligning our operations to best serve users and advertisers in our existing markets. As of March 31, 2025, the Nextdoor platform was accessible in 11 countries (including the United States) and had over 345,000 neighborhoods.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political, social and economic instability, including as a result of acts of war or terrorism, including the wars in Ukraine and the Middle East;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risks related to the legal and regulatory environment in foreign jurisdictions, including with respect to privacy and data protection, and unexpected changes in laws, regulatory requirements, and enforcement;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potential damage to our brand and reputation due to compliance with local laws, including potential censorship and requirements to provide neighbor information to local authorities;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enhanced difficulty in reviewing content on the Nextdoor platform and enforcing community standards across different languages and countries;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compliance with multiple U.S. and international tax jurisdictions and management of tax impact of global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potentially higher levels of credit risk and payment fraud;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difficulties integrating any foreign acquisitions;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burdens of complying with a variety of foreign laws, including laws related to taxation, content removal, data localization, data transfer, consents, payments, and regulatory oversight;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reduced protection for intellectual property rights in some countries;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difficulties in staffing and managing global operations and the increased travel, infrastructure, and legal compliance costs associated with multiple international locations.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need additional capital in the future, it may not be available on favorable terms, if at all.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make acquisitions, which could harm our financial condition or operating results and may adversely affect the price of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2023 and 2024, in response to changing economic conditions and in an effort to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our office space footprint to better align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Security and Technology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dependent on third-party software and service providers, including the GAM platform, for management and delivery of certain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are dependent on third-party software and service providers, including the GAM platform, for management and delivery of certain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rely on third-party technology providers in our business, we rely on the cybersecurity practices and policies adopted by these third parties. Our ability to monitor our third-party technology providers’ cybersecurity practices is limited.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data center hosting facilities operated by AWS, located in various facilities. We are unable to serve network traffic from back-up data center services. An unexpected disruption of services provided by these data centers could hamper our ability to handle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existing or increased traffic, result in the loss of data or cause our platform to become unavailable, which may harm our reputation,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including email providers, mobile data networks, and identity verification service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verify our neighbors’ accounts through several methods, including but not limited to email, SMS text message, geolocation and mailed invitations. For example, we utilize email providers, mobile data networks, and identity verification service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identity verification service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Security breaches, including improper access to or disclosure of our data or our neighbors’ data, or other hacking and phishing attacks on our or third-party systems, could harm our reputation and adversely affect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and otherwise process personal data relating to a significant number of individuals such as our neighbors, employees and partners, including, but not limited to, neighbor contact details, network details, and location data. The evolution of information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take a variety of technical and organizational security measures and other measures to protect our data. Although we have implemented systems and processes that are designed to protect our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(such as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data may also be unsuccessful due to software bugs or other technical malfunctions; employee, contractor, or vendor error or malfeasance; threat actors, nation-states and nation-state supported actors engaging in cyberattacks; or other threats that evolve.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third parties, including advertisers, vendors and service providers, may store information that we share with them on their networks. If these third parties fail to implement adequate data-security practices or fail to comply with their contractual obligations and/or, where applicable, our applicable terms and policies, our data may be improperly accessed, used or disclosed. Even if these third parties take all the necessary precautions and comply with their applicable obligations, their networks may still suffer a security incident, which could compromise our data.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Security incidents may cause interruptions to our platform, degrade the neighbor experience, cause neighbors or advertisers to lose confidence and trust in our platform, impair our internal systems, or result in financial harm to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material cybersecurity incidents and cybersecurity risk management, strategy, and governance.</w:t>
      </w:r>
    </w:p>
    <w:p>
      <w:pPr>
        <w:pStyle w:val="TextBody"/>
        <w:bidi w:val="0"/>
        <w:spacing w:before="0" w:after="0"/>
        <w:jc w:val="both"/>
        <w:rPr/>
      </w:pPr>
      <w:r>
        <w:rPr/>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maintain insurance policies, our coverage may be insufficient to compensate us for all losses caused by security incidents, and any such security incidents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 data protection violation or security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Apple requires neighbors using the app to opt in before their identifier for advertisers can be accessed by an app and has security measures in its Apple mail client available on its operating systems which have impacted, and are expected to continue to impact, our ability to track individual users and devices, and measure the effectiveness of our advertisements. While we have not observed any directly attributable negative impact on our business, operating results or financial condition, including our revenue, revenue growth rates, and operating income (loss), related to these features,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changes made by third-party publishers and distribution channels.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platform and internal systems rely on software and hardware that is highly technical, and any errors, bugs, or vulnerabilities in these systems, or failures to address or mitigate technical limitations in our systems, could adversely affect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Social and ethical issues may result in reputational harm and liability.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0"/>
        </w:rPr>
        <w:t>Our public disclosures, and any standards we may set for ourselves or a failure to meet these standards, may influence our reputation and the value of our brand. For example, we have elected to share publicly certain information about our sustainability initiatives. Moreover, laws and regulations may require us to provide sustainability-related disclosure.</w:t>
      </w:r>
      <w:r>
        <w:rPr>
          <w:color w:val="000000"/>
        </w:rPr>
        <w:t xml:space="preserve"> </w:t>
      </w:r>
      <w:r>
        <w:rPr>
          <w:rFonts w:ascii="Times New Roman;sans-serif" w:hAnsi="Times New Roman;sans-serif"/>
          <w:b w:val="false"/>
          <w:color w:val="000000"/>
          <w:sz w:val="20"/>
        </w:rPr>
        <w:t>For example, California has adopted two climate-related bills, which require companies doing business in California that meet certain revenue thresholds to publicly disclose certain greenhouse gas emissions data and climate-related financial risk reports. California also</w:t>
      </w:r>
      <w:r>
        <w:rPr>
          <w:color w:val="000000"/>
        </w:rPr>
        <w:t xml:space="preserve"> </w:t>
      </w:r>
      <w:r>
        <w:rPr>
          <w:rFonts w:ascii="Times New Roman;sans-serif" w:hAnsi="Times New Roman;sans-serif"/>
          <w:b w:val="false"/>
          <w:color w:val="000000"/>
          <w:sz w:val="20"/>
        </w:rPr>
        <w:t>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In connection with any legal or regulatory requirements, we may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results difficult to predict.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generate revenues from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acquire, retain, and grow our neighbors and neighbor engagement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ability to attract and retain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ability to recognize revenue or collect payments from advertisers in a particular period;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spending by our advertisers due to macroeconomic conditions, seasonality, episodic regional or global events, or other factors;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domestic and global business and macroeconomic conditions, including the implementation of tariffs by the United States, China, or other governments, actual or perceived instability in the global banking system, potential recession, local and national elections, inflation, changing</w:t>
      </w:r>
      <w:r>
        <w:rPr>
          <w:color w:val="000000"/>
        </w:rPr>
        <w:t xml:space="preserve"> </w:t>
      </w:r>
      <w:r>
        <w:rPr>
          <w:rFonts w:ascii="Times New Roman;sans-serif" w:hAnsi="Times New Roman;sans-serif"/>
          <w:b w:val="false"/>
          <w:color w:val="000000"/>
          <w:sz w:val="20"/>
        </w:rPr>
        <w:t xml:space="preserve">interest rates, and the wars in Ukraine and the Middle East; </w:t>
      </w:r>
    </w:p>
    <w:p>
      <w:pPr>
        <w:pStyle w:val="TextBody"/>
        <w:bidi w:val="0"/>
        <w:spacing w:before="0" w:after="0"/>
        <w:jc w:val="both"/>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fluctuations in internet usage generally;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number, prominence, size, format, quality and relevancy of advertisements shown to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 of technologies designed to block the display of advertisements;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pricing of our advertisements;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cost of and mix of new and existing sales and marketing and promotional efforts;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availability of our platform and app on mobile devices and other third-party platforms;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our platform or the development and introduction of new products or services by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advertising industry association rules and standards that limit our ability to deliver, target or measure the effectiveness of advertising, such as the Network Advertising Initiative, and Interactive Advertising Bureau;</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 behavior or platform changes that may reduce traffic to features of the platform that we monetize;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system failures, disruptions, breaches of security or privacy, whether on our platform or on those of third parties, and the costs associated with any such breaches and remediation;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negative publicity associated with our platform, including as a result of content on our platform, security breaches and neighbor privacy concerns that may result in advertisers reducing or eliminating their spend with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health epidemics, such as the COVID-19 pandemic, influenza, and other highly communicable diseases or viruses;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use of our cash, cash equivalents, and marketable securities, including to repurchase shares of our outstanding Class A common stock or to make acquisitions or investments;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of incurring additional expenses, such as increases in sales and marketing or research and development;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litigation judgments, settlements, or other litigation-related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the legislative or regulatory environment, including with respect to privacy and cybersecurity, or actions by governments or regulators, including fines, orders, or consent decrees;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U.S. generally accepted accounting principles.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Certain of our market opportunities and key metric estimates could prove to be inaccurate, and any real or perceived inaccuracies may harm our reputation and negatively affect our business.</w:t>
      </w:r>
    </w:p>
    <w:p>
      <w:pPr>
        <w:pStyle w:val="TextBody"/>
        <w:bidi w:val="0"/>
        <w:spacing w:lineRule="auto" w:line="288" w:before="0" w:after="180"/>
        <w:jc w:val="both"/>
        <w:rPr/>
      </w:pPr>
      <w:r>
        <w:rPr>
          <w:rFonts w:ascii="Times New Roman;sans-serif" w:hAnsi="Times New Roman;sans-serif"/>
          <w:b w:val="false"/>
          <w:color w:val="000000"/>
          <w:sz w:val="20"/>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section, which could cause actual results to 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regularly reviewed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In recent years, changes made to third party email operating systems have limited our ability to measure user engagement with emails containing monetizable content. This has impacted our ability to accurately calculate a portion of WAUs for periods following the adoption of the updated operating systems. To address this, we have used estimates for these user engagement numbers based on historical data sets, as well as data from users who engage with Nextdoor’s monetizable email content. This does not impact our ability to accurately calculate Platform WAU.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change our key business metrics from time to time, including as a result of changes to our platform such as our NEXT initiative. We regularly evaluate whether our key business metrics remain meaningful indicators of the performance of our business. As a result of these evaluations, we have decided to make changes, and in the future may make additional changes, to our key business metrics, including eliminating or replacing existing metrics. For example, in recent periods, we have made changes to the business that have made Platform WAU a more important business metric for us, and as we proceed with our NEXT initiative (which is focused on making our platform more robust and engaging for users), we believe that Platform WAUs will be a more important metric for our business than it has been in the past. In light of these changes, we believe that reporting Platform WAUs instead of WAUs will provide more relevant insight into our current business performance and will better align with how management currently views the business. Beginning with our Quarterly Report on Form 10-Q for the three and six months ending June 30, 2025, we will no longer report WAUs and will instead report Platform WAU in our future filings. In addition, we will continue to present ARPU but the denominator will based on the average number of Platform WAUs instead of WAUs. Moreover, while we continue to view international monetization as a long-term growth opportunity, our focus is on improving our product experience and aligning our operations to best serve users and advertisers in existing markets, primarily in the United States. Accordingly, in future filings, we will no longer provide a breakout of our key business metrics between the United States and international market.For more information see “Management’s Discussion and Analysis of Financial Condition and Results of Operations—Key Business Metrics” in Part II, Item 7 of this Quarterly Report on Form 10-Q. Further, if investors perceive any changes to our key business metrics disclosures negatively, our business, operating results, and financial condition could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net losses each year since we began operations in 2007, including net losses of $22.0 million and $28.3 million for the three months ended March 31, 2025 and 2024, respectively. We have an accumulated deficit of $886.0 million as of March 31, 2025.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2023 and 2024,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use our U.S. federal and state net operating losses to offset future taxable income may be subject to certain limitations which could subject our business to higher tax liability.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U.S. federal net operating loss (“NOL”) carryforwards of approximately $516.4 million and state NOL carryforwards of approximately $336.7 million, which if not utilized, will begin to expire beginning in 2028 and 2025, respectively. To the extent that we continue to generate taxable losses, unused losses will carry forward to offset future taxable income, if any. Under the 2017 Tax Cuts and Jobs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382 of the Code,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experience ownership change(s) in the future as a result of subsequent shifts in our stock ownership, some of which may be outside our control. Therefore, it is possible that an ownership change could limit the amount of NOLs we can use to offset future taxable income. Any NOL carryforwards of companies we have acquired, may be subject to limitations, thereby increasing our overall tax liability. Our NOL carryforwards may also be limited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financial results may be adversely affected by changes in accounting principles generally accepted in the United States and our financial estimates may be different from our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currency exchange rates fluctuate substantially in the future, our operating results, which are reported in U.S. dollars,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have greater than anticipated tax liabilities, which could harm our business, revenue and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number of tax jurisdictions globally, including in the United States at the federal, state and local levels, and in many foreign countries, and may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On February 21, 2024, our Board of Directors authorized and approved an increase of $150.0 million to the Share Repurchase Program and extended the expiration date to March 31, 2026. As of March 31, 2025, we had $88.2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liable as a result of content or information that is published or made available on our platform.</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Lawmakers in the United States and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countries may introduce new regulatory regimes that increase potential liability for content available on our platform. There are a number of new laws and legislative proposals in the United States and globally aimed at limiting the scope of protections available to online services and/or that further impose new obligations affecting our business, such as liability for copyright infringement, illegal or harmful content moderation, distributing targeted and other advertisements to teens, and other forms of unlawful content and/or online harm. These legislative and/or regulatory requirements may increase our costs of operations, our liability for content posted by users on our platform, our litigation costs, and/or may expose us to regulatory sanctions such as fines or penalties. If these or other additional statutory or regulatory changes reduce liability protections for content published on our platform, we may be required to make significant changes to our business model, including increasing our content moderation operations and building in additional product features or tools that may not be favorable to our business, add payment obligations or compliance costs.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and as we continue to roll out our NEXT initiative, which we expect to utilize third-party content.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rely on a variety of statutory and common-law frameworks and defenses, including those provided by the Digital Millennium Copyright Act (the “DMCA”), the Communications Decency Act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Actions by governments that restrict access to the Nextdoor platform in their countries, or that otherwise impair our ability to sell advertising in their countries, could substantially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many U.S. federal and state and foreign laws, regulations and industry standards that involve matters central to our business, including laws and regulations that involve data privacy, security and protection, online safety (including children’s online safety), intellectual property (including copyright and patent laws), content, rights of publicity, advertising, marketing, health and safety, competition, protection of minors, age verification, consumer protection, taxation, telecommunications, anti-bribery, anti-censorship, anti-money laundering and corruption, telecommunications, AI and machine learning, and securities. These laws and regulations are constantly evolving and may be interpreted, implemented, applied, created, or amended, in a manner that could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In addition, the introduction of new products, expansion of our activities in certain jurisdictions, or other actions that we may take may subject the company to additional laws, regulations, or other governmental scrutiny.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see these protections lessened either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seriously harm our business. In addition, the Federal Trade Commission recently launched a public inquiry seeking information on technology platforms’ censorship efforts (including denial or degradation of services) based on the content of users’ speech or their affiliations, and how this conduct may have violated current law. We could incur significant costs investigating and defending such claims and inquiries and, if we are found liable, significant damages.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Digital Services Act (the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became law. The Act creates requirements around content moderation and handling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 to certain types of harmful content. In addition, several U.S. states and countries have passed age verification laws to protect minors from harmful online content, especially adult material. These laws generally require websites and platforms to verify users' ages before allowing access to certain content. Many of these U.S. state laws are currently subject to legal challenge. Consequently, we may now be required in some U.S. states and are now required in some foreign countries to include mandatory age verification in its user onboarding process, which may affect user attrition. These new and proposed laws, together with any changes to the existing laws and regulations within the jurisdictions in which we operate, could require us to expend additional resources to maintain compliance with new or evolving regulations. As a result, we may incur additional liability, and our business, operating results, and financial condition could be harmed.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security and protection, which encompass the processing of personal information. The regulatory framework for data privacy, security, and protection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internal and publicly posted policies, statements and notices regarding our collection, processing, use, disclosure, deletion and security of information, and in the event that a court or regulator finds these statements to be deceptive, unfair, inaccurate, inadequate, or misrepresentative of our actual practices, we could also be exposed to legal or regulatory liability. Any such proceedings or violations could force us to spend money in defense or settlement, result in the imposition of monetary liability or demanding injunctive relief, divert management's time and attention, increase our costs of doing business, and adversely affect our reputation. Furthermore, the uncertain and shifting regulatory environment and trust climate may cause concerns regarding privacy and data protection and may cause our customers to resist providing the data necessary to allow them to use our services effectively. Although we endeavor to comply with our public statements and policies, we may at times fail to do so or be accused of having failed to do so. The publication of our privacy policies and notices that provide commitments about data privacy, security, and protection can subject us to potential actions if they are found to be deceptive, unfair, or otherwise misrepresent our actual practices, which could materially and adversely affect our business, operating results, and financial condition.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we are subject to numerous federal, state and local data privacy, security, and protection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Over a third of other U.S. states have also passed comparable legislation, with unique privacy and data security compliance requirements relevant to our business. We anticipate that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and there have been attempts at the federal level to introduce privacy legislation. Compliance with these laws and any newly enacted privacy, security, and data protection laws or regulations may be challenging and cost- and time-intensive, and may require us to modify our data processing practices and policies and to incur substantial costs and potential liability in an effort to comply with such legislation.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further concern in the United States, regulatory attention to artificial intelligence systems, including generative AI, continues to increase. More than half of U.S. states have introduced or enacted legislation addressing the development and use of AI. For example, the Colorado Artificial Intelligence Act, which becomes effective on February 1, 2026, focuses on the regulation of high-risk AI systems in certain critical sectors and imposes general disclosure requirements. In addition, California has enacted several laws, some of which are currently being challenged, aimed at addressing potential harms from AI technologies, such as the creation and distribution of deepfakes or deceptive political content. As these laws are proposed, enacted, challenged, interpreted, and implemented, compliance with AI laws and regulations may be challenging and cost- and time-intensive, or such compliance efforts may require us to modify our data processing practices and policies, or impact our access to and permitted uses of large language models, training data, or other AI technologies, and to incur substantial costs and potential liability in an effort to comply with such legislation.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we are subject to an increasing number of laws, regulations and industry standards that apply to data privacy and security. In Canada, we are subject to PIPEDA, which governs the collection, use and disclosure of Canadian residents’ personal information in the course of commercial activities. In Australia, we are also subject to, among other laws, Australia’s Privacy Act 1988 and the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The Australian Parliament is currently considering further privacy reforms and is anticipated to pass additional amendments in the coming months. In the European Union, we are subject to the EU GDPR, and in the United Kingdom we are subject to the UK GDPR (collectively, the “GDPR”). The GDPR imposes a strict data protection compliance regime, grants new rights for data subjects in regard to their personal data (including the right to be “forgotten” and the right to data portability) and enhances current rights (e.g., data subject access requests).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GDPR prohibits transfers of personal information from the European Economic Area (“EEA”) or United Kingdom to countries not formally deemed adequate by the European Commission or the UK Information Commission Office, respectively, including the United States, unless a particular compliance mechanism (and, if necessary, certain safeguards) is implemented. The mechanisms that we and many other companies rely upon for EEA and United Kingdom data transfers (for example, standard contractual clauses or the Data Privacy Framework) are the subject of legal challenge, regulatory interpretation, and judicial decisions. While the United States and the European Union reached agreement on the EU-US Data Privacy Framework (and similar agreements were reached with respect to the United Kingdom and Switzerland), and we currently self-certify to both the EU-US Data Privacy Framework and the UK Extension, there are legal challenges to this data transfer mechanism as well, which could affect the manner in which we provide our services, the geographical location or segregation of our relevant systems and operations and could adversely affect our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expansion of artificial intelligence laws has the potential to restrict or impose supplementary obligations on our utilization of this technology. For example, the EU AI Act, which entered into force on August 1, 2024, establishes obligations for entities engaged in the development and deployment of AI systems, the majority of which will apply two years later. The legislation employs a risk-based methodology, prohibits specified AI practices, and mandates requirements for high-risk systems regarding transparency, data governance, and human oversight. Such compliance efforts may require us to modify our use of AI technologies, and to incur substantial costs and potential liability in an effort to comply with such legislation.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evolving laws on cookies and e-marketing. In the European Union and the United Kingdom, informed consent is required for the placement of certain cookies or similar technologies on a user’s device as well as for direct electronic marketing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communications. Further, under the GDPR, valid consent is tightly defined and includes a prohibition on pre-checked consents and, the European Union and United Kingdom require organizations to obtain separate consents for each type of cookie or similar technology. U.S. regulators are also increasingly focused on the use of cookies for targeted advertising. If regulators start to enforce strict approaches regarding the use of cookies,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neighbors.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put in efforts to comply with these regulations, the uncertainty surrounding enforcement and changing privacy landscapes could change our compliance status. Similarly, there are a number of legislative proposals in the jurisdictions where we operate that could impose new obligations or limitations in areas affecting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with greater resources. Even though we communicate with lawmakers and regulators in countries and regions in which we conduct business, and despite having a dedicated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could be involved in legal disputes that are expensive and time consuming, and, if resolved adversely, could harm our business, operating results, and financial condition.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 involved in, actual and threatened legal proceedings, claims, investigations and government inquiries arising in the ordinary course of our business, including intellectual property, data privacy, cybersecurity, our use of AI,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6, Commitments and Contingencies, to the consolidated financial statements elsewhere in this report for a description of certain litigation matters that we are involved in.</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obligations associated with operating as a public company require significant resources and management attention and have, and will continue to, cause us to incur additional expenses, which will adversely affect our profitability.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and expect to continue to incur significant accounting, legal and various other expenses.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will continue to increase, our legal and financial compliance costs, make some activities more difficult, time-consuming or costly and increase demand on our systems and resources. As a public company, we have and will continue to, among other things: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prepare and distribute periodic public reports and other stockholder communications in compliance with our obligations under the federal securities laws;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create or expand the roles and duties of our Board of Directors and committees of the Board of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institute and maintain comprehensive financial reporting and disclosure compliance functions;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establish new and enhance existing internal policies, including those relating to disclosure controls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actions and the additional involvement of accountants and legal advisors, requires a significant commitment of our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we have incurred significant costs with respect to our directors’ and officers’ insurance coverage.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Being a public company requires significant resources and management oversight. As a result, management’s attention may be diverted from other business concerns, which could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Failure to maintain effective systems of internal controls and disclosure controls could have a material adverse effect on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and expect to continue to incur significant expenses and devote substantial management effort toward ensuring compliance with the requirements of Section 404 of the Sarbanes-Oxley Act. As a result of the complexity involved in complying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Failure to obtain, maintain, protect or enforce our intellectual property and proprietary rights could enable others to copy or use aspects of our platform without compensating us, which could harm our brand, business, and results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As such, policing unauthorized use of our technology or platform is difficult.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Confidentiality agreements with employees and others may not adequately prevent disclosure of trade secrets and proprietary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 As such, we cannot guarantee that the steps taken by us will prevent infringement, violation or misappropriation of our technology.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claim that the Nextdoor platform infringes their intellectual property rights, and such claims may result in legal claims against us and our technology partners and customers. These claims may damage our brand and reputation and create liability for us. Furthermore,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the number of such claims to increase as the functionality of our platform overlaps with that of other products and services, and as the volume of issued software patents and patent applications continues to increase.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intellectual property rights, and, to the extent we gain greater market visibility, we may face a higher risk of being the subject of intellectual property infringement claims.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use of “open source” software could subject us to possible litigation or could prevent us from offering products that include open source software or require us to obtain licenses on unfavorable terms.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Authors of open source software we use may also update the terms of open source licenses governing such software to commercial license terms that may require us to pay fees in order to continue using such software.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Such use, under certain circumstances, could materially adversely affect our business, operating results, financial condition and future prospects, as well as our reputation, including if we are required to take remedial action that may divert resources away from our development efforts.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 As such,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could harm our intellectual property position and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open source licenses contain requirements that we make available as source code for modifications or derivative works we create based upon our use and distribution of the open source software. If we combine and distribute our proprietary software with open source software in a certain manner, we could, under certain open source licenses, be required to release the combined source code of our proprietary software to the public, including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This would allow our competitors to create similar offerings with lower development effort and time and ultimately could result in a loss of sales for us.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license technology from third parties for the development of our products, and our inability to maintain those licenses could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Any impairment of the technologies or of our relationship with these third parties could harm our business, operating results and financial condition.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price of our Class A common stock has been and may continue to be volatile.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actual or anticipated fluctuations in our user growth, retention, engagement, revenue, or other operating results;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developments involving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variations between our actual operating results and the expectations of securities analysts, investors, and the financial community;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publication of research reports by securities analysts about us, our competitors or our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additional shares of our Class A common stock being sold into the market by us or our existing stockholders, or the anticipation of such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additions and departures of key personnel;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by us or our competitors of significant products or features, technical innovations, acquisitions, strategic partnerships, joint ventures, or capital commitments;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by us or estimates by third parties of actual or anticipated changes in the size of our user base or the level of user engagement;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technology companies in our industry, including our partners and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interest rate increases on the overall stock market and the market for technology company stocks;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including as a result of trends in the economy as a whole;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developments in new legislation and pending lawsuits or regulatory actions, including interim or final rulings by judicial or regulatory bodies;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events or factors, including those resulting from recessions, the implementation of tariffs by the United States, China, or other governments, inflation, changing interest rates, local and national elections, actual or perceived instability in the global banking system, international currency fluctuations, corruption, political instability and acts of war or terrorism, such as the wars in Ukraine and the Middle East.</w:t>
      </w:r>
    </w:p>
    <w:p>
      <w:pPr>
        <w:pStyle w:val="TextBody"/>
        <w:bidi w:val="0"/>
        <w:spacing w:before="0" w:after="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may adversely affect the trading market for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March 31, 2025.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Transfers by holders of our Class B common stock will generally result in those shares converting to Class A common stock, subject to limited exceptions, such as certain transfers effected for estate planning or charitable purposes. The conversion of Class B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 to Class A common stock will have the effect, over time, of increasing the relative voting power of those holders of Class B common stock who retain their shares in the long term.</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for the foreseeable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analysts do not publish research about our business or if they publish inaccurate or unfavorable research, our stock price and trading volume could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may cause the market price of our securities to drop significantly, even if our business is doing well.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March 31, 2025, we had 235,006,580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that 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permit our Board of Directors to establish the number of directors and fill any vacancies and newly created directorships;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Certificate of Incorporation and Bylaws;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that only our chairperson of the Board of Directors, our chief executive officer, the lead independent director or a majority of our Board of Directors will be authorized to call a special meeting of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do not provide for cumulative voting;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that our Board of Directors is expressly authorized to make, alter, or repeal our Bylaws;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contains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of Unregistered Securities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2021,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consummation of the initial public offering, KVSB consummated a private placement of 1,100,000 private placement shares, at a price of $10.00 per share, to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share repurchase activity for the three months ended March 31, 2025:</w:t>
      </w:r>
    </w:p>
    <w:tbl>
      <w:tblPr>
        <w:tblW w:w="10205" w:type="dxa"/>
        <w:jc w:val="left"/>
        <w:tblInd w:w="0" w:type="dxa"/>
        <w:tblLayout w:type="fixed"/>
        <w:tblCellMar>
          <w:top w:w="28" w:type="dxa"/>
          <w:left w:w="28" w:type="dxa"/>
          <w:bottom w:w="28" w:type="dxa"/>
          <w:right w:w="28" w:type="dxa"/>
        </w:tblCellMar>
      </w:tblPr>
      <w:tblGrid>
        <w:gridCol w:w="498"/>
        <w:gridCol w:w="373"/>
        <w:gridCol w:w="377"/>
        <w:gridCol w:w="109"/>
        <w:gridCol w:w="109"/>
        <w:gridCol w:w="109"/>
        <w:gridCol w:w="721"/>
        <w:gridCol w:w="459"/>
        <w:gridCol w:w="460"/>
        <w:gridCol w:w="109"/>
        <w:gridCol w:w="109"/>
        <w:gridCol w:w="109"/>
        <w:gridCol w:w="297"/>
        <w:gridCol w:w="720"/>
        <w:gridCol w:w="153"/>
        <w:gridCol w:w="109"/>
        <w:gridCol w:w="109"/>
        <w:gridCol w:w="109"/>
        <w:gridCol w:w="950"/>
        <w:gridCol w:w="721"/>
        <w:gridCol w:w="724"/>
        <w:gridCol w:w="109"/>
        <w:gridCol w:w="109"/>
        <w:gridCol w:w="109"/>
        <w:gridCol w:w="471"/>
        <w:gridCol w:w="1617"/>
        <w:gridCol w:w="356"/>
      </w:tblGrid>
      <w:tr>
        <w:trPr/>
        <w:tc>
          <w:tcPr>
            <w:tcW w:w="49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Average Price Paid per Share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the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Approximate Dollar Value of Shares that May Yet Be Purchased Under the Pans or Programs </w:t>
              <w:br/>
              <w:t>(in thousands)</w:t>
            </w:r>
          </w:p>
        </w:tc>
      </w:tr>
      <w:tr>
        <w:trPr/>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2025 to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1,284,360 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1,284,360 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94,185 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2025 to 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2025 to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3,436,055 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3,436,055 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4,720,415 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4,720,415 </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On May 31, 2022, our Board of Directors authorized and approved the Share Repurchase Program to repurchase up to $100.0 million in aggregate of our Class A common stock, with the authorization to expire on June 30, 2024. On February 21, 2024, our Board of Directors authorized and approved an increase of $150.0 million to the Share Repurchase Program and extended the expiration date to March 31, 2026. </w:t>
      </w:r>
    </w:p>
    <w:p>
      <w:pPr>
        <w:pStyle w:val="TextBody"/>
        <w:bidi w:val="0"/>
        <w:spacing w:lineRule="auto" w:line="288" w:before="0" w:after="18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Average price paid per share includes costs associated with the repurchases, excluding the 1% excise tax as a result of the Inflation Reduction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Rule 10b5-1 Trading Plans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officers (as defined in Rule 16a-1(f) under the Exchange Act) (“Section 16 officers”) are only permitted to trade in our securities pursuant to a prearranged trading plan intended to satisfy the affirmative defense of Rule 10b5-1(c) under the Exchange Act (a “Rule 10b5-1 Plan”). During the three months ended March 31, 2025, none of our Section 16 officers adopted or terminated any Rule 10b5-1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6"/>
        <w:gridCol w:w="288"/>
        <w:gridCol w:w="289"/>
        <w:gridCol w:w="109"/>
        <w:gridCol w:w="109"/>
        <w:gridCol w:w="109"/>
        <w:gridCol w:w="2022"/>
        <w:gridCol w:w="2022"/>
        <w:gridCol w:w="2039"/>
        <w:gridCol w:w="109"/>
        <w:gridCol w:w="109"/>
        <w:gridCol w:w="109"/>
        <w:gridCol w:w="170"/>
        <w:gridCol w:w="170"/>
        <w:gridCol w:w="171"/>
        <w:gridCol w:w="118"/>
        <w:gridCol w:w="118"/>
        <w:gridCol w:w="118"/>
        <w:gridCol w:w="210"/>
        <w:gridCol w:w="210"/>
        <w:gridCol w:w="211"/>
        <w:gridCol w:w="118"/>
        <w:gridCol w:w="118"/>
        <w:gridCol w:w="118"/>
        <w:gridCol w:w="207"/>
        <w:gridCol w:w="207"/>
        <w:gridCol w:w="301"/>
      </w:tblGrid>
      <w:tr>
        <w:trPr/>
        <w:tc>
          <w:tcPr>
            <w:tcW w:w="3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311ceo302certification-q1.htm">
              <w:r>
                <w:rPr>
                  <w:rStyle w:val="InternetLink"/>
                  <w:rFonts w:ascii="Times New Roman;sans-serif" w:hAnsi="Times New Roman;sans-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cfo302certification-q1.htm">
              <w:r>
                <w:rPr>
                  <w:rStyle w:val="InternetLink"/>
                  <w:rFonts w:ascii="Times New Roman;sans-serif" w:hAnsi="Times New Roman;sans-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ceo906certification-q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cfo906certification-q1.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(formatted in iXBRL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180"/>
        <w:jc w:val="both"/>
        <w:rPr/>
      </w:pPr>
      <w:hyperlink w:anchor="i31b5bf5e563b4bcb92a5237fa69425c1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Quarterly Report on Form 10-Q to be signed on its behalf by the undersigned thereunto duly authorized.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bl>
      <w:tblPr>
        <w:tblW w:w="4562" w:type="dxa"/>
        <w:jc w:val="right"/>
        <w:tblInd w:w="0" w:type="dxa"/>
        <w:tblLayout w:type="fixed"/>
        <w:tblCellMar>
          <w:top w:w="28" w:type="dxa"/>
          <w:left w:w="28" w:type="dxa"/>
          <w:bottom w:w="28" w:type="dxa"/>
          <w:right w:w="28" w:type="dxa"/>
        </w:tblCellMar>
      </w:tblPr>
      <w:tblGrid>
        <w:gridCol w:w="491"/>
        <w:gridCol w:w="431"/>
        <w:gridCol w:w="431"/>
        <w:gridCol w:w="933"/>
        <w:gridCol w:w="933"/>
        <w:gridCol w:w="1343"/>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4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NEXTDOOR HOLDINGS, INC.</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Nirav Tolia</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Nirav Tolia</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tbl>
      <w:tblPr>
        <w:tblW w:w="4515" w:type="dxa"/>
        <w:jc w:val="right"/>
        <w:tblInd w:w="0" w:type="dxa"/>
        <w:tblLayout w:type="fixed"/>
        <w:tblCellMar>
          <w:top w:w="28" w:type="dxa"/>
          <w:left w:w="28" w:type="dxa"/>
          <w:bottom w:w="28" w:type="dxa"/>
          <w:right w:w="28" w:type="dxa"/>
        </w:tblCellMar>
      </w:tblPr>
      <w:tblGrid>
        <w:gridCol w:w="232"/>
        <w:gridCol w:w="205"/>
        <w:gridCol w:w="208"/>
        <w:gridCol w:w="1131"/>
        <w:gridCol w:w="1131"/>
        <w:gridCol w:w="160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 Anderson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 Anderson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and Treasurer </w:t>
            </w:r>
          </w:p>
          <w:p>
            <w:pPr>
              <w:pStyle w:val="TableContents"/>
              <w:bidi w:val="0"/>
              <w:spacing w:lineRule="auto" w:line="26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and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AND 15D-14(A) UNDER THE EXCHANGE ACT,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Nirav Tolia,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controls over financial reporting. </w:t>
      </w:r>
    </w:p>
    <w:tbl>
      <w:tblPr>
        <w:tblW w:w="834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87"/>
        <w:gridCol w:w="487"/>
        <w:gridCol w:w="495"/>
        <w:gridCol w:w="1419"/>
        <w:gridCol w:w="1419"/>
        <w:gridCol w:w="20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PURSUANT TO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AND 15D-14(A) UNDER THE EXCHANGE ACT,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 </w:t>
      </w:r>
      <w:r>
        <w:rPr>
          <w:rFonts w:ascii="Times New Roman;sans-serif" w:hAnsi="Times New Roman;sans-serif"/>
          <w:b w:val="false"/>
          <w:color w:val="201F1E"/>
          <w:sz w:val="20"/>
        </w:rPr>
        <w:t>Matt Anderson</w:t>
      </w:r>
      <w:r>
        <w:rPr>
          <w:rFonts w:ascii="Times New Roman;sans-serif" w:hAnsi="Times New Roman;sans-serif"/>
          <w:b w:val="false"/>
          <w:color w:val="000000"/>
          <w:sz w:val="20"/>
        </w:rPr>
        <w:t>,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tbl>
      <w:tblPr>
        <w:tblW w:w="517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210"/>
        <w:gridCol w:w="210"/>
        <w:gridCol w:w="213"/>
        <w:gridCol w:w="735"/>
        <w:gridCol w:w="735"/>
        <w:gridCol w:w="1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left"/>
              <w:rPr/>
            </w:pPr>
            <w:r>
              <w:rPr>
                <w:rFonts w:ascii="Times New Roman;sans-serif" w:hAnsi="Times New Roman;sans-serif"/>
                <w:b w:val="false"/>
                <w:i/>
                <w:color w:val="000000"/>
                <w:sz w:val="20"/>
              </w:rPr>
              <w:t xml:space="preserve">/s/ </w:t>
            </w:r>
            <w:r>
              <w:rPr>
                <w:rFonts w:ascii="Times New Roman;sans-serif" w:hAnsi="Times New Roman;sans-serif"/>
                <w:b w:val="false"/>
                <w:i/>
                <w:color w:val="201F1E"/>
                <w:sz w:val="20"/>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01F1E"/>
                <w:sz w:val="20"/>
              </w:rPr>
            </w:pPr>
            <w:r>
              <w:rPr>
                <w:rFonts w:ascii="Times New Roman;sans-serif" w:hAnsi="Times New Roman;sans-serif"/>
                <w:b w:val="false"/>
                <w:color w:val="201F1E"/>
                <w:sz w:val="20"/>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Nextdoor Holdings, Inc. (the “Company”) on Form 10-Q for the quarter ended March 31, 2025,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33"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834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79"/>
        <w:gridCol w:w="479"/>
        <w:gridCol w:w="486"/>
        <w:gridCol w:w="1427"/>
        <w:gridCol w:w="1427"/>
        <w:gridCol w:w="202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4"/>
              </w:rPr>
              <w:t>/s/</w:t>
            </w:r>
            <w:r>
              <w:rPr>
                <w:color w:val="000000"/>
              </w:rPr>
              <w:t xml:space="preserve"> </w:t>
            </w:r>
            <w:r>
              <w:rPr>
                <w:rFonts w:ascii="Times New Roman;sans-serif" w:hAnsi="Times New Roman;sans-serif"/>
                <w:b w:val="false"/>
                <w:i/>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Nirav Tolia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8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Nextdoor Holdings, Inc. (the “Company”) on Form 10-Q for the quarter ended March 31, 2025,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86"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8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17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210"/>
        <w:gridCol w:w="210"/>
        <w:gridCol w:w="213"/>
        <w:gridCol w:w="735"/>
        <w:gridCol w:w="735"/>
        <w:gridCol w:w="1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43487</Words>
  <Characters>242537</Characters>
  <CharactersWithSpaces>284517</CharactersWithSpaces>
  <Paragraphs>2458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