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440032.xml.htm"/>
      <w:bookmarkStart w:id="1" w:name="kswkform4_179244003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Tolia Nirav 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NEXTDOOR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420 TAYLOR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Nextdoor Holdings, Inc.</w:t>
              </w:r>
            </w:hyperlink>
            <w:r>
              <w:rPr/>
              <w:t xml:space="preserve"> [ </w:t>
            </w:r>
            <w:r>
              <w:rPr>
                <w:rFonts w:ascii="Times;serif" w:hAnsi="Times;serif"/>
                <w:color w:val="0000FF"/>
                <w:sz w:val="24"/>
                <w:shd w:fill="FFFFFF" w:val="clear"/>
              </w:rPr>
              <w:t>NXDR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and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6"/>
        <w:gridCol w:w="903"/>
        <w:gridCol w:w="772"/>
        <w:gridCol w:w="600"/>
        <w:gridCol w:w="347"/>
        <w:gridCol w:w="1012"/>
        <w:gridCol w:w="449"/>
        <w:gridCol w:w="612"/>
        <w:gridCol w:w="1273"/>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313,126</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2,413,477</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123,216</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2,290,261</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45,126</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2,335,387</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17,758</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2,317,629</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110,521</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2,428,150</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43,491</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w:t>
            </w:r>
          </w:p>
        </w:tc>
        <w:tc>
          <w:tcPr>
            <w:tcW w:w="12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2,384,659</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4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91"/>
        <w:gridCol w:w="921"/>
        <w:gridCol w:w="801"/>
        <w:gridCol w:w="966"/>
        <w:gridCol w:w="831"/>
        <w:gridCol w:w="846"/>
      </w:tblGrid>
      <w:tr>
        <w:trPr>
          <w:tblHeader w:val="true"/>
        </w:trPr>
        <w:tc>
          <w:tcPr>
            <w:tcW w:w="124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 (RSU)</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313,126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313,126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1,878,758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 (RSU)</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45,126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45,126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406,128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 (RSU)</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110,521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110,521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1,436,782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 award vests in equal quarterly installments over four years on January 15, April 15, July 15 and October 15 of each calendar year, with the first such vesting event on July 15, 2024, subject to the reporting person's continued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RSUs do not expire; they either vest or are cancelled prior to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 award vests in equal quarterly installments over four years on January 15, April 15, July 15 and October 15 of each calendar year, with the first such vesting event on April 15, 2025, subject to the reporting person's continued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 award vests in equal quarterly installments over four years on January 15, April 15, July 15 and October 15 of each calendar year, with the first such vesting event on April 15, 2026, subject to the reporting person's continued service to the Issuer on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Sophia Contreras Schwartz, as Attorney-in-Fact for Reporting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95752" TargetMode="External"/><Relationship Id="rId5" Type="http://schemas.openxmlformats.org/officeDocument/2006/relationships/hyperlink" Target="http://www.sec.gov/cgi-bin/browse-edgar?action=getcompany&amp;CIK=00018460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872</Words>
  <Characters>4515</Characters>
  <CharactersWithSpaces>5238</CharactersWithSpaces>
  <Paragraphs>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