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jc w:val="center"/>
        <w:ind w:right="20"/>
        <w:spacing w:after="0" w:line="238" w:lineRule="auto"/>
        <w:rPr>
          <w:sz w:val="20"/>
          <w:szCs w:val="20"/>
          <w:color w:val="auto"/>
        </w:rPr>
      </w:pPr>
      <w:r>
        <w:rPr>
          <w:rFonts w:ascii="Arial" w:cs="Arial" w:eastAsia="Arial" w:hAnsi="Arial"/>
          <w:sz w:val="29"/>
          <w:szCs w:val="29"/>
          <w:b w:val="1"/>
          <w:bCs w:val="1"/>
          <w:color w:val="auto"/>
        </w:rPr>
        <w:t>FORM 10-Q</w:t>
      </w:r>
    </w:p>
    <w:p>
      <w:pPr>
        <w:ind w:left="340"/>
        <w:spacing w:after="0"/>
        <w:rPr>
          <w:sz w:val="20"/>
          <w:szCs w:val="20"/>
          <w:color w:val="auto"/>
        </w:rPr>
      </w:pPr>
      <w:r>
        <w:rPr>
          <w:rFonts w:ascii="Arial" w:cs="Arial" w:eastAsia="Arial" w:hAnsi="Arial"/>
          <w:sz w:val="14"/>
          <w:szCs w:val="14"/>
          <w:b w:val="1"/>
          <w:bCs w:val="1"/>
          <w:color w:val="auto"/>
        </w:rPr>
        <w:t>(Mark One)</w:t>
      </w:r>
    </w:p>
    <w:p>
      <w:pPr>
        <w:spacing w:after="0" w:line="26" w:lineRule="exact"/>
        <w:rPr>
          <w:sz w:val="24"/>
          <w:szCs w:val="24"/>
          <w:color w:val="auto"/>
        </w:rPr>
      </w:pPr>
    </w:p>
    <w:p>
      <w:pPr>
        <w:ind w:left="1380" w:hanging="530"/>
        <w:spacing w:after="0"/>
        <w:tabs>
          <w:tab w:leader="none" w:pos="13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9" w:lineRule="exact"/>
        <w:rPr>
          <w:sz w:val="24"/>
          <w:szCs w:val="24"/>
          <w:color w:val="auto"/>
        </w:rPr>
      </w:pPr>
    </w:p>
    <w:p>
      <w:pPr>
        <w:ind w:left="900"/>
        <w:spacing w:after="0"/>
        <w:rPr>
          <w:sz w:val="20"/>
          <w:szCs w:val="20"/>
          <w:color w:val="auto"/>
        </w:rPr>
      </w:pPr>
      <w:r>
        <w:rPr>
          <w:rFonts w:ascii="Arial" w:cs="Arial" w:eastAsia="Arial" w:hAnsi="Arial"/>
          <w:sz w:val="14"/>
          <w:szCs w:val="14"/>
          <w:b w:val="1"/>
          <w:bCs w:val="1"/>
          <w:color w:val="auto"/>
        </w:rPr>
        <w:t>For the quarterly period ended March 31, 2022</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OR</w:t>
      </w:r>
    </w:p>
    <w:p>
      <w:pPr>
        <w:spacing w:after="0" w:line="26" w:lineRule="exact"/>
        <w:rPr>
          <w:sz w:val="24"/>
          <w:szCs w:val="24"/>
          <w:color w:val="auto"/>
        </w:rPr>
      </w:pPr>
    </w:p>
    <w:p>
      <w:pPr>
        <w:ind w:left="1360" w:hanging="542"/>
        <w:spacing w:after="0"/>
        <w:tabs>
          <w:tab w:leader="none" w:pos="1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900"/>
        <w:spacing w:after="0"/>
        <w:rPr>
          <w:sz w:val="20"/>
          <w:szCs w:val="20"/>
          <w:color w:val="auto"/>
        </w:rPr>
      </w:pPr>
      <w:r>
        <w:rPr>
          <w:rFonts w:ascii="Arial" w:cs="Arial" w:eastAsia="Arial" w:hAnsi="Arial"/>
          <w:sz w:val="14"/>
          <w:szCs w:val="14"/>
          <w:b w:val="1"/>
          <w:bCs w:val="1"/>
          <w:color w:val="auto"/>
        </w:rPr>
        <w:t>For the transition period from  to</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Commission file number 001-40246</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center"/>
              <w:ind w:right="80"/>
              <w:spacing w:after="0"/>
              <w:rPr>
                <w:sz w:val="20"/>
                <w:szCs w:val="20"/>
                <w:color w:val="auto"/>
              </w:rPr>
            </w:pPr>
            <w:r>
              <w:rPr>
                <w:rFonts w:ascii="Arial" w:cs="Arial" w:eastAsia="Arial" w:hAnsi="Arial"/>
                <w:sz w:val="29"/>
                <w:szCs w:val="29"/>
                <w:b w:val="1"/>
                <w:bCs w:val="1"/>
                <w:color w:val="auto"/>
                <w:w w:val="90"/>
              </w:rPr>
              <w:t>Nextdoor Holdings, Inc.</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740" w:type="dxa"/>
            <w:vAlign w:val="bottom"/>
            <w:gridSpan w:val="6"/>
          </w:tcPr>
          <w:p>
            <w:pPr>
              <w:jc w:val="center"/>
              <w:ind w:right="346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0" w:type="dxa"/>
            <w:vAlign w:val="bottom"/>
          </w:tcPr>
          <w:p>
            <w:pPr>
              <w:spacing w:after="0"/>
              <w:rPr>
                <w:sz w:val="1"/>
                <w:szCs w:val="1"/>
                <w:color w:val="auto"/>
              </w:rPr>
            </w:pPr>
          </w:p>
        </w:tc>
      </w:tr>
      <w:tr>
        <w:trPr>
          <w:trHeight w:val="203"/>
        </w:trPr>
        <w:tc>
          <w:tcPr>
            <w:tcW w:w="35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Delaware</w:t>
            </w: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38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3"/>
              </w:rPr>
              <w:t>86-1776836</w:t>
            </w:r>
          </w:p>
        </w:tc>
        <w:tc>
          <w:tcPr>
            <w:tcW w:w="0" w:type="dxa"/>
            <w:vAlign w:val="bottom"/>
          </w:tcPr>
          <w:p>
            <w:pPr>
              <w:spacing w:after="0"/>
              <w:rPr>
                <w:sz w:val="1"/>
                <w:szCs w:val="1"/>
                <w:color w:val="auto"/>
              </w:rPr>
            </w:pPr>
          </w:p>
        </w:tc>
      </w:tr>
      <w:tr>
        <w:trPr>
          <w:trHeight w:val="440"/>
        </w:trPr>
        <w:tc>
          <w:tcPr>
            <w:tcW w:w="35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520" w:type="dxa"/>
            <w:vAlign w:val="bottom"/>
          </w:tcPr>
          <w:p>
            <w:pPr>
              <w:jc w:val="center"/>
              <w:ind w:left="14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80" w:type="dxa"/>
            <w:vAlign w:val="bottom"/>
          </w:tcPr>
          <w:p>
            <w:pPr>
              <w:jc w:val="center"/>
              <w:ind w:left="8"/>
              <w:spacing w:after="0" w:line="147"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8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3"/>
              </w:rPr>
              <w:t>420 Taylor Street</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8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2"/>
              </w:rPr>
              <w:t>San Francisco, California 94102</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300" w:type="dxa"/>
            <w:vAlign w:val="bottom"/>
            <w:gridSpan w:val="5"/>
          </w:tcPr>
          <w:p>
            <w:pPr>
              <w:ind w:left="160"/>
              <w:spacing w:after="0"/>
              <w:rPr>
                <w:sz w:val="20"/>
                <w:szCs w:val="20"/>
                <w:color w:val="auto"/>
              </w:rPr>
            </w:pPr>
            <w:r>
              <w:rPr>
                <w:rFonts w:ascii="Arial" w:cs="Arial" w:eastAsia="Arial" w:hAnsi="Arial"/>
                <w:sz w:val="14"/>
                <w:szCs w:val="14"/>
                <w:b w:val="1"/>
                <w:bCs w:val="1"/>
                <w:color w:val="auto"/>
              </w:rPr>
              <w:t>(Address of Principal Executive Offices and Zip Code)</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2700" w:type="dxa"/>
            <w:vAlign w:val="bottom"/>
            <w:gridSpan w:val="3"/>
          </w:tcPr>
          <w:p>
            <w:pPr>
              <w:jc w:val="center"/>
              <w:ind w:left="1442"/>
              <w:spacing w:after="0"/>
              <w:rPr>
                <w:sz w:val="20"/>
                <w:szCs w:val="20"/>
                <w:color w:val="auto"/>
              </w:rPr>
            </w:pPr>
            <w:r>
              <w:rPr>
                <w:rFonts w:ascii="Arial" w:cs="Arial" w:eastAsia="Arial" w:hAnsi="Arial"/>
                <w:sz w:val="14"/>
                <w:szCs w:val="14"/>
                <w:b w:val="1"/>
                <w:bCs w:val="1"/>
                <w:color w:val="auto"/>
                <w:w w:val="93"/>
              </w:rPr>
              <w:t>(415) 344-0333</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3860" w:type="dxa"/>
            <w:vAlign w:val="bottom"/>
            <w:gridSpan w:val="5"/>
          </w:tcPr>
          <w:p>
            <w:pPr>
              <w:jc w:val="center"/>
              <w:ind w:left="262"/>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3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4"/>
          </w:tcPr>
          <w:p>
            <w:pPr>
              <w:jc w:val="center"/>
              <w:ind w:right="10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5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2"/>
          </w:tcPr>
          <w:p>
            <w:pPr>
              <w:spacing w:after="0"/>
              <w:rPr>
                <w:sz w:val="9"/>
                <w:szCs w:val="9"/>
                <w:color w:val="auto"/>
              </w:rPr>
            </w:pPr>
          </w:p>
        </w:tc>
        <w:tc>
          <w:tcPr>
            <w:tcW w:w="1160" w:type="dxa"/>
            <w:vAlign w:val="bottom"/>
            <w:tcBorders>
              <w:bottom w:val="single" w:sz="8" w:color="auto"/>
            </w:tcBorders>
            <w:gridSpan w:val="2"/>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520" w:type="dxa"/>
            <w:vAlign w:val="bottom"/>
            <w:tcBorders>
              <w:left w:val="single" w:sz="8" w:color="auto"/>
              <w:bottom w:val="single" w:sz="8" w:color="auto"/>
            </w:tcBorders>
          </w:tcPr>
          <w:p>
            <w:pPr>
              <w:jc w:val="center"/>
              <w:ind w:left="368"/>
              <w:spacing w:after="0"/>
              <w:rPr>
                <w:sz w:val="20"/>
                <w:szCs w:val="20"/>
                <w:color w:val="auto"/>
              </w:rPr>
            </w:pPr>
            <w:r>
              <w:rPr>
                <w:rFonts w:ascii="Arial" w:cs="Arial" w:eastAsia="Arial" w:hAnsi="Arial"/>
                <w:sz w:val="14"/>
                <w:szCs w:val="14"/>
                <w:color w:val="auto"/>
                <w:w w:val="92"/>
              </w:rPr>
              <w:t>Title of each class</w:t>
            </w:r>
          </w:p>
        </w:tc>
        <w:tc>
          <w:tcPr>
            <w:tcW w:w="44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6"/>
              </w:rPr>
              <w:t>Trading Symbol(s)</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80" w:type="dxa"/>
            <w:vAlign w:val="bottom"/>
            <w:tcBorders>
              <w:bottom w:val="single" w:sz="8" w:color="auto"/>
              <w:right w:val="single" w:sz="8" w:color="auto"/>
            </w:tcBorders>
          </w:tcPr>
          <w:p>
            <w:pPr>
              <w:jc w:val="center"/>
              <w:ind w:right="112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83"/>
        </w:trPr>
        <w:tc>
          <w:tcPr>
            <w:tcW w:w="3520" w:type="dxa"/>
            <w:vAlign w:val="bottom"/>
            <w:tcBorders>
              <w:left w:val="single" w:sz="8" w:color="auto"/>
              <w:bottom w:val="single" w:sz="8" w:color="auto"/>
            </w:tcBorders>
          </w:tcPr>
          <w:p>
            <w:pPr>
              <w:jc w:val="center"/>
              <w:ind w:left="368"/>
              <w:spacing w:after="0"/>
              <w:rPr>
                <w:sz w:val="20"/>
                <w:szCs w:val="20"/>
                <w:color w:val="auto"/>
              </w:rPr>
            </w:pPr>
            <w:r>
              <w:rPr>
                <w:rFonts w:ascii="Arial" w:cs="Arial" w:eastAsia="Arial" w:hAnsi="Arial"/>
                <w:sz w:val="14"/>
                <w:szCs w:val="14"/>
                <w:color w:val="auto"/>
                <w:w w:val="92"/>
              </w:rPr>
              <w:t>Class A common stock, par value $0.0001 per share</w:t>
            </w:r>
          </w:p>
        </w:tc>
        <w:tc>
          <w:tcPr>
            <w:tcW w:w="440" w:type="dxa"/>
            <w:vAlign w:val="bottom"/>
            <w:tcBorders>
              <w:bottom w:val="single" w:sz="8" w:color="auto"/>
              <w:right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588"/>
              <w:spacing w:after="0"/>
              <w:rPr>
                <w:sz w:val="20"/>
                <w:szCs w:val="20"/>
                <w:color w:val="auto"/>
              </w:rPr>
            </w:pPr>
            <w:r>
              <w:rPr>
                <w:rFonts w:ascii="Arial" w:cs="Arial" w:eastAsia="Arial" w:hAnsi="Arial"/>
                <w:sz w:val="14"/>
                <w:szCs w:val="14"/>
                <w:color w:val="auto"/>
              </w:rPr>
              <w:t>KIND</w:t>
            </w:r>
          </w:p>
        </w:tc>
        <w:tc>
          <w:tcPr>
            <w:tcW w:w="1160" w:type="dxa"/>
            <w:vAlign w:val="bottom"/>
            <w:tcBorders>
              <w:bottom w:val="single" w:sz="8" w:color="auto"/>
            </w:tcBorders>
            <w:gridSpan w:val="2"/>
          </w:tcPr>
          <w:p>
            <w:pPr>
              <w:spacing w:after="0"/>
              <w:rPr>
                <w:sz w:val="15"/>
                <w:szCs w:val="15"/>
                <w:color w:val="auto"/>
              </w:rPr>
            </w:pPr>
          </w:p>
        </w:tc>
        <w:tc>
          <w:tcPr>
            <w:tcW w:w="3880" w:type="dxa"/>
            <w:vAlign w:val="bottom"/>
            <w:tcBorders>
              <w:bottom w:val="single" w:sz="8" w:color="auto"/>
              <w:right w:val="single" w:sz="8" w:color="auto"/>
            </w:tcBorders>
          </w:tcPr>
          <w:p>
            <w:pPr>
              <w:jc w:val="center"/>
              <w:ind w:right="112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20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2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38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4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380" w:type="dxa"/>
            <w:vAlign w:val="bottom"/>
          </w:tcPr>
          <w:p>
            <w:pPr>
              <w:ind w:left="1760"/>
              <w:spacing w:after="0"/>
              <w:rPr>
                <w:sz w:val="20"/>
                <w:szCs w:val="20"/>
                <w:color w:val="auto"/>
              </w:rPr>
            </w:pPr>
            <w:r>
              <w:rPr>
                <w:rFonts w:ascii="Arial" w:cs="Arial" w:eastAsia="Arial" w:hAnsi="Arial"/>
                <w:sz w:val="14"/>
                <w:szCs w:val="14"/>
                <w:color w:val="auto"/>
              </w:rPr>
              <w:t>Emerging growth company</w:t>
            </w:r>
          </w:p>
        </w:tc>
        <w:tc>
          <w:tcPr>
            <w:tcW w:w="114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0" w:lineRule="exact"/>
        <w:rPr>
          <w:sz w:val="24"/>
          <w:szCs w:val="24"/>
          <w:color w:val="auto"/>
        </w:rPr>
      </w:pPr>
    </w:p>
    <w:p>
      <w:pPr>
        <w:spacing w:after="0" w:line="161" w:lineRule="exact"/>
        <w:tabs>
          <w:tab w:leader="none" w:pos="670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3"/>
          <w:szCs w:val="13"/>
          <w:color w:val="auto"/>
        </w:rPr>
        <w:t>As of May 6, 2022, there were 116,564,414 shares of the registrant’s Class A common stock outstanding and 269,859,556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200025</wp:posOffset>
            </wp:positionV>
            <wp:extent cx="67722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ectPr>
          <w:pgSz w:w="11900" w:h="16838" w:orient="portrait"/>
          <w:cols w:equalWidth="0" w:num="1">
            <w:col w:w="11260"/>
          </w:cols>
          <w:pgMar w:left="320" w:top="85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580" w:type="dxa"/>
            <w:vAlign w:val="bottom"/>
          </w:tcPr>
          <w:p>
            <w:pPr>
              <w:spacing w:after="0"/>
              <w:rPr>
                <w:sz w:val="20"/>
                <w:szCs w:val="20"/>
                <w:color w:val="auto"/>
              </w:rPr>
            </w:pPr>
          </w:p>
        </w:tc>
      </w:tr>
      <w:tr>
        <w:trPr>
          <w:trHeight w:val="418"/>
        </w:trPr>
        <w:tc>
          <w:tcPr>
            <w:tcW w:w="96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Page</w:t>
            </w:r>
          </w:p>
        </w:tc>
      </w:tr>
      <w:tr>
        <w:trPr>
          <w:trHeight w:val="229"/>
        </w:trPr>
        <w:tc>
          <w:tcPr>
            <w:tcW w:w="9660" w:type="dxa"/>
            <w:vAlign w:val="bottom"/>
          </w:tcPr>
          <w:p>
            <w:pPr>
              <w:ind w:left="20"/>
              <w:spacing w:after="0"/>
              <w:rPr>
                <w:rFonts w:ascii="Arial" w:cs="Arial" w:eastAsia="Arial" w:hAnsi="Arial"/>
                <w:sz w:val="18"/>
                <w:szCs w:val="18"/>
                <w:color w:val="auto"/>
              </w:rPr>
            </w:pPr>
            <w:hyperlink w:anchor="page2">
              <w:r>
                <w:rPr>
                  <w:rFonts w:ascii="Arial" w:cs="Arial" w:eastAsia="Arial" w:hAnsi="Arial"/>
                  <w:sz w:val="18"/>
                  <w:szCs w:val="18"/>
                  <w:color w:val="auto"/>
                </w:rPr>
                <w:t>Special Note Regarding Forward-Looking Statements</w:t>
              </w:r>
            </w:hyperlink>
          </w:p>
        </w:tc>
        <w:tc>
          <w:tcPr>
            <w:tcW w:w="1580" w:type="dxa"/>
            <w:vAlign w:val="bottom"/>
          </w:tcPr>
          <w:p>
            <w:pPr>
              <w:jc w:val="right"/>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230"/>
        </w:trPr>
        <w:tc>
          <w:tcPr>
            <w:tcW w:w="966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Risk Factor Summary</w:t>
              </w:r>
            </w:hyperlink>
          </w:p>
        </w:tc>
        <w:tc>
          <w:tcPr>
            <w:tcW w:w="15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229"/>
        </w:trPr>
        <w:tc>
          <w:tcPr>
            <w:tcW w:w="9660" w:type="dxa"/>
            <w:vAlign w:val="bottom"/>
          </w:tcPr>
          <w:p>
            <w:pPr>
              <w:ind w:left="4300"/>
              <w:spacing w:after="0"/>
              <w:rPr>
                <w:rFonts w:ascii="Arial" w:cs="Arial" w:eastAsia="Arial" w:hAnsi="Arial"/>
                <w:sz w:val="18"/>
                <w:szCs w:val="18"/>
                <w:color w:val="auto"/>
              </w:rPr>
            </w:pPr>
            <w:hyperlink w:anchor="page6">
              <w:r>
                <w:rPr>
                  <w:rFonts w:ascii="Arial" w:cs="Arial" w:eastAsia="Arial" w:hAnsi="Arial"/>
                  <w:sz w:val="18"/>
                  <w:szCs w:val="18"/>
                  <w:color w:val="auto"/>
                </w:rPr>
                <w:t xml:space="preserve">Part I </w:t>
              </w:r>
            </w:hyperlink>
            <w:r>
              <w:rPr>
                <w:rFonts w:ascii="Arial" w:cs="Arial" w:eastAsia="Arial" w:hAnsi="Arial"/>
                <w:sz w:val="18"/>
                <w:szCs w:val="18"/>
                <w:color w:val="auto"/>
              </w:rPr>
              <w:t>- Financial Information</w:t>
            </w:r>
          </w:p>
        </w:tc>
        <w:tc>
          <w:tcPr>
            <w:tcW w:w="1580" w:type="dxa"/>
            <w:vAlign w:val="bottom"/>
          </w:tcPr>
          <w:p>
            <w:pPr>
              <w:spacing w:after="0"/>
              <w:rPr>
                <w:sz w:val="19"/>
                <w:szCs w:val="19"/>
                <w:color w:val="auto"/>
              </w:rPr>
            </w:pPr>
          </w:p>
        </w:tc>
      </w:tr>
      <w:tr>
        <w:trPr>
          <w:trHeight w:val="229"/>
        </w:trPr>
        <w:tc>
          <w:tcPr>
            <w:tcW w:w="9660" w:type="dxa"/>
            <w:vAlign w:val="bottom"/>
          </w:tcPr>
          <w:p>
            <w:pPr>
              <w:ind w:left="20"/>
              <w:spacing w:after="0"/>
              <w:rPr>
                <w:rFonts w:ascii="Arial" w:cs="Arial" w:eastAsia="Arial" w:hAnsi="Arial"/>
                <w:sz w:val="18"/>
                <w:szCs w:val="18"/>
                <w:color w:val="auto"/>
              </w:rPr>
            </w:pPr>
            <w:hyperlink w:anchor="page7">
              <w:r>
                <w:rPr>
                  <w:rFonts w:ascii="Arial" w:cs="Arial" w:eastAsia="Arial" w:hAnsi="Arial"/>
                  <w:sz w:val="18"/>
                  <w:szCs w:val="18"/>
                  <w:color w:val="auto"/>
                </w:rPr>
                <w:t>Item 1. Financial Statements (Unaudited)</w:t>
              </w:r>
            </w:hyperlink>
          </w:p>
        </w:tc>
        <w:tc>
          <w:tcPr>
            <w:tcW w:w="15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30"/>
        </w:trPr>
        <w:tc>
          <w:tcPr>
            <w:tcW w:w="9660" w:type="dxa"/>
            <w:vAlign w:val="bottom"/>
          </w:tcPr>
          <w:p>
            <w:pPr>
              <w:ind w:left="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Balance Sheets</w:t>
              </w:r>
            </w:hyperlink>
          </w:p>
        </w:tc>
        <w:tc>
          <w:tcPr>
            <w:tcW w:w="15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29"/>
        </w:trPr>
        <w:tc>
          <w:tcPr>
            <w:tcW w:w="9660" w:type="dxa"/>
            <w:vAlign w:val="bottom"/>
          </w:tcPr>
          <w:p>
            <w:pPr>
              <w:ind w:left="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Operations</w:t>
              </w:r>
            </w:hyperlink>
          </w:p>
        </w:tc>
        <w:tc>
          <w:tcPr>
            <w:tcW w:w="15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r>
      <w:tr>
        <w:trPr>
          <w:trHeight w:val="229"/>
        </w:trPr>
        <w:tc>
          <w:tcPr>
            <w:tcW w:w="9660" w:type="dxa"/>
            <w:vAlign w:val="bottom"/>
          </w:tcPr>
          <w:p>
            <w:pPr>
              <w:ind w:left="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Comprehensive Loss</w:t>
              </w:r>
            </w:hyperlink>
          </w:p>
        </w:tc>
        <w:tc>
          <w:tcPr>
            <w:tcW w:w="15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r>
      <w:tr>
        <w:trPr>
          <w:trHeight w:val="230"/>
        </w:trPr>
        <w:tc>
          <w:tcPr>
            <w:tcW w:w="9660" w:type="dxa"/>
            <w:vAlign w:val="bottom"/>
          </w:tcPr>
          <w:p>
            <w:pPr>
              <w:ind w:left="80"/>
              <w:spacing w:after="0"/>
              <w:rPr>
                <w:rFonts w:ascii="Arial" w:cs="Arial" w:eastAsia="Arial" w:hAnsi="Arial"/>
                <w:sz w:val="18"/>
                <w:szCs w:val="18"/>
                <w:color w:val="auto"/>
              </w:rPr>
            </w:pPr>
            <w:hyperlink w:anchor="page9">
              <w:r>
                <w:rPr>
                  <w:rFonts w:ascii="Arial" w:cs="Arial" w:eastAsia="Arial" w:hAnsi="Arial"/>
                  <w:sz w:val="18"/>
                  <w:szCs w:val="18"/>
                  <w:color w:val="auto"/>
                </w:rPr>
                <w:t>Condensed Consolidated Statements of Redeemable Convertible Preferred Stock and Stockholders’ Equity (Deficit)</w:t>
              </w:r>
            </w:hyperlink>
          </w:p>
        </w:tc>
        <w:tc>
          <w:tcPr>
            <w:tcW w:w="158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r>
      <w:tr>
        <w:trPr>
          <w:trHeight w:val="229"/>
        </w:trPr>
        <w:tc>
          <w:tcPr>
            <w:tcW w:w="9660" w:type="dxa"/>
            <w:vAlign w:val="bottom"/>
          </w:tcPr>
          <w:p>
            <w:pPr>
              <w:ind w:left="80"/>
              <w:spacing w:after="0"/>
              <w:rPr>
                <w:rFonts w:ascii="Arial" w:cs="Arial" w:eastAsia="Arial" w:hAnsi="Arial"/>
                <w:sz w:val="18"/>
                <w:szCs w:val="18"/>
                <w:color w:val="auto"/>
              </w:rPr>
            </w:pPr>
            <w:hyperlink w:anchor="page10">
              <w:r>
                <w:rPr>
                  <w:rFonts w:ascii="Arial" w:cs="Arial" w:eastAsia="Arial" w:hAnsi="Arial"/>
                  <w:sz w:val="18"/>
                  <w:szCs w:val="18"/>
                  <w:color w:val="auto"/>
                </w:rPr>
                <w:t>Condensed Consolidated Statements of Cash Flows</w:t>
              </w:r>
            </w:hyperlink>
          </w:p>
        </w:tc>
        <w:tc>
          <w:tcPr>
            <w:tcW w:w="158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9</w:t>
              </w:r>
            </w:hyperlink>
          </w:p>
        </w:tc>
      </w:tr>
      <w:tr>
        <w:trPr>
          <w:trHeight w:val="230"/>
        </w:trPr>
        <w:tc>
          <w:tcPr>
            <w:tcW w:w="9660" w:type="dxa"/>
            <w:vAlign w:val="bottom"/>
          </w:tcPr>
          <w:p>
            <w:pPr>
              <w:ind w:left="80"/>
              <w:spacing w:after="0"/>
              <w:rPr>
                <w:rFonts w:ascii="Arial" w:cs="Arial" w:eastAsia="Arial" w:hAnsi="Arial"/>
                <w:sz w:val="18"/>
                <w:szCs w:val="18"/>
                <w:color w:val="auto"/>
              </w:rPr>
            </w:pPr>
            <w:hyperlink w:anchor="page11">
              <w:r>
                <w:rPr>
                  <w:rFonts w:ascii="Arial" w:cs="Arial" w:eastAsia="Arial" w:hAnsi="Arial"/>
                  <w:sz w:val="18"/>
                  <w:szCs w:val="18"/>
                  <w:color w:val="auto"/>
                </w:rPr>
                <w:t>Notes to the Condensed Consolidated Financial Statements</w:t>
              </w:r>
            </w:hyperlink>
          </w:p>
        </w:tc>
        <w:tc>
          <w:tcPr>
            <w:tcW w:w="15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10</w:t>
              </w:r>
            </w:hyperlink>
          </w:p>
        </w:tc>
      </w:tr>
      <w:tr>
        <w:trPr>
          <w:trHeight w:val="229"/>
        </w:trPr>
        <w:tc>
          <w:tcPr>
            <w:tcW w:w="9660" w:type="dxa"/>
            <w:vAlign w:val="bottom"/>
          </w:tcPr>
          <w:p>
            <w:pPr>
              <w:ind w:left="20"/>
              <w:spacing w:after="0"/>
              <w:rPr>
                <w:rFonts w:ascii="Arial" w:cs="Arial" w:eastAsia="Arial" w:hAnsi="Arial"/>
                <w:sz w:val="18"/>
                <w:szCs w:val="18"/>
                <w:color w:val="auto"/>
              </w:rPr>
            </w:pPr>
            <w:hyperlink w:anchor="page21">
              <w:r>
                <w:rPr>
                  <w:rFonts w:ascii="Arial" w:cs="Arial" w:eastAsia="Arial" w:hAnsi="Arial"/>
                  <w:sz w:val="18"/>
                  <w:szCs w:val="18"/>
                  <w:color w:val="auto"/>
                </w:rPr>
                <w:t>Item 2. Management’s Discussion and Analysis of Financial Condition and Results of Operations</w:t>
              </w:r>
            </w:hyperlink>
          </w:p>
        </w:tc>
        <w:tc>
          <w:tcPr>
            <w:tcW w:w="158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29"/>
        </w:trPr>
        <w:tc>
          <w:tcPr>
            <w:tcW w:w="9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Item 3. Quantitative and Qualitative Disclosures About Market Risk</w:t>
              </w:r>
            </w:hyperlink>
          </w:p>
        </w:tc>
        <w:tc>
          <w:tcPr>
            <w:tcW w:w="15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30"/>
        </w:trPr>
        <w:tc>
          <w:tcPr>
            <w:tcW w:w="9660" w:type="dxa"/>
            <w:vAlign w:val="bottom"/>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Item 4. Controls and Procedures</w:t>
              </w:r>
            </w:hyperlink>
          </w:p>
        </w:tc>
        <w:tc>
          <w:tcPr>
            <w:tcW w:w="15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29"/>
        </w:trPr>
        <w:tc>
          <w:tcPr>
            <w:tcW w:w="9660" w:type="dxa"/>
            <w:vAlign w:val="bottom"/>
          </w:tcPr>
          <w:p>
            <w:pPr>
              <w:ind w:left="4400"/>
              <w:spacing w:after="0"/>
              <w:rPr>
                <w:rFonts w:ascii="Arial" w:cs="Arial" w:eastAsia="Arial" w:hAnsi="Arial"/>
                <w:sz w:val="18"/>
                <w:szCs w:val="18"/>
                <w:color w:val="auto"/>
              </w:rPr>
            </w:pPr>
            <w:hyperlink w:anchor="page33">
              <w:r>
                <w:rPr>
                  <w:rFonts w:ascii="Arial" w:cs="Arial" w:eastAsia="Arial" w:hAnsi="Arial"/>
                  <w:sz w:val="18"/>
                  <w:szCs w:val="18"/>
                  <w:color w:val="auto"/>
                </w:rPr>
                <w:t xml:space="preserve">Part II </w:t>
              </w:r>
            </w:hyperlink>
            <w:r>
              <w:rPr>
                <w:rFonts w:ascii="Arial" w:cs="Arial" w:eastAsia="Arial" w:hAnsi="Arial"/>
                <w:sz w:val="18"/>
                <w:szCs w:val="18"/>
                <w:color w:val="auto"/>
              </w:rPr>
              <w:t>- Other Information</w:t>
            </w:r>
          </w:p>
        </w:tc>
        <w:tc>
          <w:tcPr>
            <w:tcW w:w="1580" w:type="dxa"/>
            <w:vAlign w:val="bottom"/>
          </w:tcPr>
          <w:p>
            <w:pPr>
              <w:spacing w:after="0"/>
              <w:rPr>
                <w:sz w:val="19"/>
                <w:szCs w:val="19"/>
                <w:color w:val="auto"/>
              </w:rPr>
            </w:pPr>
          </w:p>
        </w:tc>
      </w:tr>
      <w:tr>
        <w:trPr>
          <w:trHeight w:val="229"/>
        </w:trPr>
        <w:tc>
          <w:tcPr>
            <w:tcW w:w="966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1. Legal Proceedings</w:t>
              </w:r>
            </w:hyperlink>
          </w:p>
        </w:tc>
        <w:tc>
          <w:tcPr>
            <w:tcW w:w="15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32</w:t>
              </w:r>
            </w:hyperlink>
          </w:p>
        </w:tc>
      </w:tr>
      <w:tr>
        <w:trPr>
          <w:trHeight w:val="230"/>
        </w:trPr>
        <w:tc>
          <w:tcPr>
            <w:tcW w:w="9660" w:type="dxa"/>
            <w:vAlign w:val="bottom"/>
          </w:tcPr>
          <w:p>
            <w:pPr>
              <w:ind w:left="20"/>
              <w:spacing w:after="0"/>
              <w:rPr>
                <w:rFonts w:ascii="Arial" w:cs="Arial" w:eastAsia="Arial" w:hAnsi="Arial"/>
                <w:sz w:val="18"/>
                <w:szCs w:val="18"/>
                <w:color w:val="auto"/>
              </w:rPr>
            </w:pPr>
            <w:hyperlink w:anchor="page34">
              <w:r>
                <w:rPr>
                  <w:rFonts w:ascii="Arial" w:cs="Arial" w:eastAsia="Arial" w:hAnsi="Arial"/>
                  <w:sz w:val="18"/>
                  <w:szCs w:val="18"/>
                  <w:color w:val="auto"/>
                </w:rPr>
                <w:t>Item 1A. Risk Factors</w:t>
              </w:r>
            </w:hyperlink>
          </w:p>
        </w:tc>
        <w:tc>
          <w:tcPr>
            <w:tcW w:w="158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33</w:t>
              </w:r>
            </w:hyperlink>
          </w:p>
        </w:tc>
      </w:tr>
      <w:tr>
        <w:trPr>
          <w:trHeight w:val="229"/>
        </w:trPr>
        <w:tc>
          <w:tcPr>
            <w:tcW w:w="9660" w:type="dxa"/>
            <w:vAlign w:val="bottom"/>
          </w:tcPr>
          <w:p>
            <w:pPr>
              <w:ind w:left="20"/>
              <w:spacing w:after="0"/>
              <w:rPr>
                <w:rFonts w:ascii="Arial" w:cs="Arial" w:eastAsia="Arial" w:hAnsi="Arial"/>
                <w:sz w:val="18"/>
                <w:szCs w:val="18"/>
                <w:color w:val="auto"/>
              </w:rPr>
            </w:pPr>
            <w:hyperlink w:anchor="page65">
              <w:r>
                <w:rPr>
                  <w:rFonts w:ascii="Arial" w:cs="Arial" w:eastAsia="Arial" w:hAnsi="Arial"/>
                  <w:sz w:val="18"/>
                  <w:szCs w:val="18"/>
                  <w:color w:val="auto"/>
                </w:rPr>
                <w:t xml:space="preserve">Item 2. </w:t>
              </w:r>
            </w:hyperlink>
            <w:r>
              <w:rPr>
                <w:rFonts w:ascii="Arial" w:cs="Arial" w:eastAsia="Arial" w:hAnsi="Arial"/>
                <w:sz w:val="18"/>
                <w:szCs w:val="18"/>
                <w:color w:val="auto"/>
              </w:rPr>
              <w:t>Unregistered Sales of Equity Securities and Use of Proceeds</w:t>
            </w:r>
          </w:p>
        </w:tc>
        <w:tc>
          <w:tcPr>
            <w:tcW w:w="15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230"/>
        </w:trPr>
        <w:tc>
          <w:tcPr>
            <w:tcW w:w="9660" w:type="dxa"/>
            <w:vAlign w:val="bottom"/>
          </w:tcPr>
          <w:p>
            <w:pPr>
              <w:ind w:left="20"/>
              <w:spacing w:after="0"/>
              <w:rPr>
                <w:rFonts w:ascii="Arial" w:cs="Arial" w:eastAsia="Arial" w:hAnsi="Arial"/>
                <w:sz w:val="18"/>
                <w:szCs w:val="18"/>
                <w:color w:val="auto"/>
              </w:rPr>
            </w:pPr>
            <w:hyperlink w:anchor="page65">
              <w:r>
                <w:rPr>
                  <w:rFonts w:ascii="Arial" w:cs="Arial" w:eastAsia="Arial" w:hAnsi="Arial"/>
                  <w:sz w:val="18"/>
                  <w:szCs w:val="18"/>
                  <w:color w:val="auto"/>
                </w:rPr>
                <w:t>Item 3. Defaults Upon Senior Securities</w:t>
              </w:r>
            </w:hyperlink>
          </w:p>
        </w:tc>
        <w:tc>
          <w:tcPr>
            <w:tcW w:w="15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229"/>
        </w:trPr>
        <w:tc>
          <w:tcPr>
            <w:tcW w:w="9660" w:type="dxa"/>
            <w:vAlign w:val="bottom"/>
          </w:tcPr>
          <w:p>
            <w:pPr>
              <w:ind w:left="20"/>
              <w:spacing w:after="0"/>
              <w:rPr>
                <w:rFonts w:ascii="Arial" w:cs="Arial" w:eastAsia="Arial" w:hAnsi="Arial"/>
                <w:sz w:val="18"/>
                <w:szCs w:val="18"/>
                <w:color w:val="auto"/>
              </w:rPr>
            </w:pPr>
            <w:hyperlink w:anchor="page65">
              <w:r>
                <w:rPr>
                  <w:rFonts w:ascii="Arial" w:cs="Arial" w:eastAsia="Arial" w:hAnsi="Arial"/>
                  <w:sz w:val="18"/>
                  <w:szCs w:val="18"/>
                  <w:color w:val="auto"/>
                </w:rPr>
                <w:t>Item 4. Mine Safety Disclosures</w:t>
              </w:r>
            </w:hyperlink>
          </w:p>
        </w:tc>
        <w:tc>
          <w:tcPr>
            <w:tcW w:w="15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229"/>
        </w:trPr>
        <w:tc>
          <w:tcPr>
            <w:tcW w:w="9660" w:type="dxa"/>
            <w:vAlign w:val="bottom"/>
          </w:tcPr>
          <w:p>
            <w:pPr>
              <w:ind w:left="20"/>
              <w:spacing w:after="0"/>
              <w:rPr>
                <w:rFonts w:ascii="Arial" w:cs="Arial" w:eastAsia="Arial" w:hAnsi="Arial"/>
                <w:sz w:val="18"/>
                <w:szCs w:val="18"/>
                <w:color w:val="auto"/>
              </w:rPr>
            </w:pPr>
            <w:hyperlink w:anchor="page65">
              <w:r>
                <w:rPr>
                  <w:rFonts w:ascii="Arial" w:cs="Arial" w:eastAsia="Arial" w:hAnsi="Arial"/>
                  <w:sz w:val="18"/>
                  <w:szCs w:val="18"/>
                  <w:color w:val="auto"/>
                </w:rPr>
                <w:t>Item 5. Other Information</w:t>
              </w:r>
            </w:hyperlink>
          </w:p>
        </w:tc>
        <w:tc>
          <w:tcPr>
            <w:tcW w:w="15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230"/>
        </w:trPr>
        <w:tc>
          <w:tcPr>
            <w:tcW w:w="9660" w:type="dxa"/>
            <w:vAlign w:val="bottom"/>
          </w:tcPr>
          <w:p>
            <w:pPr>
              <w:ind w:left="20"/>
              <w:spacing w:after="0"/>
              <w:rPr>
                <w:rFonts w:ascii="Arial" w:cs="Arial" w:eastAsia="Arial" w:hAnsi="Arial"/>
                <w:sz w:val="18"/>
                <w:szCs w:val="18"/>
                <w:color w:val="auto"/>
              </w:rPr>
            </w:pPr>
            <w:hyperlink w:anchor="page66">
              <w:r>
                <w:rPr>
                  <w:rFonts w:ascii="Arial" w:cs="Arial" w:eastAsia="Arial" w:hAnsi="Arial"/>
                  <w:sz w:val="18"/>
                  <w:szCs w:val="18"/>
                  <w:color w:val="auto"/>
                </w:rPr>
                <w:t>Item 6. Exhibits</w:t>
              </w:r>
            </w:hyperlink>
          </w:p>
        </w:tc>
        <w:tc>
          <w:tcPr>
            <w:tcW w:w="15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r>
      <w:tr>
        <w:trPr>
          <w:trHeight w:val="230"/>
        </w:trPr>
        <w:tc>
          <w:tcPr>
            <w:tcW w:w="9660" w:type="dxa"/>
            <w:vAlign w:val="bottom"/>
          </w:tcPr>
          <w:p>
            <w:pPr>
              <w:ind w:left="20"/>
              <w:spacing w:after="0"/>
              <w:rPr>
                <w:rFonts w:ascii="Arial" w:cs="Arial" w:eastAsia="Arial" w:hAnsi="Arial"/>
                <w:sz w:val="18"/>
                <w:szCs w:val="18"/>
                <w:color w:val="auto"/>
              </w:rPr>
            </w:pPr>
            <w:hyperlink w:anchor="page67">
              <w:r>
                <w:rPr>
                  <w:rFonts w:ascii="Arial" w:cs="Arial" w:eastAsia="Arial" w:hAnsi="Arial"/>
                  <w:sz w:val="18"/>
                  <w:szCs w:val="18"/>
                  <w:color w:val="auto"/>
                </w:rPr>
                <w:t>Signatures</w:t>
              </w:r>
            </w:hyperlink>
          </w:p>
        </w:tc>
        <w:tc>
          <w:tcPr>
            <w:tcW w:w="158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66</w:t>
              </w:r>
            </w:hyperlink>
          </w:p>
        </w:tc>
      </w:tr>
      <w:tr>
        <w:trPr>
          <w:trHeight w:val="918"/>
        </w:trPr>
        <w:tc>
          <w:tcPr>
            <w:tcW w:w="9660" w:type="dxa"/>
            <w:vAlign w:val="bottom"/>
          </w:tcPr>
          <w:p>
            <w:pPr>
              <w:ind w:left="5740"/>
              <w:spacing w:after="0"/>
              <w:rPr>
                <w:sz w:val="20"/>
                <w:szCs w:val="20"/>
                <w:color w:val="auto"/>
              </w:rPr>
            </w:pPr>
            <w:r>
              <w:rPr>
                <w:rFonts w:ascii="Arial" w:cs="Arial" w:eastAsia="Arial" w:hAnsi="Arial"/>
                <w:sz w:val="18"/>
                <w:szCs w:val="18"/>
                <w:color w:val="auto"/>
              </w:rPr>
              <w:t>1</w:t>
            </w:r>
          </w:p>
        </w:tc>
        <w:tc>
          <w:tcPr>
            <w:tcW w:w="1580" w:type="dxa"/>
            <w:vAlign w:val="bottom"/>
          </w:tcPr>
          <w:p>
            <w:pPr>
              <w:spacing w:after="0"/>
              <w:rPr>
                <w:sz w:val="24"/>
                <w:szCs w:val="24"/>
                <w:color w:val="auto"/>
              </w:rPr>
            </w:pPr>
          </w:p>
        </w:tc>
      </w:tr>
      <w:tr>
        <w:trPr>
          <w:trHeight w:val="263"/>
        </w:trPr>
        <w:tc>
          <w:tcPr>
            <w:tcW w:w="9660" w:type="dxa"/>
            <w:vAlign w:val="bottom"/>
            <w:tcBorders>
              <w:bottom w:val="single" w:sz="8" w:color="9A9A9A"/>
            </w:tcBorders>
          </w:tcPr>
          <w:p>
            <w:pPr>
              <w:spacing w:after="0"/>
              <w:rPr>
                <w:sz w:val="22"/>
                <w:szCs w:val="22"/>
                <w:color w:val="auto"/>
              </w:rPr>
            </w:pPr>
          </w:p>
        </w:tc>
        <w:tc>
          <w:tcPr>
            <w:tcW w:w="158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ind w:left="29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Quarterly Report on Form 10-Q (“</w:t>
      </w:r>
      <w:r>
        <w:rPr>
          <w:rFonts w:ascii="Arial" w:cs="Arial" w:eastAsia="Arial" w:hAnsi="Arial"/>
          <w:sz w:val="16"/>
          <w:szCs w:val="16"/>
          <w:i w:val="1"/>
          <w:iCs w:val="1"/>
          <w:color w:val="auto"/>
        </w:rPr>
        <w:t>Quarterly Report</w:t>
      </w:r>
      <w:r>
        <w:rPr>
          <w:rFonts w:ascii="Arial" w:cs="Arial" w:eastAsia="Arial" w:hAnsi="Arial"/>
          <w:sz w:val="16"/>
          <w:szCs w:val="16"/>
          <w:color w:val="auto"/>
        </w:rPr>
        <w: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“projects,” “plans,” “targets,” and variations of such words and similar expressions are intended to identify forward-looking statements. Forward-looking statements in this Quarterly Report may include, for example, statements about:</w:t>
      </w:r>
    </w:p>
    <w:p>
      <w:pPr>
        <w:spacing w:after="0" w:line="197"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growth, including our ability to scale new neighbor growth, our ability to grow engagement by our existing neighbor base and our ability to increase monetization of our platform;</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monetization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expand our business operations abroad by opening new and expanding within existing neighborhoods outside of the United States;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general economic conditions;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profitability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sources of capital to finance operations and growth;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strategic relationships with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Class A common stock on the New York Stock Exchange;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 both within and outside of the United States;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regulatory environment and complexities with compliance related to such environment;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current conflict in Ukraine), other physical security threats, cyber-attacks, or other catastrophic events;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26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other factors detailed in Part II, Item 1A, “Risk Factors” in this Quarterly Report.</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spacing w:after="0" w:line="2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spacing w:after="0" w:line="15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used in this Quarterly Report, the terms “Nextdoor,” “we,” “us,”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pacing w:after="0" w:line="200" w:lineRule="exact"/>
        <w:rPr>
          <w:sz w:val="20"/>
          <w:szCs w:val="20"/>
          <w:color w:val="auto"/>
        </w:r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spacing w:after="0" w:line="116" w:lineRule="exact"/>
        <w:rPr>
          <w:sz w:val="20"/>
          <w:szCs w:val="20"/>
          <w:color w:val="auto"/>
        </w:rPr>
      </w:pPr>
    </w:p>
    <w:p>
      <w:pPr>
        <w:ind w:left="660" w:hanging="328"/>
        <w:spacing w:after="0" w:line="307"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50" w:lineRule="exact"/>
        <w:rPr>
          <w:rFonts w:ascii="Arial" w:cs="Arial" w:eastAsia="Arial" w:hAnsi="Arial"/>
          <w:sz w:val="16"/>
          <w:szCs w:val="16"/>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competitive. Competition presents an ongoing threat to the success of our business.</w:t>
      </w:r>
    </w:p>
    <w:p>
      <w:pPr>
        <w:spacing w:after="0" w:line="225" w:lineRule="exact"/>
        <w:rPr>
          <w:rFonts w:ascii="Arial" w:cs="Arial" w:eastAsia="Arial" w:hAnsi="Arial"/>
          <w:sz w:val="18"/>
          <w:szCs w:val="18"/>
          <w:color w:val="auto"/>
        </w:rPr>
      </w:pPr>
    </w:p>
    <w:p>
      <w:pPr>
        <w:jc w:val="both"/>
        <w:ind w:left="660" w:right="2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01" w:lineRule="exact"/>
        <w:rPr>
          <w:rFonts w:ascii="Arial" w:cs="Arial" w:eastAsia="Arial" w:hAnsi="Arial"/>
          <w:sz w:val="18"/>
          <w:szCs w:val="18"/>
          <w:color w:val="auto"/>
        </w:rPr>
      </w:pPr>
    </w:p>
    <w:p>
      <w:pPr>
        <w:ind w:left="660" w:hanging="328"/>
        <w:spacing w:after="0" w:line="307"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150" w:lineRule="exact"/>
        <w:rPr>
          <w:rFonts w:ascii="Arial" w:cs="Arial" w:eastAsia="Arial" w:hAnsi="Arial"/>
          <w:sz w:val="16"/>
          <w:szCs w:val="16"/>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96"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epidemics, including the COVID-19 pandemic, have had or could have an adverse impact on our business, operations, and the markets and communities in which we, our partners and our customers operate. In addition, during the COVID-19 pandemic, we experienced an increase in neighbor growth and engagement and there is no guarantee that we will be able to maintain our neighbor growth and engagement as the COVID-19 pandemic subsides.</w:t>
      </w:r>
    </w:p>
    <w:p>
      <w:pPr>
        <w:spacing w:after="0" w:line="202"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need additional capital in the future, it may not be available on favorable terms, if at all.</w:t>
      </w:r>
    </w:p>
    <w:p>
      <w:pPr>
        <w:spacing w:after="0" w:line="225"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201"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dependent on third-party software and service providers, including the Google Ad Manager (“</w:t>
      </w:r>
      <w:r>
        <w:rPr>
          <w:rFonts w:ascii="Arial" w:cs="Arial" w:eastAsia="Arial" w:hAnsi="Arial"/>
          <w:sz w:val="18"/>
          <w:szCs w:val="18"/>
          <w:i w:val="1"/>
          <w:iCs w:val="1"/>
          <w:color w:val="auto"/>
        </w:rPr>
        <w:t>GAM</w:t>
      </w:r>
      <w:r>
        <w:rPr>
          <w:rFonts w:ascii="Arial" w:cs="Arial" w:eastAsia="Arial" w:hAnsi="Arial"/>
          <w:sz w:val="18"/>
          <w:szCs w:val="18"/>
          <w:color w:val="auto"/>
        </w:rPr>
        <w:t>”) platform, for management and delivery of advertisements on the Nextdoor platform. Any failure or interruption experienced by such third-parties, including as a result of the COVID-19 pandemic, could result in the inability of certain businesses to advertise on our platform, and adversely impact our business, operating results, and financial condition.</w:t>
      </w:r>
    </w:p>
    <w:p>
      <w:pPr>
        <w:spacing w:after="0" w:line="202" w:lineRule="exact"/>
        <w:rPr>
          <w:rFonts w:ascii="Arial" w:cs="Arial" w:eastAsia="Arial" w:hAnsi="Arial"/>
          <w:sz w:val="18"/>
          <w:szCs w:val="18"/>
          <w:color w:val="auto"/>
        </w:rPr>
      </w:pPr>
    </w:p>
    <w:p>
      <w:pPr>
        <w:jc w:val="both"/>
        <w:ind w:left="660" w:hanging="328"/>
        <w:spacing w:after="0" w:line="23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third-party software and service providers, including Amazon Web Services (“</w:t>
      </w:r>
      <w:r>
        <w:rPr>
          <w:rFonts w:ascii="Arial" w:cs="Arial" w:eastAsia="Arial" w:hAnsi="Arial"/>
          <w:sz w:val="18"/>
          <w:szCs w:val="18"/>
          <w:i w:val="1"/>
          <w:iCs w:val="1"/>
          <w:color w:val="auto"/>
        </w:rPr>
        <w:t>AWS</w:t>
      </w:r>
      <w:r>
        <w:rPr>
          <w:rFonts w:ascii="Arial" w:cs="Arial" w:eastAsia="Arial" w:hAnsi="Arial"/>
          <w:sz w:val="18"/>
          <w:szCs w:val="18"/>
          <w:color w:val="auto"/>
        </w:rPr>
        <w:t>”), to provide systems, storage and services for our platform. Any failure or interruption experienced by such third parties, including as a result of the COVID-19 pandemic, could result in the inability of neighbors and advertisers to access or utilize our platform, and adversely impact our business, operating results, and financial condition.</w:t>
      </w:r>
    </w:p>
    <w:p>
      <w:pPr>
        <w:spacing w:after="0" w:line="202"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Technologies have been developed that can block the display of advertisements on the Nextdoor platform, which could adversely impact our business, operating results, and financial condition.</w:t>
      </w:r>
    </w:p>
    <w:p>
      <w:pPr>
        <w:spacing w:after="0" w:line="196"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breaches, including improper access to or disclosure of our data or our neighbors’ data, or other hacking and phishing attacks on our third-party system, could harm our reputation and adversely affect our business.</w:t>
      </w:r>
    </w:p>
    <w:p>
      <w:pPr>
        <w:spacing w:after="0" w:line="196" w:lineRule="exact"/>
        <w:rPr>
          <w:rFonts w:ascii="Arial" w:cs="Arial" w:eastAsia="Arial" w:hAnsi="Arial"/>
          <w:sz w:val="18"/>
          <w:szCs w:val="18"/>
          <w:color w:val="auto"/>
        </w:rPr>
      </w:pPr>
    </w:p>
    <w:p>
      <w:pPr>
        <w:jc w:val="both"/>
        <w:ind w:left="660" w:hanging="328"/>
        <w:spacing w:after="0" w:line="24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ind w:left="328" w:hanging="328"/>
        <w:spacing w:after="0" w:line="24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market opportunities and key metric estimates could prove to be inaccurate, and any real or perceived inaccuracies may harm our reputation and negatively affect our business.</w:t>
      </w:r>
    </w:p>
    <w:p>
      <w:pPr>
        <w:spacing w:after="0" w:line="196" w:lineRule="exact"/>
        <w:rPr>
          <w:rFonts w:ascii="Arial" w:cs="Arial" w:eastAsia="Arial" w:hAnsi="Arial"/>
          <w:sz w:val="18"/>
          <w:szCs w:val="18"/>
          <w:color w:val="auto"/>
        </w:rPr>
      </w:pPr>
    </w:p>
    <w:p>
      <w:pPr>
        <w:ind w:left="328" w:hanging="328"/>
        <w:spacing w:after="0" w:line="274"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net losses and may experience net losses in the future and we cannot assure you that we will achieve or sustain profitability. If we cannot achieve or sustain profitability, our business, financial condition and operating results will be adversely affected.</w:t>
      </w:r>
    </w:p>
    <w:p>
      <w:pPr>
        <w:spacing w:after="0" w:line="174" w:lineRule="exact"/>
        <w:rPr>
          <w:rFonts w:ascii="Arial" w:cs="Arial" w:eastAsia="Arial" w:hAnsi="Arial"/>
          <w:sz w:val="17"/>
          <w:szCs w:val="17"/>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have greater than anticipated tax liabilities, which could harm our business, revenue and financial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liable as a result of content or information that is published or made available on our platform.</w:t>
      </w:r>
    </w:p>
    <w:p>
      <w:pPr>
        <w:spacing w:after="0" w:line="225" w:lineRule="exact"/>
        <w:rPr>
          <w:rFonts w:ascii="Arial" w:cs="Arial" w:eastAsia="Arial" w:hAnsi="Arial"/>
          <w:sz w:val="18"/>
          <w:szCs w:val="18"/>
          <w:color w:val="auto"/>
        </w:rPr>
      </w:pPr>
    </w:p>
    <w:p>
      <w:pPr>
        <w:ind w:left="328" w:hanging="328"/>
        <w:spacing w:after="0" w:line="274"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74" w:lineRule="exact"/>
        <w:rPr>
          <w:rFonts w:ascii="Arial" w:cs="Arial" w:eastAsia="Arial" w:hAnsi="Arial"/>
          <w:sz w:val="17"/>
          <w:szCs w:val="17"/>
          <w:color w:val="auto"/>
        </w:rPr>
      </w:pPr>
    </w:p>
    <w:p>
      <w:pPr>
        <w:ind w:left="328" w:hanging="328"/>
        <w:spacing w:after="0" w:line="24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involved in legal disputes that are expensive and time consuming, and, if resolved adversely, could harm our business, operating results, and financial condition.</w:t>
      </w:r>
    </w:p>
    <w:p>
      <w:pPr>
        <w:spacing w:after="0" w:line="196"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maintain effective systems of internal controls and disclosure controls could have a material adverse effect on our business, operating results, and financial conditions.</w:t>
      </w:r>
    </w:p>
    <w:p>
      <w:pPr>
        <w:spacing w:after="0" w:line="196"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brands and other intangible assets may be diminished, and our business, operating results, and financial condition may be adversely affected.</w:t>
      </w:r>
    </w:p>
    <w:p>
      <w:pPr>
        <w:spacing w:after="0" w:line="196"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 parties may claim that our platform infringes their intellectual property rights and this may create liability for us or otherwise adversely affect our business, operating results, and financial condition.</w:t>
      </w:r>
    </w:p>
    <w:p>
      <w:pPr>
        <w:spacing w:after="0" w:line="196" w:lineRule="exact"/>
        <w:rPr>
          <w:rFonts w:ascii="Arial" w:cs="Arial" w:eastAsia="Arial" w:hAnsi="Arial"/>
          <w:sz w:val="18"/>
          <w:szCs w:val="18"/>
          <w:color w:val="auto"/>
        </w:rPr>
      </w:pPr>
    </w:p>
    <w:p>
      <w:pPr>
        <w:ind w:left="328" w:hanging="328"/>
        <w:spacing w:after="0" w:line="246"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“open source” software could subject us to possible litigation or could prevent us from offering products that include open source software or require us to obtain licenses on unfavorable terms.</w:t>
      </w:r>
    </w:p>
    <w:p>
      <w:pPr>
        <w:spacing w:after="0" w:line="19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license technology from third parties, and our inability to maintain those licenses could harm our business.</w:t>
      </w:r>
    </w:p>
    <w:p>
      <w:pPr>
        <w:spacing w:after="0" w:line="238"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Class A common stock has been, and may continue to be, volatile.</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may adversely affect the trading market for our Class A common stock.</w:t>
      </w:r>
    </w:p>
    <w:p>
      <w:pPr>
        <w:spacing w:after="0" w:line="171"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165100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87"/>
        </w:trPr>
        <w:tc>
          <w:tcPr>
            <w:tcW w:w="8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503,899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193,999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9"/>
              </w:rPr>
              <w:t>Accounts receivable, net of allowance of $312 and $425 as of March 31, 2022 and December 31, 2021, respectively</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29,673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16,259</w:t>
            </w: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761,743</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12,545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59,422</w:t>
            </w: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822,199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840,086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3,554</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6,163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Liability for unvested restricted stock</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4,765</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15,444</w:t>
            </w:r>
          </w:p>
        </w:tc>
        <w:tc>
          <w:tcPr>
            <w:tcW w:w="0" w:type="dxa"/>
            <w:vAlign w:val="bottom"/>
          </w:tcPr>
          <w:p>
            <w:pPr>
              <w:spacing w:after="0"/>
              <w:rPr>
                <w:sz w:val="1"/>
                <w:szCs w:val="1"/>
                <w:color w:val="auto"/>
              </w:rPr>
            </w:pPr>
          </w:p>
        </w:tc>
      </w:tr>
      <w:tr>
        <w:trPr>
          <w:trHeight w:val="206"/>
        </w:trPr>
        <w:tc>
          <w:tcPr>
            <w:tcW w:w="844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34,806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33,503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61,598</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94,533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95,101</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Commitments and contingencies (Note 9)</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4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1"/>
              </w:rPr>
              <w:t>Class A common stock, $0.0001 par value; 2,500,000 shares authorized, 79,007 and 78,954 shares issued and outstanding as</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 March 31, 2022 and December 31, 2021, respectively</w:t>
            </w: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40" w:type="dxa"/>
            <w:vAlign w:val="bottom"/>
          </w:tcPr>
          <w:p>
            <w:pPr>
              <w:ind w:left="240"/>
              <w:spacing w:after="0" w:line="166" w:lineRule="exact"/>
              <w:rPr>
                <w:sz w:val="20"/>
                <w:szCs w:val="20"/>
                <w:color w:val="auto"/>
              </w:rPr>
            </w:pPr>
            <w:r>
              <w:rPr>
                <w:rFonts w:ascii="Arial" w:cs="Arial" w:eastAsia="Arial" w:hAnsi="Arial"/>
                <w:sz w:val="16"/>
                <w:szCs w:val="16"/>
                <w:color w:val="auto"/>
                <w:w w:val="90"/>
              </w:rPr>
              <w:t>Class B common stock, $0.0001 par value; 500,000 shares authorized, 307,228 and 304,701 shares issued and outstanding as</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8440" w:type="dxa"/>
            <w:vAlign w:val="bottom"/>
          </w:tcPr>
          <w:p>
            <w:pPr>
              <w:ind w:left="400"/>
              <w:spacing w:after="0"/>
              <w:rPr>
                <w:sz w:val="20"/>
                <w:szCs w:val="20"/>
                <w:color w:val="auto"/>
              </w:rPr>
            </w:pPr>
            <w:r>
              <w:rPr>
                <w:rFonts w:ascii="Arial" w:cs="Arial" w:eastAsia="Arial" w:hAnsi="Arial"/>
                <w:sz w:val="16"/>
                <w:szCs w:val="16"/>
                <w:color w:val="auto"/>
              </w:rPr>
              <w:t>of March 31, 2022 and December 31, 2021, respectively</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1,242,955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1,225,815</w:t>
            </w:r>
          </w:p>
        </w:tc>
        <w:tc>
          <w:tcPr>
            <w:tcW w:w="0" w:type="dxa"/>
            <w:vAlign w:val="bottom"/>
          </w:tcPr>
          <w:p>
            <w:pPr>
              <w:spacing w:after="0"/>
              <w:rPr>
                <w:sz w:val="1"/>
                <w:szCs w:val="1"/>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(513,287)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(480,339)</w:t>
            </w:r>
          </w:p>
        </w:tc>
        <w:tc>
          <w:tcPr>
            <w:tcW w:w="0" w:type="dxa"/>
            <w:vAlign w:val="bottom"/>
          </w:tcPr>
          <w:p>
            <w:pPr>
              <w:spacing w:after="0"/>
              <w:rPr>
                <w:sz w:val="1"/>
                <w:szCs w:val="1"/>
                <w:color w:val="auto"/>
              </w:rPr>
            </w:pPr>
          </w:p>
        </w:tc>
      </w:tr>
      <w:tr>
        <w:trPr>
          <w:trHeight w:val="206"/>
        </w:trPr>
        <w:tc>
          <w:tcPr>
            <w:tcW w:w="844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727,666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744,985</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822,199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840,086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i w:val="1"/>
          <w:iCs w:val="1"/>
          <w:color w:val="auto"/>
        </w:rPr>
        <w:t>(in thousands, except per share data)</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(Unaudited)</w:t>
      </w:r>
    </w:p>
    <w:p>
      <w:pPr>
        <w:spacing w:after="0" w:line="171"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Three Months Ended</w:t>
      </w:r>
    </w:p>
    <w:p>
      <w:pPr>
        <w:jc w:val="center"/>
        <w:ind w:left="8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13335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28,960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59,380</w:t>
            </w:r>
          </w:p>
        </w:tc>
        <w:tc>
          <w:tcPr>
            <w:tcW w:w="0" w:type="dxa"/>
            <w:vAlign w:val="bottom"/>
          </w:tcPr>
          <w:p>
            <w:pPr>
              <w:spacing w:after="0"/>
              <w:rPr>
                <w:sz w:val="1"/>
                <w:szCs w:val="1"/>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40" w:type="dxa"/>
            <w:vAlign w:val="bottom"/>
          </w:tcPr>
          <w:p>
            <w:pPr>
              <w:ind w:left="20"/>
              <w:spacing w:after="0"/>
              <w:rPr>
                <w:sz w:val="20"/>
                <w:szCs w:val="20"/>
                <w:color w:val="auto"/>
              </w:rPr>
            </w:pPr>
            <w:r>
              <w:rPr>
                <w:rFonts w:ascii="Arial" w:cs="Arial" w:eastAsia="Arial" w:hAnsi="Arial"/>
                <w:sz w:val="18"/>
                <w:szCs w:val="18"/>
                <w:color w:val="auto"/>
              </w:rPr>
              <w:t>Net loss per share attributable to Class A and Class B common stockholders, basic and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in computing net loss per share attributable to Class A and Class B common</w:t>
            </w: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381,877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97,873</w:t>
            </w:r>
          </w:p>
        </w:tc>
        <w:tc>
          <w:tcPr>
            <w:tcW w:w="0" w:type="dxa"/>
            <w:vAlign w:val="bottom"/>
          </w:tcPr>
          <w:p>
            <w:pPr>
              <w:spacing w:after="0"/>
              <w:rPr>
                <w:sz w:val="1"/>
                <w:szCs w:val="1"/>
                <w:color w:val="auto"/>
              </w:rPr>
            </w:pPr>
          </w:p>
        </w:tc>
      </w:tr>
      <w:tr>
        <w:trPr>
          <w:trHeight w:val="223"/>
        </w:trPr>
        <w:tc>
          <w:tcPr>
            <w:tcW w:w="84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unrealized gain (loss) on available-for-sale marketable securities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8440" w:type="dxa"/>
            <w:vAlign w:val="bottom"/>
          </w:tcPr>
          <w:p>
            <w:pPr>
              <w:ind w:left="46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(25,047)</w:t>
            </w:r>
          </w:p>
        </w:tc>
      </w:tr>
      <w:tr>
        <w:trPr>
          <w:trHeight w:val="21"/>
        </w:trPr>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ind w:left="5020"/>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5"/>
              </w:rPr>
              <w:t>Three Months Ended March 31, 2022</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66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5"/>
                <w:szCs w:val="15"/>
                <w:color w:val="auto"/>
              </w:rPr>
            </w:pPr>
          </w:p>
        </w:tc>
        <w:tc>
          <w:tcPr>
            <w:tcW w:w="16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7"/>
              </w:rPr>
              <w:t>Class A Common Stock</w:t>
            </w:r>
          </w:p>
        </w:tc>
        <w:tc>
          <w:tcPr>
            <w:tcW w:w="16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8"/>
              </w:rPr>
              <w:t>Class B Common Stock</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Accumulated</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660" w:type="dxa"/>
            <w:vAlign w:val="bottom"/>
            <w:tcBorders>
              <w:right w:val="single" w:sz="8" w:color="auto"/>
            </w:tcBorders>
            <w:gridSpan w:val="5"/>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1"/>
                <w:szCs w:val="11"/>
                <w:color w:val="auto"/>
              </w:rPr>
            </w:pPr>
          </w:p>
        </w:tc>
        <w:tc>
          <w:tcPr>
            <w:tcW w:w="1600" w:type="dxa"/>
            <w:vAlign w:val="bottom"/>
            <w:gridSpan w:val="5"/>
            <w:vMerge w:val="continue"/>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320" w:type="dxa"/>
            <w:vAlign w:val="bottom"/>
          </w:tcPr>
          <w:p>
            <w:pPr>
              <w:spacing w:after="0"/>
              <w:rPr>
                <w:sz w:val="4"/>
                <w:szCs w:val="4"/>
                <w:color w:val="auto"/>
              </w:rPr>
            </w:pPr>
          </w:p>
        </w:tc>
        <w:tc>
          <w:tcPr>
            <w:tcW w:w="940" w:type="dxa"/>
            <w:vAlign w:val="bottom"/>
            <w:gridSpan w:val="3"/>
            <w:vMerge w:val="restart"/>
          </w:tcPr>
          <w:p>
            <w:pPr>
              <w:ind w:left="20"/>
              <w:spacing w:after="0" w:line="122"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4"/>
                <w:szCs w:val="4"/>
                <w:color w:val="auto"/>
              </w:rPr>
            </w:pPr>
          </w:p>
        </w:tc>
        <w:tc>
          <w:tcPr>
            <w:tcW w:w="740" w:type="dxa"/>
            <w:vAlign w:val="bottom"/>
            <w:vMerge w:val="restart"/>
          </w:tcPr>
          <w:p>
            <w:pPr>
              <w:jc w:val="center"/>
              <w:ind w:right="88"/>
              <w:spacing w:after="0" w:line="122"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48"/>
        </w:trPr>
        <w:tc>
          <w:tcPr>
            <w:tcW w:w="224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20" w:type="dxa"/>
            <w:vAlign w:val="bottom"/>
          </w:tcPr>
          <w:p>
            <w:pPr>
              <w:spacing w:after="0"/>
              <w:rPr>
                <w:sz w:val="4"/>
                <w:szCs w:val="4"/>
                <w:color w:val="auto"/>
              </w:rPr>
            </w:pPr>
          </w:p>
        </w:tc>
        <w:tc>
          <w:tcPr>
            <w:tcW w:w="74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4"/>
                <w:szCs w:val="4"/>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00" w:type="dxa"/>
            <w:vAlign w:val="bottom"/>
          </w:tcPr>
          <w:p>
            <w:pPr>
              <w:spacing w:after="0"/>
              <w:rPr>
                <w:sz w:val="4"/>
                <w:szCs w:val="4"/>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December 31, 2021</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78,954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304,701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1,225,815</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(480,339)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744,985</w:t>
            </w:r>
          </w:p>
        </w:tc>
        <w:tc>
          <w:tcPr>
            <w:tcW w:w="0" w:type="dxa"/>
            <w:vAlign w:val="bottom"/>
          </w:tcPr>
          <w:p>
            <w:pPr>
              <w:spacing w:after="0"/>
              <w:rPr>
                <w:sz w:val="1"/>
                <w:szCs w:val="1"/>
                <w:color w:val="auto"/>
              </w:rPr>
            </w:pPr>
          </w:p>
        </w:tc>
      </w:tr>
      <w:tr>
        <w:trPr>
          <w:trHeight w:val="186"/>
        </w:trPr>
        <w:tc>
          <w:tcPr>
            <w:tcW w:w="2240" w:type="dxa"/>
            <w:vAlign w:val="bottom"/>
          </w:tcPr>
          <w:p>
            <w:pPr>
              <w:ind w:left="240"/>
              <w:spacing w:after="0"/>
              <w:rPr>
                <w:sz w:val="20"/>
                <w:szCs w:val="20"/>
                <w:color w:val="auto"/>
              </w:rPr>
            </w:pPr>
            <w:r>
              <w:rPr>
                <w:rFonts w:ascii="Arial" w:cs="Arial" w:eastAsia="Arial" w:hAnsi="Arial"/>
                <w:sz w:val="14"/>
                <w:szCs w:val="14"/>
                <w:color w:val="auto"/>
                <w:w w:val="99"/>
              </w:rPr>
              <w:t>Release of restricted stock units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Tax withholdings on release of</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restricted stock units</w:t>
            </w: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40"/>
              <w:spacing w:after="0" w:line="135" w:lineRule="exact"/>
              <w:rPr>
                <w:sz w:val="20"/>
                <w:szCs w:val="20"/>
                <w:color w:val="auto"/>
              </w:rPr>
            </w:pPr>
            <w:r>
              <w:rPr>
                <w:rFonts w:ascii="Arial" w:cs="Arial" w:eastAsia="Arial" w:hAnsi="Arial"/>
                <w:sz w:val="14"/>
                <w:szCs w:val="14"/>
                <w:color w:val="auto"/>
                <w:w w:val="98"/>
              </w:rPr>
              <w:t>Issuance of common stock upon</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400"/>
              <w:spacing w:after="0" w:line="135" w:lineRule="exact"/>
              <w:rPr>
                <w:sz w:val="20"/>
                <w:szCs w:val="20"/>
                <w:color w:val="auto"/>
              </w:rPr>
            </w:pPr>
            <w:r>
              <w:rPr>
                <w:rFonts w:ascii="Arial" w:cs="Arial" w:eastAsia="Arial" w:hAnsi="Arial"/>
                <w:sz w:val="14"/>
                <w:szCs w:val="14"/>
                <w:color w:val="auto"/>
              </w:rPr>
              <w:t>exercise of stock options, net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400"/>
              <w:spacing w:after="0" w:line="135" w:lineRule="exact"/>
              <w:rPr>
                <w:sz w:val="20"/>
                <w:szCs w:val="20"/>
                <w:color w:val="auto"/>
              </w:rPr>
            </w:pPr>
            <w:r>
              <w:rPr>
                <w:rFonts w:ascii="Arial" w:cs="Arial" w:eastAsia="Arial" w:hAnsi="Arial"/>
                <w:sz w:val="14"/>
                <w:szCs w:val="14"/>
                <w:color w:val="auto"/>
              </w:rPr>
              <w:t>of repurchases of unvested</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2,259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186"/>
        </w:trPr>
        <w:tc>
          <w:tcPr>
            <w:tcW w:w="2240" w:type="dxa"/>
            <w:vAlign w:val="bottom"/>
          </w:tcPr>
          <w:p>
            <w:pPr>
              <w:ind w:left="400"/>
              <w:spacing w:after="0"/>
              <w:rPr>
                <w:sz w:val="20"/>
                <w:szCs w:val="20"/>
                <w:color w:val="auto"/>
              </w:rPr>
            </w:pPr>
            <w:r>
              <w:rPr>
                <w:rFonts w:ascii="Arial" w:cs="Arial" w:eastAsia="Arial" w:hAnsi="Arial"/>
                <w:sz w:val="14"/>
                <w:szCs w:val="14"/>
                <w:color w:val="auto"/>
              </w:rPr>
              <w:t>common stock</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Issuance of common stock in</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connection with acquisition</w:t>
            </w: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40"/>
              <w:spacing w:after="0" w:line="135" w:lineRule="exact"/>
              <w:rPr>
                <w:sz w:val="20"/>
                <w:szCs w:val="20"/>
                <w:color w:val="auto"/>
              </w:rPr>
            </w:pPr>
            <w:r>
              <w:rPr>
                <w:rFonts w:ascii="Arial" w:cs="Arial" w:eastAsia="Arial" w:hAnsi="Arial"/>
                <w:sz w:val="14"/>
                <w:szCs w:val="14"/>
                <w:color w:val="auto"/>
              </w:rPr>
              <w:t>Vesting of early exercised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6"/>
        </w:trPr>
        <w:tc>
          <w:tcPr>
            <w:tcW w:w="2240" w:type="dxa"/>
            <w:vAlign w:val="bottom"/>
          </w:tcPr>
          <w:p>
            <w:pPr>
              <w:ind w:left="400"/>
              <w:spacing w:after="0"/>
              <w:rPr>
                <w:sz w:val="20"/>
                <w:szCs w:val="20"/>
                <w:color w:val="auto"/>
              </w:rPr>
            </w:pPr>
            <w:r>
              <w:rPr>
                <w:rFonts w:ascii="Arial" w:cs="Arial" w:eastAsia="Arial" w:hAnsi="Arial"/>
                <w:sz w:val="14"/>
                <w:szCs w:val="14"/>
                <w:color w:val="auto"/>
              </w:rPr>
              <w:t>options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restricted stock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186"/>
        </w:trPr>
        <w:tc>
          <w:tcPr>
            <w:tcW w:w="22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12,144</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186"/>
        </w:trPr>
        <w:tc>
          <w:tcPr>
            <w:tcW w:w="22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(32,948)</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March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307,228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1,242,955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(513,287)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727,666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2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95"/>
              </w:rPr>
              <w:t>Three Months Ended March 31, 2021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166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Redeemable Convertible</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Accumulated</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66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4"/>
                <w:szCs w:val="4"/>
                <w:color w:val="auto"/>
              </w:rPr>
            </w:pPr>
          </w:p>
        </w:tc>
        <w:tc>
          <w:tcPr>
            <w:tcW w:w="900" w:type="dxa"/>
            <w:vAlign w:val="bottom"/>
            <w:vMerge w:val="restart"/>
          </w:tcPr>
          <w:p>
            <w:pPr>
              <w:jc w:val="center"/>
              <w:ind w:right="28"/>
              <w:spacing w:after="0" w:line="13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81"/>
        </w:trPr>
        <w:tc>
          <w:tcPr>
            <w:tcW w:w="2240" w:type="dxa"/>
            <w:vAlign w:val="bottom"/>
          </w:tcPr>
          <w:p>
            <w:pPr>
              <w:spacing w:after="0"/>
              <w:rPr>
                <w:sz w:val="7"/>
                <w:szCs w:val="7"/>
                <w:color w:val="auto"/>
              </w:rPr>
            </w:pPr>
          </w:p>
        </w:tc>
        <w:tc>
          <w:tcPr>
            <w:tcW w:w="15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100" w:type="dxa"/>
            <w:vAlign w:val="bottom"/>
            <w:tcBorders>
              <w:right w:val="single" w:sz="8" w:color="auto"/>
            </w:tcBorders>
            <w:vMerge w:val="restart"/>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2"/>
              </w:rPr>
              <w:t>Class A Common Stock</w:t>
            </w:r>
          </w:p>
        </w:tc>
        <w:tc>
          <w:tcPr>
            <w:tcW w:w="80" w:type="dxa"/>
            <w:vAlign w:val="bottom"/>
            <w:vMerge w:val="restart"/>
          </w:tcPr>
          <w:p>
            <w:pPr>
              <w:spacing w:after="0"/>
              <w:rPr>
                <w:sz w:val="7"/>
                <w:szCs w:val="7"/>
                <w:color w:val="auto"/>
              </w:rPr>
            </w:pPr>
          </w:p>
        </w:tc>
        <w:tc>
          <w:tcPr>
            <w:tcW w:w="15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3"/>
              </w:rPr>
              <w:t>Class B Common Stock</w:t>
            </w:r>
          </w:p>
        </w:tc>
        <w:tc>
          <w:tcPr>
            <w:tcW w:w="80" w:type="dxa"/>
            <w:vAlign w:val="bottom"/>
            <w:vMerge w:val="restart"/>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240" w:type="dxa"/>
            <w:vAlign w:val="bottom"/>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5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jc w:val="center"/>
              <w:ind w:right="200"/>
              <w:spacing w:after="0" w:line="107" w:lineRule="exact"/>
              <w:rPr>
                <w:sz w:val="20"/>
                <w:szCs w:val="20"/>
                <w:color w:val="auto"/>
              </w:rPr>
            </w:pPr>
            <w:r>
              <w:rPr>
                <w:rFonts w:ascii="Arial" w:cs="Arial" w:eastAsia="Arial" w:hAnsi="Arial"/>
                <w:sz w:val="12"/>
                <w:szCs w:val="12"/>
                <w:b w:val="1"/>
                <w:bCs w:val="1"/>
                <w:color w:val="auto"/>
              </w:rPr>
              <w:t>Paid-in</w:t>
            </w:r>
          </w:p>
        </w:tc>
        <w:tc>
          <w:tcPr>
            <w:tcW w:w="1000" w:type="dxa"/>
            <w:vAlign w:val="bottom"/>
            <w:gridSpan w:val="2"/>
          </w:tcPr>
          <w:p>
            <w:pPr>
              <w:ind w:left="20"/>
              <w:spacing w:after="0" w:line="107" w:lineRule="exact"/>
              <w:rPr>
                <w:sz w:val="20"/>
                <w:szCs w:val="20"/>
                <w:color w:val="auto"/>
              </w:rPr>
            </w:pPr>
            <w:r>
              <w:rPr>
                <w:rFonts w:ascii="Arial" w:cs="Arial" w:eastAsia="Arial" w:hAnsi="Arial"/>
                <w:sz w:val="12"/>
                <w:szCs w:val="12"/>
                <w:b w:val="1"/>
                <w:bCs w:val="1"/>
                <w:color w:val="auto"/>
              </w:rPr>
              <w:t>Comprehensive</w:t>
            </w:r>
          </w:p>
        </w:tc>
        <w:tc>
          <w:tcPr>
            <w:tcW w:w="320" w:type="dxa"/>
            <w:vAlign w:val="bottom"/>
          </w:tcPr>
          <w:p>
            <w:pPr>
              <w:spacing w:after="0"/>
              <w:rPr>
                <w:sz w:val="9"/>
                <w:szCs w:val="9"/>
                <w:color w:val="auto"/>
              </w:rPr>
            </w:pPr>
          </w:p>
        </w:tc>
        <w:tc>
          <w:tcPr>
            <w:tcW w:w="940" w:type="dxa"/>
            <w:vAlign w:val="bottom"/>
            <w:gridSpan w:val="3"/>
          </w:tcPr>
          <w:p>
            <w:pPr>
              <w:ind w:left="20"/>
              <w:spacing w:after="0" w:line="107" w:lineRule="exact"/>
              <w:rPr>
                <w:sz w:val="20"/>
                <w:szCs w:val="20"/>
                <w:color w:val="auto"/>
              </w:rPr>
            </w:pPr>
            <w:r>
              <w:rPr>
                <w:rFonts w:ascii="Arial" w:cs="Arial" w:eastAsia="Arial" w:hAnsi="Arial"/>
                <w:sz w:val="12"/>
                <w:szCs w:val="12"/>
                <w:b w:val="1"/>
                <w:bCs w:val="1"/>
                <w:color w:val="auto"/>
              </w:rPr>
              <w:t>Accumulated</w:t>
            </w:r>
          </w:p>
        </w:tc>
        <w:tc>
          <w:tcPr>
            <w:tcW w:w="160" w:type="dxa"/>
            <w:vAlign w:val="bottom"/>
          </w:tcPr>
          <w:p>
            <w:pPr>
              <w:spacing w:after="0"/>
              <w:rPr>
                <w:sz w:val="9"/>
                <w:szCs w:val="9"/>
                <w:color w:val="auto"/>
              </w:rPr>
            </w:pPr>
          </w:p>
        </w:tc>
        <w:tc>
          <w:tcPr>
            <w:tcW w:w="740" w:type="dxa"/>
            <w:vAlign w:val="bottom"/>
          </w:tcPr>
          <w:p>
            <w:pPr>
              <w:jc w:val="center"/>
              <w:ind w:right="88"/>
              <w:spacing w:after="0" w:line="107" w:lineRule="exact"/>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800" w:type="dxa"/>
            <w:vAlign w:val="bottom"/>
            <w:gridSpan w:val="2"/>
          </w:tcPr>
          <w:p>
            <w:pPr>
              <w:ind w:left="100"/>
              <w:spacing w:after="0" w:line="197"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74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20"/>
              <w:spacing w:after="0" w:line="197"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0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9"/>
        </w:trPr>
        <w:tc>
          <w:tcPr>
            <w:tcW w:w="2240" w:type="dxa"/>
            <w:vAlign w:val="bottom"/>
          </w:tcPr>
          <w:p>
            <w:pPr>
              <w:ind w:left="20"/>
              <w:spacing w:after="0"/>
              <w:rPr>
                <w:sz w:val="20"/>
                <w:szCs w:val="20"/>
                <w:color w:val="auto"/>
              </w:rPr>
            </w:pPr>
            <w:r>
              <w:rPr>
                <w:rFonts w:ascii="Arial" w:cs="Arial" w:eastAsia="Arial" w:hAnsi="Arial"/>
                <w:sz w:val="14"/>
                <w:szCs w:val="14"/>
                <w:color w:val="auto"/>
              </w:rPr>
              <w:t>Balances as of December 31, 2020</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190,477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447,166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103,777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87,945</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3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(385,014)</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(297,856)</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w w:val="98"/>
              </w:rPr>
              <w:t>Issuance of common stock upon</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400"/>
              <w:spacing w:after="0" w:line="135" w:lineRule="exact"/>
              <w:rPr>
                <w:sz w:val="20"/>
                <w:szCs w:val="20"/>
                <w:color w:val="auto"/>
              </w:rPr>
            </w:pPr>
            <w:r>
              <w:rPr>
                <w:rFonts w:ascii="Arial" w:cs="Arial" w:eastAsia="Arial" w:hAnsi="Arial"/>
                <w:sz w:val="14"/>
                <w:szCs w:val="14"/>
                <w:color w:val="auto"/>
              </w:rPr>
              <w:t>exercise of stock options, net</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CEEFF"/>
          </w:tcPr>
          <w:p>
            <w:pPr>
              <w:ind w:left="400"/>
              <w:spacing w:after="0" w:line="135" w:lineRule="exact"/>
              <w:rPr>
                <w:sz w:val="20"/>
                <w:szCs w:val="20"/>
                <w:color w:val="auto"/>
              </w:rPr>
            </w:pPr>
            <w:r>
              <w:rPr>
                <w:rFonts w:ascii="Arial" w:cs="Arial" w:eastAsia="Arial" w:hAnsi="Arial"/>
                <w:sz w:val="14"/>
                <w:szCs w:val="14"/>
                <w:color w:val="auto"/>
              </w:rPr>
              <w:t>of repurchases of unvested</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common stock</w:t>
            </w: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40"/>
              <w:spacing w:after="0" w:line="135" w:lineRule="exact"/>
              <w:rPr>
                <w:sz w:val="20"/>
                <w:szCs w:val="20"/>
                <w:color w:val="auto"/>
              </w:rPr>
            </w:pPr>
            <w:r>
              <w:rPr>
                <w:rFonts w:ascii="Arial" w:cs="Arial" w:eastAsia="Arial" w:hAnsi="Arial"/>
                <w:sz w:val="14"/>
                <w:szCs w:val="14"/>
                <w:color w:val="auto"/>
              </w:rPr>
              <w:t>Cancellation of restricted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400"/>
              <w:spacing w:after="0" w:line="135" w:lineRule="exact"/>
              <w:rPr>
                <w:sz w:val="20"/>
                <w:szCs w:val="20"/>
                <w:color w:val="auto"/>
              </w:rPr>
            </w:pPr>
            <w:r>
              <w:rPr>
                <w:rFonts w:ascii="Arial" w:cs="Arial" w:eastAsia="Arial" w:hAnsi="Arial"/>
                <w:sz w:val="14"/>
                <w:szCs w:val="14"/>
                <w:color w:val="auto"/>
              </w:rPr>
              <w:t>and unvested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400"/>
              <w:spacing w:after="0" w:line="135" w:lineRule="exact"/>
              <w:rPr>
                <w:sz w:val="20"/>
                <w:szCs w:val="20"/>
                <w:color w:val="auto"/>
              </w:rPr>
            </w:pPr>
            <w:r>
              <w:rPr>
                <w:rFonts w:ascii="Arial" w:cs="Arial" w:eastAsia="Arial" w:hAnsi="Arial"/>
                <w:sz w:val="14"/>
                <w:szCs w:val="14"/>
                <w:color w:val="auto"/>
              </w:rPr>
              <w:t>issued in connection with</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400"/>
              <w:spacing w:after="0" w:line="135" w:lineRule="exact"/>
              <w:rPr>
                <w:sz w:val="20"/>
                <w:szCs w:val="20"/>
                <w:color w:val="auto"/>
              </w:rPr>
            </w:pPr>
            <w:r>
              <w:rPr>
                <w:rFonts w:ascii="Arial" w:cs="Arial" w:eastAsia="Arial" w:hAnsi="Arial"/>
                <w:sz w:val="14"/>
                <w:szCs w:val="14"/>
                <w:color w:val="auto"/>
              </w:rPr>
              <w:t>acquisition, net of common</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40" w:type="dxa"/>
            <w:vAlign w:val="bottom"/>
          </w:tcPr>
          <w:p>
            <w:pPr>
              <w:ind w:left="400"/>
              <w:spacing w:after="0"/>
              <w:rPr>
                <w:sz w:val="20"/>
                <w:szCs w:val="20"/>
                <w:color w:val="auto"/>
              </w:rPr>
            </w:pPr>
            <w:r>
              <w:rPr>
                <w:rFonts w:ascii="Arial" w:cs="Arial" w:eastAsia="Arial" w:hAnsi="Arial"/>
                <w:sz w:val="14"/>
                <w:szCs w:val="14"/>
                <w:color w:val="auto"/>
              </w:rPr>
              <w:t>stock issued</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40"/>
              <w:spacing w:after="0" w:line="139" w:lineRule="exact"/>
              <w:rPr>
                <w:sz w:val="20"/>
                <w:szCs w:val="20"/>
                <w:color w:val="auto"/>
              </w:rPr>
            </w:pPr>
            <w:r>
              <w:rPr>
                <w:rFonts w:ascii="Arial" w:cs="Arial" w:eastAsia="Arial" w:hAnsi="Arial"/>
                <w:sz w:val="14"/>
                <w:szCs w:val="14"/>
                <w:color w:val="auto"/>
              </w:rPr>
              <w:t>Release of holdback stock in</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connection with acquisition</w:t>
            </w: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40" w:type="dxa"/>
            <w:vAlign w:val="bottom"/>
          </w:tcPr>
          <w:p>
            <w:pPr>
              <w:ind w:left="240"/>
              <w:spacing w:after="0" w:line="135" w:lineRule="exact"/>
              <w:rPr>
                <w:sz w:val="20"/>
                <w:szCs w:val="20"/>
                <w:color w:val="auto"/>
              </w:rPr>
            </w:pPr>
            <w:r>
              <w:rPr>
                <w:rFonts w:ascii="Arial" w:cs="Arial" w:eastAsia="Arial" w:hAnsi="Arial"/>
                <w:sz w:val="14"/>
                <w:szCs w:val="14"/>
                <w:color w:val="auto"/>
              </w:rPr>
              <w:t>Vesting of early exercised stock</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4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2240" w:type="dxa"/>
            <w:vAlign w:val="bottom"/>
          </w:tcPr>
          <w:p>
            <w:pPr>
              <w:ind w:left="400"/>
              <w:spacing w:after="0"/>
              <w:rPr>
                <w:sz w:val="20"/>
                <w:szCs w:val="20"/>
                <w:color w:val="auto"/>
              </w:rPr>
            </w:pPr>
            <w:r>
              <w:rPr>
                <w:rFonts w:ascii="Arial" w:cs="Arial" w:eastAsia="Arial" w:hAnsi="Arial"/>
                <w:sz w:val="14"/>
                <w:szCs w:val="14"/>
                <w:color w:val="auto"/>
              </w:rPr>
              <w:t>options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Vesting of restricted stock</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86"/>
        </w:trPr>
        <w:tc>
          <w:tcPr>
            <w:tcW w:w="224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7,212</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6"/>
        </w:trPr>
        <w:tc>
          <w:tcPr>
            <w:tcW w:w="22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(25,140)</w:t>
            </w:r>
          </w:p>
        </w:tc>
        <w:tc>
          <w:tcPr>
            <w:tcW w:w="0" w:type="dxa"/>
            <w:vAlign w:val="bottom"/>
          </w:tcPr>
          <w:p>
            <w:pPr>
              <w:spacing w:after="0"/>
              <w:rPr>
                <w:sz w:val="1"/>
                <w:szCs w:val="1"/>
                <w:color w:val="auto"/>
              </w:rPr>
            </w:pPr>
          </w:p>
        </w:tc>
      </w:tr>
      <w:tr>
        <w:trPr>
          <w:trHeight w:val="211"/>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March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447,166</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108,137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(309,245)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220" w:firstLine="8"/>
        <w:spacing w:after="0" w:line="273" w:lineRule="auto"/>
        <w:tabs>
          <w:tab w:leader="none" w:pos="20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Reverse Recapitalization (as defined in Note 1) have been retroactively restated to reflect the exchange ratio of 3.1057 established in the Merger Agreement as described in Note 3.</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Nextdoor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6"/>
          <w:szCs w:val="16"/>
          <w:i w:val="1"/>
          <w:iCs w:val="1"/>
          <w:color w:val="auto"/>
        </w:rPr>
        <w:t>(in thousands)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r>
      <w:tr>
        <w:trPr>
          <w:trHeight w:val="197"/>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(32,948)</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(25,140)</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(863)</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r>
      <w:tr>
        <w:trPr>
          <w:trHeight w:val="207"/>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(8,750)</w:t>
            </w:r>
          </w:p>
        </w:tc>
      </w:tr>
      <w:tr>
        <w:trPr>
          <w:trHeight w:val="19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(1,894)</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w:t>
            </w:r>
          </w:p>
        </w:tc>
      </w:tr>
      <w:tr>
        <w:trPr>
          <w:trHeight w:val="213"/>
        </w:trPr>
        <w:tc>
          <w:tcPr>
            <w:tcW w:w="84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Maturities of marketable securities</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15,245</w:t>
            </w:r>
          </w:p>
        </w:tc>
      </w:tr>
      <w:tr>
        <w:trPr>
          <w:trHeight w:val="213"/>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(311,540)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8,956</w:t>
            </w:r>
          </w:p>
        </w:tc>
      </w:tr>
      <w:tr>
        <w:trPr>
          <w:trHeight w:val="19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 net of repurchases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w:t>
            </w: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Payment of transaction costs related to the Reverse Recapitalization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 withholdings on release of restricted stock units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w:t>
            </w:r>
          </w:p>
        </w:tc>
      </w:tr>
      <w:tr>
        <w:trPr>
          <w:trHeight w:val="213"/>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6"/>
        </w:trPr>
        <w:tc>
          <w:tcPr>
            <w:tcW w:w="8440" w:type="dxa"/>
            <w:vAlign w:val="bottom"/>
          </w:tcPr>
          <w:p>
            <w:pPr>
              <w:ind w:left="36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(313,844)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5,224</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84,743</w:t>
            </w: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207,968</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89,967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8440" w:type="dxa"/>
            <w:vAlign w:val="bottom"/>
          </w:tcPr>
          <w:p>
            <w:pPr>
              <w:ind w:left="240"/>
              <w:spacing w:after="0"/>
              <w:rPr>
                <w:sz w:val="20"/>
                <w:szCs w:val="20"/>
                <w:color w:val="auto"/>
              </w:rPr>
            </w:pPr>
            <w:r>
              <w:rPr>
                <w:rFonts w:ascii="Arial" w:cs="Arial" w:eastAsia="Arial" w:hAnsi="Arial"/>
                <w:sz w:val="16"/>
                <w:szCs w:val="16"/>
                <w:color w:val="auto"/>
              </w:rPr>
              <w:t>Cash paid for taxes,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tcPr>
          <w:p>
            <w:pPr>
              <w:ind w:left="360"/>
              <w:spacing w:after="0"/>
              <w:rPr>
                <w:sz w:val="20"/>
                <w:szCs w:val="20"/>
                <w:color w:val="auto"/>
              </w:rPr>
            </w:pPr>
            <w:r>
              <w:rPr>
                <w:rFonts w:ascii="Arial" w:cs="Arial" w:eastAsia="Arial" w:hAnsi="Arial"/>
                <w:sz w:val="16"/>
                <w:szCs w:val="16"/>
                <w:color w:val="auto"/>
              </w:rPr>
              <w:t>Vesting of restricted stock and early exercised stock options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1,547</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19"/>
        </w:trPr>
        <w:tc>
          <w:tcPr>
            <w:tcW w:w="8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 arising from obtaining right-of-use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34,971</w:t>
            </w:r>
          </w:p>
        </w:tc>
      </w:tr>
      <w:tr>
        <w:trPr>
          <w:trHeight w:val="210"/>
        </w:trPr>
        <w:tc>
          <w:tcPr>
            <w:tcW w:w="8440" w:type="dxa"/>
            <w:vAlign w:val="bottom"/>
          </w:tcPr>
          <w:p>
            <w:pPr>
              <w:ind w:left="360"/>
              <w:spacing w:after="0"/>
              <w:rPr>
                <w:sz w:val="20"/>
                <w:szCs w:val="20"/>
                <w:color w:val="auto"/>
              </w:rPr>
            </w:pPr>
            <w:r>
              <w:rPr>
                <w:rFonts w:ascii="Arial" w:cs="Arial" w:eastAsia="Arial" w:hAnsi="Arial"/>
                <w:sz w:val="16"/>
                <w:szCs w:val="16"/>
                <w:color w:val="auto"/>
              </w:rPr>
              <w:t>Purchases of property and equipment not yet settled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1,589</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5, 2021 (the “Closing”), the Company consummated the transactions contemplated by the Agreement and Plan of Merger, dated July 6, 2021, as amended on September 30, 2021 (the “Merger Agreement”), by and among Khosla Ventures Acquisition Co. II (“KVSB”), a special purpose acquisition company, Lorelei Merger Sub Inc. (“Merger Sub”), and Nextdoor, Inc. (“Legacy Nextdoor”), with Legacy Nextdoor surviving as a wholly owned subsidiary of KVSB (the “Merger” and, collectively with the other transactions that occurred in connection with the Merger, including the PIPE Investment (as described in Note 3, the “Reverse Recapitalization”). In connection with the Closing, KVSB was renamed to Nextdoor Holdings, Inc. Reported results from operations included herein prior to the Reverse Recapitalization are those of Legacy Nextdoor.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See Note 3 - Reverse Recapitalization for further details.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condensed consolidated balance sheet as of December 31, 2021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2021.</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three months ended March 31, 2022 are not necessarily indicative of the results to be expected for the full year ending December 31, 2022 or any other future interim or annual period.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was accounted for as a reverse recapitalization in accordance with GAAP. This determination was primarily based on the evaluation of the following facts and circumstances:</w:t>
      </w:r>
    </w:p>
    <w:p>
      <w:pPr>
        <w:spacing w:after="0" w:line="1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Legacy Nextdoor stockholders had a relative majority of the voting power of Nextdoor;</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of Directors of Nextdoor had ten members, and Legacy Nextdoor stockholders had the ability to nominate a majority of the members of the Board of Directors;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Legacy Nextdoor’s senior management comprised the senior management roles of Nextdoor and were responsible for the day-to-day operations;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Nextdoor assumed the Nextdoor Holdings, Inc. name and Legacy Nextdoor’s corporate headquarters;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intended strategy and operations of Nextdoor continued Legacy Nextdoor’s strategy and operations to leverage technology to connect millions of neighbors online and in real life to build stronger, more vibrant, and resilient neighborhoods.</w:t>
      </w:r>
    </w:p>
    <w:p>
      <w:pPr>
        <w:spacing w:after="0" w:line="1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shares and corresponding capital amounts and all per share data related to Legacy Nextdoor’s outstanding redeemable convertible preferred stock, common stock, and stock-based awards prior to the Reverse Recapitalization have been retroactively adjusted using the Exchange Ratio (as defined in Note 3). The net assets of KVSB were recognized as of the Closing at historical cost, with no goodwill or other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jc w:val="both"/>
        <w:spacing w:after="0" w:line="261" w:lineRule="auto"/>
        <w:rPr>
          <w:sz w:val="20"/>
          <w:szCs w:val="20"/>
          <w:color w:val="auto"/>
        </w:rPr>
      </w:pPr>
      <w:r>
        <w:rPr>
          <w:rFonts w:ascii="Arial" w:cs="Arial" w:eastAsia="Arial" w:hAnsi="Arial"/>
          <w:sz w:val="18"/>
          <w:szCs w:val="18"/>
          <w:color w:val="auto"/>
        </w:rPr>
        <w:t>intangible assets recorded. Operations prior to the Merger are those of Legacy Nextdoor and Legacy Nextdoor’s operations are the only ongoing operations of Nextdoor.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have been no changes to the Company’s significant accounting policies disclosed in Note 2 to the consolidated financial statements described in our Annual Report as of and for the year ended December 31, 2021 that have had a material impact on the Company’s condensed consolidated financial statements and related notes, except as noted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consist of highly liquid investments with insignificant interest rate risk and original maturities of three months or less at the time of purchase. Cash and cash equivalents include demand deposits, money market accounts, corporate bonds, and commercial paper. Interest is accrued as earned. Cash and cash equivalents are recorded at cost, which approximates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 Topic 740 – Simplifying the Accounting for Income Taxes</w:t>
      </w:r>
      <w:r>
        <w:rPr>
          <w:rFonts w:ascii="Arial" w:cs="Arial" w:eastAsia="Arial" w:hAnsi="Arial"/>
          <w:sz w:val="17"/>
          <w:szCs w:val="17"/>
          <w:color w:val="auto"/>
        </w:rPr>
        <w:t>, which simplifies the accounting for income taxes by removing certain exceptions to the general principals in Topic 740. The amendments also improve consistent application of and simplify GAAP for other areas of Topic 740 by clarifying and amending existing guidance. The Company adopted this standard as of January 1, 2022, and the adoption did not have a material impact on the Company’s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Recapitalization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Merger Agreement, as described in Note 1, Merger Sub merged with and into Legacy Nextdoor, with Legacy Nextdoor surviving the Merger. Legacy Nextdoor became a wholly owned subsidiary of KVSB and KVSB was immediately renamed Nextdoor Holdings, Inc. Upon the consummation of the Merger, the following events contemplated by the Merger Agreement occurred, based on Legacy Nextdoor’s capitalization as of November 5, 2021:</w:t>
      </w:r>
    </w:p>
    <w:p>
      <w:pPr>
        <w:spacing w:after="0" w:line="133" w:lineRule="exact"/>
        <w:rPr>
          <w:sz w:val="20"/>
          <w:szCs w:val="20"/>
          <w:color w:val="auto"/>
        </w:rPr>
      </w:pPr>
    </w:p>
    <w:p>
      <w:pPr>
        <w:ind w:left="66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61,331,815 issued and outstanding shares of Legacy Nextdoor redeemable convertible preferred stock were converted into 61,331,815 shares of Legacy Nextdoor common stock at the conversion rate as calculated pursuant to Legacy Nextdoor’s certificate of incorporation;</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97,886,321 issued and outstanding shares of Legacy Nextdoor common stock (including Legacy Nextdoor common stock resulting from the conversion of the Legacy Nextdoor redeemable convertible preferred stock) were converted into 304,003,976 shares of Nextdoor Class B common stock after giving effect to the exchange ratio of 3.1057 as calculated in accordance with the Merger Agreement (“Exchange Ratio”);</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19,196,313 granted and outstanding unexercised Legacy Nextdoor options were converted into 59,616,898 Nextdoor options exercisable for shares of Nextdoor Class B common stock with the same terms and vesting conditions except for the number of shares exercisable and the exercise price, each of which was adjusted by the Exchange Ratio;</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866,687 granted and outstanding unvested Legacy Nextdoor restricted stock units (“RSUs”) were converted into 2,691,577 Nextdoor RSUs for shares of Nextdoor Class B common stock with the same terms and vesting conditions except for the number of shares, which was adjusted by the Exchange Ratio;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entitlement to receive 58,135 shares of Legacy Nextdoor common stock pursuant to the Pixel Labs Merger Agreement converted into the right to receive 180,549 shares of Nextdoor Class B common stock, which was adjusted by the Exchange Ratio.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There were 304,003,976 shares of Nextdoor Class B common stock issued and outstanding as of the Closing and Nextdoor options and RSUs covering 62,308,475 shares reserved for the potential future issuance of Nextdoor Class B common stock as of the Closing.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Merger:</w:t>
      </w:r>
    </w:p>
    <w:p>
      <w:pPr>
        <w:spacing w:after="0" w:line="171"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KVSB Class B founder shares, consisting of 5,000,000 shares of KVSB Class B common stock, automatically converted into an aggregate of 7,347,249 shares of Nextdoor Class A common stock;</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KVSB Class K founder shares, consisting of 5,000,000 shares of KVSB Class K common stock, converted into an aggregate of 3,061,354 shares of Nextdoor Class A common stock;</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1,132,688 private placement sponsor shares of KVSB Class A common stock converted into shares of Nextdoor Class A common stock on a one-to-one basis;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40,412,372 shares of KVSB Class A common stock held by KVSB public stockholders, net of the redemption of 1,222,040 shares of KVSB Class A common stock, converted into Nextdoor Class A common stock on a one-to-one basis.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6, 2021, concurrently with the execution of the Merger Agreement, KVSB entered into subscription agreements with certain investors (collectively, the “PIPE Investors”), pursuant to, and on the terms and subject to the conditions of which, the PIPE Investors subscribed for an aggregate of 27,000,000 shares of Class A common stock, which included 750,000 shares of Nextdoor Class A common stock to the KVSB sponsor and 4,500,000 shares of Nextdoor Class A common stock to certain Legacy Nextdoor stockholders, including 500,000 shares of Nextdoor Class A common stock to Nextdoor's Chief Executive Officer and President, for an aggregate purchase price of $270.0 million (the “PIPE Investment”). The PIPE Investment was consummated substantially concurrently with the Closing of the Merger.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There were 78,953,663 shares of Nextdoor Class A common stock issued and outstanding as of the Closing.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holder of shares of Class A common stock is entitled to one vote for each share of Class A common stock held on all matters submitted to a vote of stockholders and each holder of shares of Class B common stock is entitled to 10 votes for each share of Class B common stock held on all matters submitted to a vote of stockholders.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number of shares of common stock issued and outstanding immediately following the Reverse Recapitalization: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40" w:type="dxa"/>
            <w:vAlign w:val="bottom"/>
            <w:tcBorders>
              <w:bottom w:val="single" w:sz="8" w:color="CCEEFF"/>
            </w:tcBorders>
          </w:tcPr>
          <w:p>
            <w:pPr>
              <w:spacing w:after="0"/>
              <w:rPr>
                <w:sz w:val="17"/>
                <w:szCs w:val="17"/>
                <w:color w:val="auto"/>
              </w:rPr>
            </w:pPr>
          </w:p>
        </w:tc>
        <w:tc>
          <w:tcPr>
            <w:tcW w:w="2600" w:type="dxa"/>
            <w:vAlign w:val="bottom"/>
            <w:tcBorders>
              <w:top w:val="single" w:sz="8" w:color="auto"/>
              <w:bottom w:val="single" w:sz="8" w:color="auto"/>
            </w:tcBorders>
          </w:tcPr>
          <w:p>
            <w:pPr>
              <w:jc w:val="right"/>
              <w:ind w:right="1012"/>
              <w:spacing w:after="0"/>
              <w:rPr>
                <w:sz w:val="20"/>
                <w:szCs w:val="20"/>
                <w:color w:val="auto"/>
              </w:rPr>
            </w:pPr>
            <w:r>
              <w:rPr>
                <w:rFonts w:ascii="Arial" w:cs="Arial" w:eastAsia="Arial" w:hAnsi="Arial"/>
                <w:sz w:val="14"/>
                <w:szCs w:val="14"/>
                <w:b w:val="1"/>
                <w:bCs w:val="1"/>
                <w:color w:val="auto"/>
              </w:rPr>
              <w:t>Shares</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KVSB Class A common stock, outstanding prior to Reverse Recapitalization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42,767,100</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Less: redemption of KVSB Class A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(1,222,040)</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of KVSB Class B founder shares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7,347,249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Conversion of KVSB Class K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3,061,354</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issued to PIPE Investors</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Nextdoor Class A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78,953,663</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r>
      <w:tr>
        <w:trPr>
          <w:trHeight w:val="230"/>
        </w:trPr>
        <w:tc>
          <w:tcPr>
            <w:tcW w:w="86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Conversion of Legacy Nextdoor common stock </w:t>
            </w:r>
            <w:r>
              <w:rPr>
                <w:rFonts w:ascii="Arial" w:cs="Arial" w:eastAsia="Arial" w:hAnsi="Arial"/>
                <w:sz w:val="23"/>
                <w:szCs w:val="23"/>
                <w:color w:val="auto"/>
                <w:vertAlign w:val="superscript"/>
              </w:rPr>
              <w:t>(1)</w:t>
            </w:r>
          </w:p>
        </w:tc>
        <w:tc>
          <w:tcPr>
            <w:tcW w:w="2600" w:type="dxa"/>
            <w:vAlign w:val="bottom"/>
          </w:tcPr>
          <w:p>
            <w:pPr>
              <w:jc w:val="right"/>
              <w:spacing w:after="0"/>
              <w:rPr>
                <w:sz w:val="20"/>
                <w:szCs w:val="20"/>
                <w:color w:val="auto"/>
              </w:rPr>
            </w:pPr>
            <w:r>
              <w:rPr>
                <w:rFonts w:ascii="Arial" w:cs="Arial" w:eastAsia="Arial" w:hAnsi="Arial"/>
                <w:sz w:val="18"/>
                <w:szCs w:val="18"/>
                <w:color w:val="auto"/>
              </w:rPr>
              <w:t>113,526,555</w:t>
            </w:r>
          </w:p>
        </w:tc>
      </w:tr>
      <w:tr>
        <w:trPr>
          <w:trHeight w:val="229"/>
        </w:trPr>
        <w:tc>
          <w:tcPr>
            <w:tcW w:w="8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Conversion of Legacy Nextdoor redeemable convertible preferred stock </w:t>
            </w:r>
            <w:r>
              <w:rPr>
                <w:rFonts w:ascii="Arial" w:cs="Arial" w:eastAsia="Arial" w:hAnsi="Arial"/>
                <w:sz w:val="23"/>
                <w:szCs w:val="23"/>
                <w:color w:val="auto"/>
                <w:vertAlign w:val="superscript"/>
              </w:rPr>
              <w:t>(2)</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190,477,421</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Nextdoor Class B common stock</w:t>
            </w:r>
          </w:p>
        </w:tc>
        <w:tc>
          <w:tcPr>
            <w:tcW w:w="2600" w:type="dxa"/>
            <w:vAlign w:val="bottom"/>
          </w:tcPr>
          <w:p>
            <w:pPr>
              <w:jc w:val="right"/>
              <w:spacing w:after="0"/>
              <w:rPr>
                <w:sz w:val="20"/>
                <w:szCs w:val="20"/>
                <w:color w:val="auto"/>
              </w:rPr>
            </w:pPr>
            <w:r>
              <w:rPr>
                <w:rFonts w:ascii="Arial" w:cs="Arial" w:eastAsia="Arial" w:hAnsi="Arial"/>
                <w:sz w:val="18"/>
                <w:szCs w:val="18"/>
                <w:color w:val="auto"/>
              </w:rPr>
              <w:t>304,003,976</w:t>
            </w:r>
          </w:p>
        </w:tc>
      </w:tr>
      <w:tr>
        <w:trPr>
          <w:trHeight w:val="270"/>
        </w:trPr>
        <w:tc>
          <w:tcPr>
            <w:tcW w:w="8640" w:type="dxa"/>
            <w:vAlign w:val="bottom"/>
            <w:shd w:val="clear" w:color="auto" w:fill="CCEEFF"/>
          </w:tcPr>
          <w:p>
            <w:pPr>
              <w:spacing w:after="0"/>
              <w:rPr>
                <w:sz w:val="23"/>
                <w:szCs w:val="23"/>
                <w:color w:val="auto"/>
              </w:rPr>
            </w:pPr>
          </w:p>
        </w:tc>
        <w:tc>
          <w:tcPr>
            <w:tcW w:w="2600" w:type="dxa"/>
            <w:vAlign w:val="bottom"/>
            <w:tcBorders>
              <w:bottom w:val="single" w:sz="8" w:color="auto"/>
            </w:tcBorders>
            <w:shd w:val="clear" w:color="auto" w:fill="CCEEFF"/>
          </w:tcPr>
          <w:p>
            <w:pPr>
              <w:spacing w:after="0"/>
              <w:rPr>
                <w:sz w:val="23"/>
                <w:szCs w:val="23"/>
                <w:color w:val="auto"/>
              </w:rPr>
            </w:pP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Total shares of common stock immediately after Reverse Recapitalization</w:t>
            </w: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382,957,639</w:t>
            </w:r>
          </w:p>
        </w:tc>
      </w:tr>
      <w:tr>
        <w:trPr>
          <w:trHeight w:val="20"/>
        </w:trPr>
        <w:tc>
          <w:tcPr>
            <w:tcW w:w="86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8"/>
        <w:spacing w:after="0" w:line="27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the 36,554,506 outstanding shares of Legacy Nextdoor common stock were converted into shares of Nextdoor Class B common stock using the Exchange Ratio.</w:t>
      </w:r>
    </w:p>
    <w:p>
      <w:pPr>
        <w:spacing w:after="0" w:line="119" w:lineRule="exact"/>
        <w:rPr>
          <w:rFonts w:ascii="Arial" w:cs="Arial" w:eastAsia="Arial" w:hAnsi="Arial"/>
          <w:sz w:val="14"/>
          <w:szCs w:val="14"/>
          <w:color w:val="auto"/>
        </w:rPr>
      </w:pPr>
    </w:p>
    <w:p>
      <w:pPr>
        <w:ind w:right="60" w:firstLine="8"/>
        <w:spacing w:after="0" w:line="27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Upon the completion of the Reverse Recapitalization, all 61,331,815 outstanding shares of Legacy Nextdoor redeemable convertible preferred stock converted into Legacy Nextdoor common stock on a one-to-one basis, which were then converted into shares of Nextdoor Class B common stock using the Exchange Ratio.</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4" w:name="page15"/>
    <w:bookmarkEnd w:id="14"/>
    <w:p>
      <w:pPr>
        <w:jc w:val="both"/>
        <w:spacing w:after="0" w:line="255" w:lineRule="auto"/>
        <w:rPr>
          <w:sz w:val="20"/>
          <w:szCs w:val="20"/>
          <w:color w:val="auto"/>
        </w:rPr>
      </w:pPr>
      <w:r>
        <w:rPr>
          <w:rFonts w:ascii="Arial" w:cs="Arial" w:eastAsia="Arial" w:hAnsi="Arial"/>
          <w:sz w:val="18"/>
          <w:szCs w:val="18"/>
          <w:color w:val="auto"/>
        </w:rPr>
        <w:t>In connection with the Reverse Recapitalization, the Company raised $628.5 million of proceeds which included the contribution of $416.4 million of funds held in KVSB’s trust account, $0.2 million of cash held in KVSB’s operating cash account, and $270.0 million of proceeds from the PIPE Investment, net of $12.2 million paid to redeem 1,222,040 public shares of KVSB’s Class A common stock and $45.9 million in transaction costs incurred by KVSB. Legacy Nextdoor incurred $5.7 million of transaction costs, which consisted of direct incremental legal, accounting, consulting, and other fees which were recorded as deferred transaction costs and upon completion of the Reverse Recapitalization were reclassified to additional paid-in capital as a reduction of the net proceeds received.</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shares and corresponding capital amounts and all per share data related to Legacy Nextdoor’s outstanding redeemable convertible preferred stock, common stock, and stock-based awards prior to the Reverse Recapitalization have been retroactively adjusted using the Exchange Ratio.</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Pixel Labs, Inc.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2019, the Company executed a merger agreement to acquire the assets and liabilities of Pixel Labs, Inc. (“Pixel Labs”). The acquisition closed on August 27, 2019. The purchase accounting was completed in 2019 and no measurement period adjustments were recorded. The aggregate purchase consideration of $7.6 million included a time-based cash and share holdback of $0.7 million and $0.2 million, respectively, to be paid at a future date. In November 2020 final settlement of the holdback was completed.</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closing, certain Pixel Labs stockholders had not completed administrative forms that were required for the Company’s common stock to be legally issued. During the three months ended March 31, 2022 an additional 171,635 shares were issued as a result of the administrative forms being completed. During the three months ended March 31, 2021 no shares were issued as a result of the administrative forms being completed.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Deferred Revenue</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certain advertising arrangements the Company requires payment upfront from its customers. The Company records deferred revenue when it collects cash from customers in advance of revenue recognition. As of March 31, 2022 and December 31, 2021, deferred revenue was $3.4 million and $3.4 million, respectively, and included within accrued expenses and other current liabilities on the condensed consolidated balance sheets. For the three months ended March 31, 2022 and 2021, revenue recognized from deferred revenue at the beginning of each period was $2.9 million and $1.1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Cash Equivalents and Marketable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costs, unrealized gains and losses, and estimated fair values of the Company’s cash equivalents and marketable securities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As of March 31, 2022</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34"/>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5" w:lineRule="exact"/>
              <w:rPr>
                <w:sz w:val="20"/>
                <w:szCs w:val="20"/>
                <w:color w:val="auto"/>
              </w:rPr>
            </w:pPr>
            <w:r>
              <w:rPr>
                <w:rFonts w:ascii="Arial" w:cs="Arial" w:eastAsia="Arial" w:hAnsi="Arial"/>
                <w:sz w:val="14"/>
                <w:szCs w:val="14"/>
                <w:b w:val="1"/>
                <w:bCs w:val="1"/>
                <w:color w:val="auto"/>
              </w:rPr>
              <w:t>Estimated</w:t>
            </w:r>
          </w:p>
        </w:tc>
      </w:tr>
      <w:tr>
        <w:trPr>
          <w:trHeight w:val="188"/>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118,881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118,881</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7,986</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284,794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283,490</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140,386</w:t>
            </w: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38,138</w:t>
            </w:r>
          </w:p>
        </w:tc>
      </w:tr>
      <w:tr>
        <w:trPr>
          <w:trHeight w:val="230"/>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22,963</w:t>
            </w:r>
          </w:p>
        </w:tc>
      </w:tr>
      <w:tr>
        <w:trPr>
          <w:trHeight w:val="230"/>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18,922</w:t>
            </w: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505,500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503,899</w:t>
            </w: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648,752</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647,151</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35"/>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1"/>
                <w:szCs w:val="11"/>
                <w:color w:val="auto"/>
              </w:rPr>
            </w:pPr>
          </w:p>
        </w:tc>
        <w:tc>
          <w:tcPr>
            <w:tcW w:w="12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Unrealized</w:t>
            </w:r>
          </w:p>
        </w:tc>
        <w:tc>
          <w:tcPr>
            <w:tcW w:w="10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94"/>
              <w:spacing w:after="0" w:line="135" w:lineRule="exact"/>
              <w:rPr>
                <w:sz w:val="20"/>
                <w:szCs w:val="20"/>
                <w:color w:val="auto"/>
              </w:rPr>
            </w:pPr>
            <w:r>
              <w:rPr>
                <w:rFonts w:ascii="Arial" w:cs="Arial" w:eastAsia="Arial" w:hAnsi="Arial"/>
                <w:sz w:val="14"/>
                <w:szCs w:val="14"/>
                <w:b w:val="1"/>
                <w:bCs w:val="1"/>
                <w:color w:val="auto"/>
              </w:rPr>
              <w:t>Estimated</w:t>
            </w:r>
          </w:p>
        </w:tc>
      </w:tr>
      <w:tr>
        <w:trPr>
          <w:trHeight w:val="188"/>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1220" w:type="dxa"/>
            <w:vAlign w:val="bottom"/>
            <w:gridSpan w:val="2"/>
          </w:tcPr>
          <w:p>
            <w:pPr>
              <w:ind w:left="300"/>
              <w:spacing w:after="0"/>
              <w:rPr>
                <w:sz w:val="20"/>
                <w:szCs w:val="20"/>
                <w:color w:val="auto"/>
              </w:rPr>
            </w:pPr>
            <w:r>
              <w:rPr>
                <w:rFonts w:ascii="Arial" w:cs="Arial" w:eastAsia="Arial" w:hAnsi="Arial"/>
                <w:sz w:val="14"/>
                <w:szCs w:val="14"/>
                <w:b w:val="1"/>
                <w:bCs w:val="1"/>
                <w:color w:val="auto"/>
              </w:rPr>
              <w:t>Gain</w:t>
            </w:r>
          </w:p>
        </w:tc>
        <w:tc>
          <w:tcPr>
            <w:tcW w:w="1020" w:type="dxa"/>
            <w:vAlign w:val="bottom"/>
          </w:tcPr>
          <w:p>
            <w:pPr>
              <w:jc w:val="right"/>
              <w:ind w:right="119"/>
              <w:spacing w:after="0"/>
              <w:rPr>
                <w:sz w:val="20"/>
                <w:szCs w:val="20"/>
                <w:color w:val="auto"/>
              </w:rPr>
            </w:pPr>
            <w:r>
              <w:rPr>
                <w:rFonts w:ascii="Arial" w:cs="Arial" w:eastAsia="Arial" w:hAnsi="Arial"/>
                <w:sz w:val="14"/>
                <w:szCs w:val="14"/>
                <w:b w:val="1"/>
                <w:bCs w:val="1"/>
                <w:color w:val="auto"/>
              </w:rPr>
              <w:t>Loss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9"/>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474,294</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83,728</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78,363</w:t>
            </w: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15,188</w:t>
            </w: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16,720</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193,999</w:t>
            </w: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668,293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 marketable securities are designated as available-for-sale securities as of March 31, 2022 and December 31,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contractual maturities of the Company’s marketable securities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As of March 31, 2022</w:t>
            </w:r>
          </w:p>
        </w:tc>
      </w:tr>
      <w:tr>
        <w:trPr>
          <w:trHeight w:val="134"/>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140" w:type="dxa"/>
            <w:vAlign w:val="bottom"/>
          </w:tcPr>
          <w:p>
            <w:pPr>
              <w:jc w:val="right"/>
              <w:ind w:right="297"/>
              <w:spacing w:after="0" w:line="135" w:lineRule="exact"/>
              <w:rPr>
                <w:sz w:val="20"/>
                <w:szCs w:val="20"/>
                <w:color w:val="auto"/>
              </w:rPr>
            </w:pPr>
            <w:r>
              <w:rPr>
                <w:rFonts w:ascii="Arial" w:cs="Arial" w:eastAsia="Arial" w:hAnsi="Arial"/>
                <w:sz w:val="14"/>
                <w:szCs w:val="14"/>
                <w:b w:val="1"/>
                <w:bCs w:val="1"/>
                <w:color w:val="auto"/>
              </w:rPr>
              <w:t>Estimated</w:t>
            </w:r>
          </w:p>
        </w:tc>
      </w:tr>
      <w:tr>
        <w:trPr>
          <w:trHeight w:val="188"/>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430,204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429,237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to four years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75,296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503,899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within one 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Due after one to four years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Fair Value Measurements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As of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97"/>
              <w:spacing w:after="0" w:line="141" w:lineRule="exact"/>
              <w:rPr>
                <w:sz w:val="20"/>
                <w:szCs w:val="20"/>
                <w:color w:val="auto"/>
              </w:rPr>
            </w:pPr>
            <w:r>
              <w:rPr>
                <w:rFonts w:ascii="Arial" w:cs="Arial" w:eastAsia="Arial" w:hAnsi="Arial"/>
                <w:sz w:val="14"/>
                <w:szCs w:val="14"/>
                <w:b w:val="1"/>
                <w:bCs w:val="1"/>
                <w:color w:val="auto"/>
              </w:rPr>
              <w:t>Estimated</w:t>
            </w:r>
          </w:p>
        </w:tc>
      </w:tr>
      <w:tr>
        <w:trPr>
          <w:trHeight w:val="186"/>
        </w:trPr>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14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r>
      <w:tr>
        <w:trPr>
          <w:trHeight w:val="24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137,077</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137,043</w:t>
            </w:r>
          </w:p>
        </w:tc>
      </w:tr>
      <w:tr>
        <w:trPr>
          <w:trHeight w:val="256"/>
        </w:trPr>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56,939</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56,956</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194,016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-505460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-5353685</wp:posOffset>
            </wp:positionH>
            <wp:positionV relativeFrom="paragraph">
              <wp:posOffset>-187960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7720" w:space="720"/>
            <w:col w:w="2800"/>
          </w:cols>
          <w:pgMar w:left="320" w:top="954" w:right="339" w:bottom="1440" w:gutter="0" w:footer="0" w:header="0"/>
          <w:type w:val="continuous"/>
        </w:sectPr>
      </w:pPr>
    </w:p>
    <w:p>
      <w:pPr>
        <w:jc w:val="both"/>
        <w:spacing w:after="0" w:line="262" w:lineRule="auto"/>
        <w:rPr>
          <w:sz w:val="20"/>
          <w:szCs w:val="20"/>
          <w:color w:val="auto"/>
        </w:rPr>
      </w:pPr>
      <w:r>
        <w:rPr>
          <w:rFonts w:ascii="Arial" w:cs="Arial" w:eastAsia="Arial" w:hAnsi="Arial"/>
          <w:sz w:val="18"/>
          <w:szCs w:val="18"/>
          <w:color w:val="auto"/>
        </w:rPr>
        <w:t>The Company’s financial assets and liabilities measured at fair value on a recurring basis are classified by level within the fair value hierarchy. There were no financial assets or liabilities measured using Level 3 inputs as of March 31, 2022 and December 31, 2021. The following table presents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4"/>
              </w:rPr>
              <w:t>Fair Value Measurement as of March 31, 2022</w:t>
            </w:r>
          </w:p>
        </w:tc>
      </w:tr>
      <w:tr>
        <w:trPr>
          <w:trHeight w:val="209"/>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8"/>
                <w:szCs w:val="18"/>
                <w:color w:val="auto"/>
              </w:rPr>
            </w:pPr>
          </w:p>
        </w:tc>
        <w:tc>
          <w:tcPr>
            <w:tcW w:w="82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22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118,881</w:t>
            </w:r>
          </w:p>
        </w:tc>
      </w:tr>
      <w:tr>
        <w:trPr>
          <w:trHeight w:val="229"/>
        </w:trPr>
        <w:tc>
          <w:tcPr>
            <w:tcW w:w="544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16,385</w:t>
            </w: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283,490</w:t>
            </w:r>
          </w:p>
        </w:tc>
      </w:tr>
      <w:tr>
        <w:trPr>
          <w:trHeight w:val="229"/>
        </w:trPr>
        <w:tc>
          <w:tcPr>
            <w:tcW w:w="544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140,385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140,385</w:t>
            </w: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38,138</w:t>
            </w: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22,963</w:t>
            </w: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w:t>
            </w: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503,899</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503,899</w:t>
            </w: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528,270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647,151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7"/>
          </w:tcPr>
          <w:p>
            <w:pPr>
              <w:jc w:val="center"/>
              <w:ind w:right="192"/>
              <w:spacing w:after="0"/>
              <w:rPr>
                <w:sz w:val="20"/>
                <w:szCs w:val="20"/>
                <w:color w:val="auto"/>
              </w:rPr>
            </w:pPr>
            <w:r>
              <w:rPr>
                <w:rFonts w:ascii="Arial" w:cs="Arial" w:eastAsia="Arial" w:hAnsi="Arial"/>
                <w:sz w:val="14"/>
                <w:szCs w:val="14"/>
                <w:b w:val="1"/>
                <w:bCs w:val="1"/>
                <w:color w:val="auto"/>
                <w:w w:val="92"/>
              </w:rPr>
              <w:t>Fair Value Measurement as of December 31, 2021</w:t>
            </w:r>
          </w:p>
        </w:tc>
      </w:tr>
      <w:tr>
        <w:trPr>
          <w:trHeight w:val="187"/>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r>
      <w:tr>
        <w:trPr>
          <w:trHeight w:val="224"/>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474,294</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83,728</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Corporate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78,363</w:t>
            </w:r>
          </w:p>
        </w:tc>
      </w:tr>
      <w:tr>
        <w:trPr>
          <w:trHeight w:val="230"/>
        </w:trPr>
        <w:tc>
          <w:tcPr>
            <w:tcW w:w="6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15,188</w:t>
            </w: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16,720</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193,999</w:t>
            </w: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474,294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193,999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668,293</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As of March 31,</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6"/>
              </w:rPr>
              <w:t>As of December 31,</w:t>
            </w:r>
          </w:p>
        </w:tc>
      </w:tr>
      <w:tr>
        <w:trPr>
          <w:trHeight w:val="188"/>
        </w:trPr>
        <w:tc>
          <w:tcPr>
            <w:tcW w:w="8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3,388</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Liability for early exercise of unvested stock options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7,112</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March 31, 2022 and December 31, 2021.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w:t>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7" w:name="page18"/>
    <w:bookmarkEnd w:id="17"/>
    <w:p>
      <w:pPr>
        <w:jc w:val="both"/>
        <w:ind w:right="20"/>
        <w:spacing w:after="0" w:line="263" w:lineRule="auto"/>
        <w:rPr>
          <w:sz w:val="20"/>
          <w:szCs w:val="20"/>
          <w:color w:val="auto"/>
        </w:rPr>
      </w:pPr>
      <w:r>
        <w:rPr>
          <w:rFonts w:ascii="Arial" w:cs="Arial" w:eastAsia="Arial" w:hAnsi="Arial"/>
          <w:sz w:val="18"/>
          <w:szCs w:val="18"/>
          <w:color w:val="auto"/>
        </w:rPr>
        <w:t>months ended March 31, 2022 and 2021, the Company did not incur material costs to defend lawsuits or settle claims related to these indemnifications. The Company believes the fair value of these liabilities is not material and accordingly has no liabilities recorded for these agreements as of March 31, 2022 and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Common Stock and Stockholders’ Equity (Deficit)</w:t>
      </w:r>
    </w:p>
    <w:p>
      <w:pPr>
        <w:spacing w:after="0" w:line="162"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The shares and corresponding capital amounts and all per share data related to Legacy Nextdoor’s authorized and outstanding redeemable convertible preferred stock, common stock, and stock-based awards prior to the Reverse Recapitalization have been retroactively adjusted using the Exchange Ratio.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Repurchase</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stock option grant agreements permit exercise prior to vesting. Upon termination of service of an employee, the Company has the right to repurchase any unvested, but issued, common stock at the original purchase price. The consideration received for an exercise of an option is accounted for as a deposit of the exercise price and is recorded as a liability. Upon vesting of the shares pursuant to the grant agreements, the shares and related liability are reclassified into stockholders’ equity (deficit). As of March 31, 2022 and December 31, 2021, the Company had $0.6 million and $0.7 million recorded in accrued expenses and other current liabilities related to 348,884 and 421,594 unvested shares of common stock subject to repurchase,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Repurchase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2018, an executive of the Company purchased 15,408,183 shares of restricted stock, subject to time-based service requirements, which vest over a forty-eight month period. The shares issued upon the purchase of restricted stock are considered to be legally issued and outstanding on the date of purchase and the executive has full voting rights. Upon termination of service, the Company may repurchase unvested shares acquired at a price equal to the price per share paid upon the exercise. Upon vesting of the shares pursuant to the grant agreements, the shares and related liability are reclassified into stockholders’ equity (deficit). As of March 31, 2022, the Company had $3.3 million recorded in deposits related to 2,247,025 unvested shares of common stock subject to repurchase. As of December 31, 2021, the Company had $4.8 million recorded in deposits related to 3,210,037 unvested shares of common stock subject to repurchase. For the three months ended March 31, 2022 and 2021, the Company recorded stock-based compensation expense of $1.1 million and $1.1 million, respectively, related to this restricted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of shares issued over the term of the 2021 ESPP, subject to adjustments for stock-splits, recapitalizations, or similar events, may not exceed 89,011,590 shares. In February 2022, the Company commenced its first offering period under the 2021 ESPP. As of March 31, 2022, no shares of Class A common stock have been purchased under the 2021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RSUs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four years. RSUs granted for Class A common stock generally vest on a quarterly basis over four years.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stock option activity for the three months ended March 31, 2022 and related information is as follows (in thousands, except per share data):</w:t>
      </w:r>
    </w:p>
    <w:tbl>
      <w:tblPr>
        <w:tblLayout w:type="fixed"/>
        <w:tblInd w:w="0" w:type="dxa"/>
        <w:tblCellMar>
          <w:top w:w="0" w:type="dxa"/>
          <w:left w:w="0" w:type="dxa"/>
          <w:bottom w:w="0" w:type="dxa"/>
          <w:right w:w="0" w:type="dxa"/>
        </w:tblCellMar>
      </w:tblPr>
      <w:tr>
        <w:trPr>
          <w:trHeight w:val="144"/>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Contractual Term</w:t>
            </w: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Exercise Price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300" w:type="dxa"/>
            <w:vAlign w:val="bottom"/>
          </w:tcPr>
          <w:p>
            <w:pPr>
              <w:spacing w:after="0"/>
              <w:rPr>
                <w:sz w:val="16"/>
                <w:szCs w:val="16"/>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58,278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322,799</w:t>
            </w:r>
          </w:p>
        </w:tc>
        <w:tc>
          <w:tcPr>
            <w:tcW w:w="0" w:type="dxa"/>
            <w:vAlign w:val="bottom"/>
          </w:tcPr>
          <w:p>
            <w:pPr>
              <w:spacing w:after="0"/>
              <w:rPr>
                <w:sz w:val="1"/>
                <w:szCs w:val="1"/>
                <w:color w:val="auto"/>
              </w:rPr>
            </w:pPr>
          </w:p>
        </w:tc>
      </w:tr>
      <w:tr>
        <w:trPr>
          <w:trHeight w:val="229"/>
        </w:trPr>
        <w:tc>
          <w:tcPr>
            <w:tcW w:w="55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5,817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Balances at March 31, 2022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59,911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199,094</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40" w:type="dxa"/>
            <w:vAlign w:val="bottom"/>
          </w:tcPr>
          <w:p>
            <w:pPr>
              <w:ind w:left="20"/>
              <w:spacing w:after="0"/>
              <w:rPr>
                <w:sz w:val="20"/>
                <w:szCs w:val="20"/>
                <w:color w:val="auto"/>
              </w:rPr>
            </w:pPr>
            <w:r>
              <w:rPr>
                <w:rFonts w:ascii="Arial" w:cs="Arial" w:eastAsia="Arial" w:hAnsi="Arial"/>
                <w:sz w:val="18"/>
                <w:szCs w:val="18"/>
                <w:color w:val="auto"/>
              </w:rPr>
              <w:t>Options vested and exercisable at March 31, 2022</w:t>
            </w:r>
          </w:p>
        </w:tc>
        <w:tc>
          <w:tcPr>
            <w:tcW w:w="1360" w:type="dxa"/>
            <w:vAlign w:val="bottom"/>
          </w:tcPr>
          <w:p>
            <w:pPr>
              <w:jc w:val="right"/>
              <w:spacing w:after="0"/>
              <w:rPr>
                <w:sz w:val="20"/>
                <w:szCs w:val="20"/>
                <w:color w:val="auto"/>
              </w:rPr>
            </w:pPr>
            <w:r>
              <w:rPr>
                <w:rFonts w:ascii="Arial" w:cs="Arial" w:eastAsia="Arial" w:hAnsi="Arial"/>
                <w:sz w:val="18"/>
                <w:szCs w:val="18"/>
                <w:color w:val="auto"/>
              </w:rPr>
              <w:t>24,870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104,361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$3.28 per share and $3.70 per share during the three months ended March 31, 2022 and 2021, respectively.</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number of shares vested during the three months ended March 31, 2022 and 2021 was 3,796,345 and 3,952,096, respectively. The weighted average grant-date fair value of options vested was $2.75 per share and $1.90 per share during the three months ended March 31, 2022 and 2021, respectively. The intrinsic value of the options exercised was $9.8 million and $5.5 million for the three months ended March 31, 2022 and 2021, respectively.</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did not issue any grants to non-employees during the three months ended March 31, 2022. The Company granted 19,640 options to non-employees during the three months ended March 31, 2021.</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 summary of the Company’s RSU activity for the three months ended March 31, 2022 and related information is as follows (in thousands, except per share data):</w:t>
      </w:r>
    </w:p>
    <w:tbl>
      <w:tblPr>
        <w:tblLayout w:type="fixed"/>
        <w:tblInd w:w="0" w:type="dxa"/>
        <w:tblCellMar>
          <w:top w:w="0" w:type="dxa"/>
          <w:left w:w="0" w:type="dxa"/>
          <w:bottom w:w="0" w:type="dxa"/>
          <w:right w:w="0" w:type="dxa"/>
        </w:tblCellMar>
      </w:tblPr>
      <w:tr>
        <w:trPr>
          <w:trHeight w:val="144"/>
        </w:trPr>
        <w:tc>
          <w:tcPr>
            <w:tcW w:w="39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3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2021</w:t>
            </w:r>
          </w:p>
        </w:tc>
        <w:tc>
          <w:tcPr>
            <w:tcW w:w="45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2,128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vested</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RSUs forfeited</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March 31, 2022</w:t>
            </w:r>
          </w:p>
        </w:tc>
        <w:tc>
          <w:tcPr>
            <w:tcW w:w="45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17</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94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4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assumptions were used to calculate the fair value of employee and non-employee stock option grants made during the following periods: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53.9% - 55.6%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53.8% -54.5%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6.4</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$5.58 - $6.06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$4.92 - $5.28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in the condensed consolidated statements of operations as follows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3,394</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there was $144.8 million of unrecognized stock-based compensation expense, which is expected to be recognized over a weighted average period of 2.3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Attributable to Common Stockholders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Reverse Recapitalization, the Company has retroactively adjusted the weighted average number of shares of common stock outstanding prior to the Closing by multiplying them by the Exchange Ratio of 3.1057 used to determine the number of shares of common stock into which they converted. The following table sets forth the computation of basic and diluted net loss per share attributable to common stockholders (in thousands, except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4"/>
        </w:trPr>
        <w:tc>
          <w:tcPr>
            <w:tcW w:w="7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Class A</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55"/>
              <w:spacing w:after="0"/>
              <w:rPr>
                <w:sz w:val="20"/>
                <w:szCs w:val="20"/>
                <w:color w:val="auto"/>
              </w:rPr>
            </w:pPr>
            <w:r>
              <w:rPr>
                <w:rFonts w:ascii="Arial" w:cs="Arial" w:eastAsia="Arial" w:hAnsi="Arial"/>
                <w:sz w:val="14"/>
                <w:szCs w:val="14"/>
                <w:color w:val="auto"/>
              </w:rPr>
              <w:t>Class B</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17"/>
              <w:spacing w:after="0"/>
              <w:rPr>
                <w:sz w:val="20"/>
                <w:szCs w:val="20"/>
                <w:color w:val="auto"/>
              </w:rPr>
            </w:pPr>
            <w:r>
              <w:rPr>
                <w:rFonts w:ascii="Arial" w:cs="Arial" w:eastAsia="Arial" w:hAnsi="Arial"/>
                <w:sz w:val="14"/>
                <w:szCs w:val="14"/>
                <w:color w:val="auto"/>
              </w:rPr>
              <w:t>Common</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(6,814)</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(26,134)</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175"/>
        </w:trPr>
        <w:tc>
          <w:tcPr>
            <w:tcW w:w="7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 average shares used in computing net loss per share attributable to Class A and Class</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78,980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302,897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97,873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 common stockholders, basic and diluted</w:t>
            </w:r>
          </w:p>
        </w:tc>
        <w:tc>
          <w:tcPr>
            <w:tcW w:w="2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w w:val="92"/>
              </w:rPr>
              <w:t>Net loss per share attributable to Class A and Class B common stockholders,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net loss per share because such securities have an anti-dilutive impact due to losses reported (in thousands):</w:t>
      </w:r>
    </w:p>
    <w:p>
      <w:pPr>
        <w:ind w:left="9340"/>
        <w:spacing w:after="0"/>
        <w:rPr>
          <w:sz w:val="20"/>
          <w:szCs w:val="20"/>
          <w:color w:val="auto"/>
        </w:rPr>
      </w:pPr>
      <w:r>
        <w:rPr>
          <w:rFonts w:ascii="Arial" w:cs="Arial" w:eastAsia="Arial" w:hAnsi="Arial"/>
          <w:sz w:val="14"/>
          <w:szCs w:val="14"/>
          <w:b w:val="1"/>
          <w:bCs w:val="1"/>
          <w:color w:val="auto"/>
        </w:rPr>
        <w:t>As of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190,477</w:t>
            </w:r>
          </w:p>
        </w:tc>
      </w:tr>
      <w:tr>
        <w:trPr>
          <w:trHeight w:val="229"/>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Outstanding stock options</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59,911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62,525</w:t>
            </w:r>
          </w:p>
        </w:tc>
      </w:tr>
      <w:tr>
        <w:trPr>
          <w:trHeight w:val="270"/>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RSUs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Unvested early exercised stock options subject to repurchase</w:t>
            </w:r>
          </w:p>
        </w:tc>
        <w:tc>
          <w:tcPr>
            <w:tcW w:w="520" w:type="dxa"/>
            <w:vAlign w:val="bottom"/>
          </w:tcPr>
          <w:p>
            <w:pPr>
              <w:jc w:val="right"/>
              <w:spacing w:after="0"/>
              <w:rPr>
                <w:sz w:val="20"/>
                <w:szCs w:val="20"/>
                <w:color w:val="auto"/>
              </w:rPr>
            </w:pPr>
            <w:r>
              <w:rPr>
                <w:rFonts w:ascii="Arial" w:cs="Arial" w:eastAsia="Arial" w:hAnsi="Arial"/>
                <w:sz w:val="18"/>
                <w:szCs w:val="18"/>
                <w:color w:val="auto"/>
              </w:rPr>
              <w:t>349</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30"/>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Shares issuable pursuant to the ESPP</w:t>
            </w:r>
          </w:p>
        </w:tc>
        <w:tc>
          <w:tcPr>
            <w:tcW w:w="520" w:type="dxa"/>
            <w:vAlign w:val="bottom"/>
          </w:tcPr>
          <w:p>
            <w:pPr>
              <w:jc w:val="right"/>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Contingently issuable shares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69,196</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259,946</w:t>
            </w:r>
          </w:p>
        </w:tc>
      </w:tr>
      <w:tr>
        <w:trPr>
          <w:trHeight w:val="20"/>
        </w:trPr>
        <w:tc>
          <w:tcPr>
            <w:tcW w:w="8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Employee Benefit Plan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401(k) plan (“the Plan”) covering all eligible employees in the United States. The Company is allowed to make discretionary profit sharing and qualified non-elective contributions as defined by the Plan and as approved by the Board of Directors. As of January 1, 2021, the Company began matching a portion of eligible participants’ 401(k) contributions. The Company’s match totaled $0.6 million and $0.5 million for the three months ended March 31, 2022 and March 31, 2021, respectively. No discretionary profit-sharing contributions have been made to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an income tax expense for the three months ended March 31, 2022 and 2021 of less than $0.1 million and $0.1 million, respectively, both of which were primarily driven by foreign taxes.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geography based on the customers’ location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34,387</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long-lived assets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rPr>
          <w:sz w:val="20"/>
          <w:szCs w:val="20"/>
          <w:color w:val="auto"/>
        </w:rPr>
      </w:pPr>
      <w:r>
        <w:rPr>
          <w:rFonts w:ascii="Arial" w:cs="Arial" w:eastAsia="Arial" w:hAnsi="Arial"/>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March 31, 2022, Nextdoor was in more than 290,000 neighborhoods around the world and in nearly 1 in 3 households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business metrics for the three months ended March 31, 2022 are as follows: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Weekly Active Users (“</w:t>
      </w:r>
      <w:r>
        <w:rPr>
          <w:rFonts w:ascii="Arial" w:cs="Arial" w:eastAsia="Arial" w:hAnsi="Arial"/>
          <w:sz w:val="18"/>
          <w:szCs w:val="18"/>
          <w:i w:val="1"/>
          <w:iCs w:val="1"/>
          <w:color w:val="auto"/>
        </w:rPr>
        <w:t>WAUs”</w:t>
      </w:r>
      <w:r>
        <w:rPr>
          <w:rFonts w:ascii="Arial" w:cs="Arial" w:eastAsia="Arial" w:hAnsi="Arial"/>
          <w:sz w:val="18"/>
          <w:szCs w:val="18"/>
          <w:color w:val="auto"/>
        </w:rPr>
        <w:t>) were 36.7 million, an increase of 33% compared to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Average revenue per weekly active user (“</w:t>
      </w:r>
      <w:r>
        <w:rPr>
          <w:rFonts w:ascii="Arial" w:cs="Arial" w:eastAsia="Arial" w:hAnsi="Arial"/>
          <w:sz w:val="17"/>
          <w:szCs w:val="17"/>
          <w:i w:val="1"/>
          <w:iCs w:val="1"/>
          <w:color w:val="auto"/>
        </w:rPr>
        <w:t>ARPU</w:t>
      </w:r>
      <w:r>
        <w:rPr>
          <w:rFonts w:ascii="Arial" w:cs="Arial" w:eastAsia="Arial" w:hAnsi="Arial"/>
          <w:sz w:val="17"/>
          <w:szCs w:val="17"/>
          <w:color w:val="auto"/>
        </w:rPr>
        <w:t>”) was $1.39, an increase of 12% compared to the three months ended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 as of and for the three months ended March 31, 2022 are as follows:</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was $51.0 million, an increase of 48% compared to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costs and expenses were $84.2 million, an increase of 42% compared to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loss increased 31% to $(32.9) million, compared to $(25.1) million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loss increased 18% to $(19.9) million, compared to $(16.8) million for the three months ended March 31, 2021.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cash equivalents, and marketable securities were $711.9 million.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Non-GAAP Financial Measure</w:t>
      </w:r>
      <w:r>
        <w:rPr>
          <w:rFonts w:ascii="Arial" w:cs="Arial" w:eastAsia="Arial" w:hAnsi="Arial"/>
          <w:sz w:val="17"/>
          <w:szCs w:val="17"/>
          <w:color w:val="auto"/>
        </w:rPr>
        <w:t>” below for more information and for a reconciliation of net loss, the most directly comparable financial measure calculated and presented in accordance with U.S. generally accepted accounting principles (</w:t>
      </w:r>
      <w:r>
        <w:rPr>
          <w:rFonts w:ascii="Arial" w:cs="Arial" w:eastAsia="Arial" w:hAnsi="Arial"/>
          <w:sz w:val="17"/>
          <w:szCs w:val="17"/>
          <w:i w:val="1"/>
          <w:iCs w:val="1"/>
          <w:color w:val="auto"/>
        </w:rPr>
        <w:t>“GAAP”</w:t>
      </w:r>
      <w:r>
        <w:rPr>
          <w:rFonts w:ascii="Arial" w:cs="Arial" w:eastAsia="Arial" w:hAnsi="Arial"/>
          <w:sz w:val="17"/>
          <w:szCs w:val="17"/>
          <w:color w:val="auto"/>
        </w:rPr>
        <w:t>), to Adjusted EBITDA.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Transactions</w:t>
      </w:r>
    </w:p>
    <w:p>
      <w:pPr>
        <w:spacing w:after="0" w:line="15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On November 5, 2021, we consummated the Business Combination and the PIPE Investment (as described in the unaudited condensed consolidated financial statements included elsewhere in this Quarterly Report) (collectively, the “</w:t>
      </w:r>
      <w:r>
        <w:rPr>
          <w:rFonts w:ascii="Arial" w:cs="Arial" w:eastAsia="Arial" w:hAnsi="Arial"/>
          <w:sz w:val="16"/>
          <w:szCs w:val="16"/>
          <w:i w:val="1"/>
          <w:iCs w:val="1"/>
          <w:color w:val="auto"/>
        </w:rPr>
        <w:t>Reverse Recapitalization</w:t>
      </w:r>
      <w:r>
        <w:rPr>
          <w:rFonts w:ascii="Arial" w:cs="Arial" w:eastAsia="Arial" w:hAnsi="Arial"/>
          <w:sz w:val="16"/>
          <w:szCs w:val="16"/>
          <w:color w:val="auto"/>
        </w:rPr>
        <w:t>”). Reported results from operations included herein prior to the Reverse Recapitalization are those of Legacy Nextdoor. Each share of Legacy Nextdoor common stock that was issued and outstanding immediately prior to the Closing Date, after giving effect to the conversion of all issued and outstanding shares of Legacy Nextdoor preferred stock to Legacy Nextdoor common stock, was canceled and converted into a number of shares of Nextdoor Class B common stock equal to the exchange ratio of 3.1057 as calculated in accordance with the Merger Agreement (“</w:t>
      </w:r>
      <w:r>
        <w:rPr>
          <w:rFonts w:ascii="Arial" w:cs="Arial" w:eastAsia="Arial" w:hAnsi="Arial"/>
          <w:sz w:val="16"/>
          <w:szCs w:val="16"/>
          <w:i w:val="1"/>
          <w:iCs w:val="1"/>
          <w:color w:val="auto"/>
        </w:rPr>
        <w:t>Exchange Ratio</w:t>
      </w:r>
      <w:r>
        <w:rPr>
          <w:rFonts w:ascii="Arial" w:cs="Arial" w:eastAsia="Arial" w:hAnsi="Arial"/>
          <w:sz w:val="16"/>
          <w:szCs w:val="16"/>
          <w:color w:val="auto"/>
        </w:rPr>
        <w:t>”) multiplied by the number of shares of Legacy Nextdoor common stock.</w:t>
      </w:r>
    </w:p>
    <w:p>
      <w:pPr>
        <w:jc w:val="both"/>
        <w:ind w:firstLine="324"/>
        <w:spacing w:after="0" w:line="256" w:lineRule="auto"/>
        <w:rPr>
          <w:sz w:val="20"/>
          <w:szCs w:val="20"/>
          <w:color w:val="auto"/>
        </w:rPr>
      </w:pPr>
      <w:r>
        <w:rPr>
          <w:rFonts w:ascii="Arial" w:cs="Arial" w:eastAsia="Arial" w:hAnsi="Arial"/>
          <w:sz w:val="16"/>
          <w:szCs w:val="16"/>
          <w:color w:val="auto"/>
        </w:rPr>
        <w:t>The Merger was accounted for as a reverse recapitalization in accordance with GAAP. Under this method of accounting, KVSB was treated as the “acquired” company for financial reporting purposes. Accordingly, the financial statements of Nextdoor represent the continuation of the financial statements of Legacy Nextdoor, with the Merger reflected as the equivalent of Nextdoor issuing common stock for the net assets of KVSB, accompanied by a recapitalization. The net assets of KVSB were recognized as of the Closing at historical cost, with no goodwill or other intangible assets recorded. Operations prior to the Merger are those of Legacy Nextdoor and Legacy Nextdoor’s operations are the only ongoing operations of Nextdoor.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to the measures presented in our unaudited condensed consolidated financial statements, we use the following key business metrics to evaluate our business, measure our performance, develop financial forecasts, and make strategic decisions: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Weekly Active Users (WAUs)</w:t>
      </w:r>
    </w:p>
    <w:p>
      <w:pPr>
        <w:spacing w:after="0" w:line="171"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8"/>
          <w:szCs w:val="18"/>
          <w:color w:val="auto"/>
        </w:rPr>
        <w:t>We define a WAU as a Nextdoor user who opens our application, logs on to our website, or engages with an email with monetizable content at least once during a defined 7-day period.</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3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spacing w:after="0" w:line="13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Our WAU for the three months ended March 31, 2022 and 2021 was 36.7 million and 27.6 million, respectively, which represents 33% growth period over period. As illustrated below, our international WAUs have generally grown at a faster rate than our U.S. WAUs, and we expect this international growth to continue to outpace U.S. growth in the near term.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Average Weekly Active Users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37555" cy="3009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37555"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32"/>
        <w:spacing w:after="0" w:line="222" w:lineRule="auto"/>
        <w:tabs>
          <w:tab w:leader="none" w:pos="427"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w:t>
      </w:r>
      <w:r>
        <w:rPr>
          <w:rFonts w:ascii="Arial" w:cs="Arial" w:eastAsia="Arial" w:hAnsi="Arial"/>
          <w:sz w:val="14"/>
          <w:szCs w:val="14"/>
          <w:i w:val="1"/>
          <w:iCs w:val="1"/>
          <w:color w:val="auto"/>
        </w:rPr>
        <w:t>CPM</w:t>
      </w:r>
      <w:r>
        <w:rPr>
          <w:rFonts w:ascii="Arial" w:cs="Arial" w:eastAsia="Arial" w:hAnsi="Arial"/>
          <w:sz w:val="14"/>
          <w:szCs w:val="14"/>
          <w:color w:val="auto"/>
        </w:rPr>
        <w:t>”) basis or on a cost per click (“</w:t>
      </w:r>
      <w:r>
        <w:rPr>
          <w:rFonts w:ascii="Arial" w:cs="Arial" w:eastAsia="Arial" w:hAnsi="Arial"/>
          <w:sz w:val="14"/>
          <w:szCs w:val="14"/>
          <w:i w:val="1"/>
          <w:iCs w:val="1"/>
          <w:color w:val="auto"/>
        </w:rPr>
        <w:t>CPC</w:t>
      </w:r>
      <w:r>
        <w:rPr>
          <w:rFonts w:ascii="Arial" w:cs="Arial" w:eastAsia="Arial" w:hAnsi="Arial"/>
          <w:sz w:val="14"/>
          <w:szCs w:val="14"/>
          <w:color w:val="auto"/>
        </w:rPr>
        <w:t>”) basis or, with respect to neighborhood sponsorships and local deals,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1116965</wp:posOffset>
            </wp:positionH>
            <wp:positionV relativeFrom="page">
              <wp:posOffset>568960</wp:posOffset>
            </wp:positionV>
            <wp:extent cx="5314950" cy="2743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495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Weekly Active User (ARPU)</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pacing w:after="0" w:line="110"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March 31, 2022 and 2021 was $1.39 and $1.25, respectively. Our ARPU reflects the seasonality of our advertising revenue, with the fourth quarter typically being the strongest quarter of each year.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120015</wp:posOffset>
            </wp:positionV>
            <wp:extent cx="5314950" cy="5734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generate substantially all of our revenue from the delivery of advertisements on our platform which includes the delivery of advertising impressions sold on a CPM basis and CPC basis, as well as neighborhood sponsorships and local deals which are sold on a fixed-fee basis. The majority of our revenue is generated in the United States.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7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5" w:name="page26"/>
    <w:bookmarkEnd w:id="25"/>
    <w:p>
      <w:pPr>
        <w:jc w:val="both"/>
        <w:ind w:firstLine="324"/>
        <w:spacing w:after="0" w:line="248" w:lineRule="auto"/>
        <w:rPr>
          <w:sz w:val="20"/>
          <w:szCs w:val="20"/>
          <w:color w:val="auto"/>
        </w:rPr>
      </w:pPr>
      <w:r>
        <w:rPr>
          <w:rFonts w:ascii="Arial" w:cs="Arial" w:eastAsia="Arial" w:hAnsi="Arial"/>
          <w:sz w:val="18"/>
          <w:szCs w:val="18"/>
          <w:color w:val="auto"/>
        </w:rPr>
        <w:t>We expect cost of revenue will increase on an absolute dollar basis as neighbor activity on our platform increases. While we expect to realize scale benefits over time, our cost of revenue as a percentage of revenue may vary from period-to-period and is expected to increase modestly over the near and medium term as we invest in new products and features to further increase platform engagement.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We expect research and development expenses will increase on an absolute dollar basis due to investments that we are making in our platform. We expect that research and development expenses as a percentage of revenue will vary from period-to-period over the short term and decrease over the long 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small and mid-sized customer acquisition, and neighbor services, which includes personnel-related costs for our neighbor support team, our outsourced neighbor support function, and verification costs.</w:t>
      </w:r>
    </w:p>
    <w:p>
      <w:pPr>
        <w:spacing w:after="0" w:line="13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0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expect sales and marketing expenses will increase on an absolute dollar basis due to continued investment in sales activities, increased investment in marketing to acquire users, small and mid-sized customers, and further investment in international expansion. We expect sales and marketing expenses as a percentage of revenue will vary from period-to-period over the short term and decrease over the long term.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93"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We expect general and administrative expenses will increase on an absolute dollar basis for the foreseeable future to support our growth as well as due to additional costs associated with legal, accounting, compliance, investor relations, and other costs as a result of operating as a public company. We expect general and administrative expenses as a percentage of revenue will vary from period-to-period over the short term and decrease over the long term.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of interest earned on our cash, cash equivalents, and marketable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(expense), net consists primarily of unrealized gains and losses from the re-measurement of monetary assets and liabilities denominated in non-functional currencies, and foreign currency transaction gains and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line="230" w:lineRule="exact"/>
              <w:rPr>
                <w:sz w:val="20"/>
                <w:szCs w:val="20"/>
                <w:color w:val="auto"/>
              </w:rPr>
            </w:pPr>
            <w:r>
              <w:rPr>
                <w:rFonts w:ascii="Arial" w:cs="Arial" w:eastAsia="Arial" w:hAnsi="Arial"/>
                <w:sz w:val="18"/>
                <w:szCs w:val="18"/>
                <w:color w:val="auto"/>
              </w:rPr>
              <w:t>Costs and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9,329</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84,226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59,380</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64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8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following table sets forth the components of our unaudited condensed consolidated statements of operations as a percentage of revenue for each of the periods presented:</w:t>
      </w:r>
    </w:p>
    <w:p>
      <w:pPr>
        <w:spacing w:after="0" w:line="135"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(as a percentage of total revenue)</w:t>
            </w:r>
          </w:p>
        </w:tc>
        <w:tc>
          <w:tcPr>
            <w:tcW w:w="13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jc w:val="right"/>
              <w:ind w:right="131"/>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61</w:t>
            </w: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w:t>
            </w:r>
          </w:p>
        </w:tc>
      </w:tr>
      <w:tr>
        <w:trPr>
          <w:trHeight w:val="230"/>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w:t>
            </w:r>
          </w:p>
        </w:tc>
      </w:tr>
      <w:tr>
        <w:trPr>
          <w:trHeight w:val="223"/>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13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r>
      <w:tr>
        <w:trPr>
          <w:trHeight w:val="223"/>
        </w:trPr>
        <w:tc>
          <w:tcPr>
            <w:tcW w:w="84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ind w:left="90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400" w:type="dxa"/>
            <w:vAlign w:val="bottom"/>
          </w:tcPr>
          <w:p>
            <w:pPr>
              <w:ind w:left="920"/>
              <w:spacing w:after="0"/>
              <w:rPr>
                <w:sz w:val="20"/>
                <w:szCs w:val="20"/>
                <w:color w:val="auto"/>
              </w:rPr>
            </w:pPr>
            <w:r>
              <w:rPr>
                <w:rFonts w:ascii="Arial" w:cs="Arial" w:eastAsia="Arial" w:hAnsi="Arial"/>
                <w:sz w:val="18"/>
                <w:szCs w:val="18"/>
                <w:color w:val="auto"/>
              </w:rPr>
              <w:t>(73)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3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(73)</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48"/>
        </w:trPr>
        <w:tc>
          <w:tcPr>
            <w:tcW w:w="8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3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1"/>
              </w:rPr>
              <w:t>(65)%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(73)%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spacing w:after="0"/>
              <w:rPr>
                <w:sz w:val="16"/>
                <w:szCs w:val="16"/>
                <w:color w:val="auto"/>
              </w:rPr>
            </w:pPr>
          </w:p>
        </w:tc>
        <w:tc>
          <w:tcPr>
            <w:tcW w:w="114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6"/>
                <w:szCs w:val="16"/>
                <w:color w:val="auto"/>
              </w:rPr>
            </w:pPr>
          </w:p>
        </w:tc>
      </w:tr>
      <w:tr>
        <w:trPr>
          <w:trHeight w:val="188"/>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51,000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16,613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bl>
    <w:p>
      <w:pPr>
        <w:spacing w:after="0" w:line="25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8"/>
          <w:szCs w:val="18"/>
          <w:color w:val="auto"/>
        </w:rPr>
        <w:t>Revenue increased by $16.6 million, or 48%, for the three months ended March 31, 2022 compared to the three months ended March 31, 2021. The increase was primarily due to increased advertiser demand across our product offerings, our growing sales team, and increased user engagement as measured by a 33% increase in Q1 WAUs. ARPU increased 12% primarily due to a 35% increase in the number of impressions delivered, which outpaced WAU growth during the period, and a 15% increase in the price per delivered impression.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8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9,055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242"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Cost of revenue increased by $2.7 million, or 43%, for the three months ended March 31, 2022 compared to the three months ended March 31, 2021. The increase was primarily due to $1.5 million higher third-party hosting costs due to increased user growth and engagement, a $0.5 million increase in allocated personnel-related costs, and a $0.3 million increase in third-party costs associated with delivering and supporting our advertising products.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28,960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bl>
    <w:p>
      <w:pPr>
        <w:spacing w:after="0" w:line="25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color w:val="auto"/>
        </w:rPr>
        <w:t>Research and development expenses increased by $8.1 million, or 39%, for the three months ended March 31, 2022 compared to the three months ended March 31, 2021. The increase was primarily due to a $6.3 million increase in personnel-related costs primarily driven by an increase in headcount, a $0.7 million increase in third-party software costs, and a $0.6 million increase in allocated overhead costs reflecting an increase in headcount.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 and other</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Brand and performance marketing</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7,148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Neighbor services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Total sales and marketing</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22,894</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1"/>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and marketing expenses increased by $8.2 million, or 36%, for the three months ended March 31, 2022 compared to the three months ended March 31, 2021. The increase was primarily due to a $4.7 million increase in personnel-related and other costs, which was driven by an increase in headcount, a $2.3 million increase in performance marketing costs to attract small and mid-sized customers, and a $1.2 million increase in performance marketing costs for user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Pr>
          <w:p>
            <w:pPr>
              <w:spacing w:after="0"/>
              <w:rPr>
                <w:sz w:val="16"/>
                <w:szCs w:val="16"/>
                <w:color w:val="auto"/>
              </w:rPr>
            </w:pPr>
          </w:p>
        </w:tc>
        <w:tc>
          <w:tcPr>
            <w:tcW w:w="110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88"/>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15,150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bl>
    <w:p>
      <w:pPr>
        <w:spacing w:after="0" w:line="200" w:lineRule="exact"/>
        <w:rPr>
          <w:sz w:val="20"/>
          <w:szCs w:val="20"/>
          <w:color w:val="auto"/>
        </w:rPr>
      </w:pP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28" w:name="page29"/>
    <w:bookmarkEnd w:id="28"/>
    <w:p>
      <w:pPr>
        <w:jc w:val="both"/>
        <w:ind w:firstLine="324"/>
        <w:spacing w:after="0" w:line="347" w:lineRule="auto"/>
        <w:rPr>
          <w:sz w:val="20"/>
          <w:szCs w:val="20"/>
          <w:color w:val="auto"/>
        </w:rPr>
      </w:pPr>
      <w:r>
        <w:rPr>
          <w:rFonts w:ascii="Arial" w:cs="Arial" w:eastAsia="Arial" w:hAnsi="Arial"/>
          <w:sz w:val="16"/>
          <w:szCs w:val="16"/>
          <w:color w:val="auto"/>
        </w:rPr>
        <w:t>General and administrative expenses increased by $5.8 million, or 62%, for the three months ended March 31, 2022 compared to the three months ended March 31, 2021. The increase was primarily due to a $2.0 million increase in personnel-related costs which was driven by an increase in headcount, a $1.7 million increase in professional fees primarily related to operating as a public company, and a $1.5 million increase in insurance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6"/>
                <w:szCs w:val="16"/>
                <w:color w:val="auto"/>
              </w:rPr>
            </w:pPr>
          </w:p>
        </w:tc>
      </w:tr>
      <w:tr>
        <w:trPr>
          <w:trHeight w:val="157"/>
        </w:trPr>
        <w:tc>
          <w:tcPr>
            <w:tcW w:w="5540" w:type="dxa"/>
            <w:vAlign w:val="bottom"/>
          </w:tcPr>
          <w:p>
            <w:pPr>
              <w:ind w:left="20"/>
              <w:spacing w:after="0" w:line="157" w:lineRule="exact"/>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r>
      <w:tr>
        <w:trPr>
          <w:trHeight w:val="202"/>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(NM = Not Meaningful)</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Interest income increased by $0.5 million for the three months ended March 31, 2022 compared to the three months ended March 31, 2021. The increase was primarily driven by an increase in marketable securities and a slight improvement in interest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880" w:type="dxa"/>
            <w:vAlign w:val="bottom"/>
          </w:tcPr>
          <w:p>
            <w:pPr>
              <w:spacing w:after="0"/>
              <w:rPr>
                <w:sz w:val="16"/>
                <w:szCs w:val="16"/>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6"/>
                <w:szCs w:val="16"/>
                <w:color w:val="auto"/>
              </w:rPr>
            </w:pPr>
          </w:p>
        </w:tc>
      </w:tr>
      <w:tr>
        <w:trPr>
          <w:trHeight w:val="196"/>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percentages)</w:t>
            </w: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242" w:lineRule="exact"/>
        <w:rPr>
          <w:sz w:val="20"/>
          <w:szCs w:val="20"/>
          <w:color w:val="auto"/>
        </w:rPr>
      </w:pPr>
    </w:p>
    <w:p>
      <w:pPr>
        <w:jc w:val="both"/>
        <w:ind w:right="20" w:firstLine="324"/>
        <w:spacing w:after="0" w:line="341" w:lineRule="auto"/>
        <w:rPr>
          <w:sz w:val="20"/>
          <w:szCs w:val="20"/>
          <w:color w:val="auto"/>
        </w:rPr>
      </w:pPr>
      <w:r>
        <w:rPr>
          <w:rFonts w:ascii="Arial" w:cs="Arial" w:eastAsia="Arial" w:hAnsi="Arial"/>
          <w:sz w:val="17"/>
          <w:szCs w:val="17"/>
          <w:color w:val="auto"/>
        </w:rPr>
        <w:t>Other expense, net decreased by $0.1 million for the three months ended March 31, 2022 compared to the three months ended March 31, 2021. The decrease was primarily due to the periodic re-measurement of monetary assets and liabilities denominated in non-functional currencies.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r>
      <w:tr>
        <w:trPr>
          <w:trHeight w:val="197"/>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25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8"/>
          <w:szCs w:val="18"/>
          <w:color w:val="auto"/>
        </w:rPr>
        <w:t>Provision for income taxes decreased by less than $0.1 million for the three months ended March 31, 2022 compared to the three months ended March 31, 2021. The decrease was primarily due to foreign income tax expenses.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inception, we have generated negative cash flows from operations and have primarily financed our operations from net proceeds received from the sale of equity securities, proceeds from the Reverse Recapitalization, and payments received from our customers. We currently have no debt outstanding.</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generated losses from our operations, as reflected in our accumulated deficit of $513.3 million as of March 31, 2022.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expansion of our business.</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7"/>
          <w:szCs w:val="17"/>
          <w:color w:val="auto"/>
        </w:rPr>
        <w:t>As of March 31, 2022, we had $711.9 million in cash, cash equivalents, and marketable securities. We anticipate satisfying our short 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 future equity or debt financing.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and the continuing market adoption of our platform, and our ability to obtain equity or debt financing.</w:t>
      </w:r>
    </w:p>
    <w:p>
      <w:pPr>
        <w:spacing w:after="0" w:line="20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9" w:name="page30"/>
    <w:bookmarkEnd w:id="29"/>
    <w:p>
      <w:pPr>
        <w:jc w:val="both"/>
        <w:spacing w:after="0" w:line="242" w:lineRule="auto"/>
        <w:rPr>
          <w:sz w:val="20"/>
          <w:szCs w:val="20"/>
          <w:color w:val="auto"/>
        </w:rPr>
      </w:pPr>
      <w:r>
        <w:rPr>
          <w:rFonts w:ascii="Arial" w:cs="Arial" w:eastAsia="Arial" w:hAnsi="Arial"/>
          <w:sz w:val="17"/>
          <w:szCs w:val="17"/>
          <w:color w:val="auto"/>
        </w:rPr>
        <w:t>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4"/>
              </w:rPr>
              <w:t>(8,750)</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(311,540)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center"/>
              <w:ind w:left="395"/>
              <w:spacing w:after="0"/>
              <w:rPr>
                <w:sz w:val="20"/>
                <w:szCs w:val="20"/>
                <w:color w:val="auto"/>
              </w:rPr>
            </w:pPr>
            <w:r>
              <w:rPr>
                <w:rFonts w:ascii="Arial" w:cs="Arial" w:eastAsia="Arial" w:hAnsi="Arial"/>
                <w:sz w:val="18"/>
                <w:szCs w:val="18"/>
                <w:color w:val="auto"/>
                <w:w w:val="88"/>
              </w:rPr>
              <w:t>8,956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8"/>
              </w:rPr>
              <w:t>4,928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used in operating activities during the three months ended March 31, 2022 was $5.5 million which resulted from a net loss of $(32.9) million, adjusted for non-cash charges of $12.7 million and net cash inflows of $14.8 million from changes in operating assets and liabilities. Non-cash charges primarily consisted of $12.1 million of stock-based compensation expense and $1.3 million of depreciation and amortization expense. The net cash inflows from changes in operating assets and liabilities were primarily due to a $7.8 million decrease in accounts receivable, a $5.6 million increase in accrued expenses and other current liabilities, and a $4.5 million decrease in prepaid expenses and other current assets. These amounts were partially offset by a $3.1 million decrease in accounts payable.</w:t>
      </w:r>
    </w:p>
    <w:p>
      <w:pPr>
        <w:spacing w:after="0" w:line="13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Cash used in operating activities during the three months ended March 31, 2021 was $8.8 million which resulted from a net loss of $(25.1) million, adjusted for non-cash charges of $8.3 million and net cash inflows of $8.1 million from changes in operating assets and liabilities. Non-cash charges primarily consisted of $7.2 million of stock-based compensation expense and $1.1 million of depreciation and amortization expense. The net cash inflow from changes in operating assets and liabilities was primarily the result of a $5.1 million decrease in accounts receivable, a $1.6 million decrease in operating lease right-of-use assets due to normal amortization, a $1.5 million increase in accrued expenses and other current liabilities, and a $0.3 million increase in accounts payable. These amounts were partially offset by a $0.9 million decrease in operating lease liabilities due to lease 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for the three months ended March 31, 2022 was $311.5 million, which consisted of purchases of marketable securities of $318.2 million and the purchase of property and equipment of $0.6 million. This was offset by proceeds from maturities of marketable securities of $7.3 million.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by investing activities for the three months ended March 31, 2021 was $9.0 million, which consisted of maturities of marketable securities of $15.2 million. This was offset by the purchases of marketable securities of $4.4 million and the purchase of property and equipment of $1.9 million related to our San Francisco headquarters.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provided by financing activities for the three months ended March 31, 2022 was $3.1 million, which included $4.1 million of proceeds from the exercise of stock options, net of repurchases, offset by tax withholdings on release of restricted stock units of $0.7 million, and the payment of deferred transaction costs of $0.3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financing activities for the three months ended March 31, 2021 was $4.9 million, which reflected proceeds from the exercise of stock options, net of repurchases.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7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Adjusted EBITDA is a non-GAAP financial measure that represents our net loss adjusted for depreciation and amortization, stock-based compensation, net interest income, provision for income taxes, and acquisition-related costs.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net loss, the most comparable GAAP measure, to Adjusted EBITDA: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(16,846)</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material changes to our critical accounting policies requiring estimates, assumptions, and judgments as compared to the critical accounting policies and estimates as described in our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complying with new or revised accounting standards. We expect to use this extended transition period for complying with new or revised accounting standards until the earlier of the date we (a) are no longer an emerging growth company or (b) affirmatively and irrevocably opt out of the extended transition period provided for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set forth in the JOBS Act, as an emerging growth company,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Dodd-Frank Wall Street Reform and Consumer Protection Act; and (c) disclose certain executive compensation-related items such as the comparison of the Chief Executive Officer’s compensation to median employee compensation.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under the JOBS Act until the earliest of (a) the last day of our first fiscal year following the fifth anniversary of the IPO, (b) the last date of the fiscal year in which our total annual gross revenue is at least $1.1 billion, (c) the last date of the fiscal year in which we are deemed to be a “large accelerated filer” under the rules of the SEC, which would occur if at least $700.0 million of our outstanding securities were held by non-affiliates as of the last business day of the second fiscal quarter of such year or (d) the date on which we have issued more than $1.0 billion in non-convertible debt securities during the previous three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2 to our unaudited condensed consolidated financial statements included elsewhere in this Quarterly Report for more information regarding recently issued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March 31, 2022, we had cash and cash equivalents of $208.0 million and marketable securities of $503.9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During the three months ended March 31, 2022 and 2021, we do not believe a 10% change in the relative value of the U.S. Dollar would have materially affected our unaudited condensed consolidated financial statements. To date, we have not had a formal hedging program with respect to foreign currency, but we may do so in the future if our exposure to foreign currency should become more significant.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defined in Exchange Act Rules 13a-15(e) and 15d-15(e)) as of the end of the period covered by this Quarterly Report, and have concluded that, based on such evaluation, our disclosure controls and procedures were effective as of March 31, 2022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fiscal quarter ended March 31, 2022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Disclosure Controls and Procedures</w:t>
      </w:r>
    </w:p>
    <w:p>
      <w:pPr>
        <w:spacing w:after="0" w:line="148"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both"/>
        <w:spacing w:after="0" w:line="238" w:lineRule="auto"/>
        <w:rPr>
          <w:sz w:val="20"/>
          <w:szCs w:val="20"/>
          <w:color w:val="auto"/>
        </w:rPr>
      </w:pPr>
      <w:r>
        <w:rPr>
          <w:rFonts w:ascii="Arial" w:cs="Arial" w:eastAsia="Arial" w:hAnsi="Arial"/>
          <w:sz w:val="17"/>
          <w:szCs w:val="17"/>
          <w:color w:val="auto"/>
        </w:rPr>
        <w:t>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3" w:name="page34"/>
    <w:bookmarkEnd w:id="33"/>
    <w:p>
      <w:pPr>
        <w:jc w:val="center"/>
        <w:ind w:right="-3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continue to grow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maintain our current rate of growth, which is a risk characteristic often shared by companies with limited operating histories participating in rapidly evolving industries.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There can be no assurance that we will successfully increase monetization on our platform or that we will sustain or increase the current growth rate of our revenue.</w:t>
      </w:r>
    </w:p>
    <w:p>
      <w:pPr>
        <w:spacing w:after="0" w:line="1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Substantially all of our revenue is currently generated from the sales of advertising on our platform in the form of online display advertisements, which include sponsored posts, local deals, and neighborhood sponsorships.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2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neighbor and advertiser engagement on the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anticipated growth in, or lack of growth or decreases in, the number of neighbors on the platform;</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offering more attractive pricing for advertisements that we are unable or unwilling to match;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the quantity or quality of advertisements shown to neighbors;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demographics of our neighbors that make us less attractive to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neighbors who exercise opt-out rights under privacy laws to restrict the advertisements they receive;</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neighbors that upload content or take other actions that are deemed to be hostile, inappropriate, illicit, objectionable, illegal, or otherwise not consistent with the brand of our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government actions or legislative, regulatory, or other legal developments;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neighbor behavior or changes to the platform that may affect, among other things, the safety and security of other neighbors or the cultivation of a positive and inclusive online community;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media reports or other negative publicity involving us;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implementing or enforcing policies, such as advertising policies, community guidelines, and other terms or service that are perceived negatively by advertisers;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improve our products for advertisers;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in, or reductions to, the availability, accuracy, utility, and security of analytics and measurement solutions offered by us or third parties that are intended to demonstrate the value of our advertisements to advertisers;</w:t>
      </w:r>
    </w:p>
    <w:p>
      <w:pPr>
        <w:spacing w:after="0" w:line="116" w:lineRule="exact"/>
        <w:rPr>
          <w:rFonts w:ascii="Arial" w:cs="Arial" w:eastAsia="Arial" w:hAnsi="Arial"/>
          <w:sz w:val="18"/>
          <w:szCs w:val="18"/>
          <w:color w:val="auto"/>
        </w:rPr>
      </w:pPr>
    </w:p>
    <w:p>
      <w:pPr>
        <w:ind w:left="660" w:right="220" w:hanging="328"/>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changes to our data privacy practices that affect the type or manner of advertising that we are able to provide, including as a result of changes to laws, regulations or regulatory actions, such as the GDPR, European Directive 2002/58/EC (the “</w:t>
      </w:r>
      <w:r>
        <w:rPr>
          <w:rFonts w:ascii="Arial" w:cs="Arial" w:eastAsia="Arial" w:hAnsi="Arial"/>
          <w:sz w:val="17"/>
          <w:szCs w:val="17"/>
          <w:i w:val="1"/>
          <w:iCs w:val="1"/>
          <w:color w:val="auto"/>
        </w:rPr>
        <w:t>ePrivacy Directive</w:t>
      </w:r>
      <w:r>
        <w:rPr>
          <w:rFonts w:ascii="Arial" w:cs="Arial" w:eastAsia="Arial" w:hAnsi="Arial"/>
          <w:sz w:val="17"/>
          <w:szCs w:val="17"/>
          <w:color w:val="auto"/>
        </w:rPr>
        <w:t>”), UK General Data Protection Regulation (“</w:t>
      </w:r>
      <w:r>
        <w:rPr>
          <w:rFonts w:ascii="Arial" w:cs="Arial" w:eastAsia="Arial" w:hAnsi="Arial"/>
          <w:sz w:val="17"/>
          <w:szCs w:val="17"/>
          <w:i w:val="1"/>
          <w:iCs w:val="1"/>
          <w:color w:val="auto"/>
        </w:rPr>
        <w:t>UK GDPR</w:t>
      </w:r>
      <w:r>
        <w:rPr>
          <w:rFonts w:ascii="Arial" w:cs="Arial" w:eastAsia="Arial" w:hAnsi="Arial"/>
          <w:sz w:val="17"/>
          <w:szCs w:val="17"/>
          <w:color w:val="auto"/>
        </w:rPr>
        <w:t>”), UK Data Protection Act 2018, the CCPA, Nevada’s Online Privacy Law (“</w:t>
      </w:r>
      <w:r>
        <w:rPr>
          <w:rFonts w:ascii="Arial" w:cs="Arial" w:eastAsia="Arial" w:hAnsi="Arial"/>
          <w:sz w:val="17"/>
          <w:szCs w:val="17"/>
          <w:i w:val="1"/>
          <w:iCs w:val="1"/>
          <w:color w:val="auto"/>
        </w:rPr>
        <w:t>Nevada Privacy Law</w:t>
      </w:r>
      <w:r>
        <w:rPr>
          <w:rFonts w:ascii="Arial" w:cs="Arial" w:eastAsia="Arial" w:hAnsi="Arial"/>
          <w:sz w:val="17"/>
          <w:szCs w:val="17"/>
          <w:color w:val="auto"/>
        </w:rPr>
        <w:t>”), the CDPA, the VCPDA, the CPRA, and other newly enacted U.S. state privacy laws, or changes to third-party policies; and</w:t>
      </w:r>
    </w:p>
    <w:p>
      <w:pPr>
        <w:spacing w:after="0" w:line="117"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among specific types of advertisers or within particular geographies, including the rise of inflation and interest rates.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time to time, certain of these factors have adversely affected our revenue to varying degrees. For example, during the second quarter of 2020, advertisers reduced their advertising spend with us as a result of the impact of the COVID-19 pandemic on global macroeconomic conditions and on the advertising industry in general.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pacing w:after="0" w:line="1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6" w:name="page37"/>
    <w:bookmarkEnd w:id="36"/>
    <w:p>
      <w:pPr>
        <w:jc w:val="both"/>
        <w:spacing w:after="0" w:line="269" w:lineRule="auto"/>
        <w:rPr>
          <w:sz w:val="20"/>
          <w:szCs w:val="20"/>
          <w:color w:val="auto"/>
        </w:rPr>
      </w:pPr>
      <w:r>
        <w:rPr>
          <w:rFonts w:ascii="Arial" w:cs="Arial" w:eastAsia="Arial" w:hAnsi="Arial"/>
          <w:sz w:val="17"/>
          <w:szCs w:val="17"/>
          <w:color w:val="auto"/>
        </w:rPr>
        <w:t>collect information that allows us to attribute neighbors’ actions on advertisers’ websites to the effectiveness of advertising campaigns run on our platform. For example, Apple launched its Intelligent Tracking Prevention (“</w:t>
      </w:r>
      <w:r>
        <w:rPr>
          <w:rFonts w:ascii="Arial" w:cs="Arial" w:eastAsia="Arial" w:hAnsi="Arial"/>
          <w:sz w:val="17"/>
          <w:szCs w:val="17"/>
          <w:i w:val="1"/>
          <w:iCs w:val="1"/>
          <w:color w:val="auto"/>
        </w:rPr>
        <w:t>ITP</w:t>
      </w:r>
      <w:r>
        <w:rPr>
          <w:rFonts w:ascii="Arial" w:cs="Arial" w:eastAsia="Arial" w:hAnsi="Arial"/>
          <w:sz w:val="17"/>
          <w:szCs w:val="17"/>
          <w:color w:val="auto"/>
        </w:rPr>
        <w:t>”)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stop supporting third-party cookies in its Google Chrome browser, likely by the end of 2023, and, more recently, that it intends to limit access by mobile applications to advertising identifiers on its Android devices. These web and mobile browser developers have also implemented and may continue to implement changes and restrictions in browser or device functionality that limit our ability to communicate with or understand the identity of our neighbors.</w:t>
      </w:r>
    </w:p>
    <w:p>
      <w:pPr>
        <w:spacing w:after="0" w:line="12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the current growth rate, if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 Moreover, we are unable to predict the continued impact of the COVID-19 pandemic on neighbor growth and engagement with any certainty, and we expect these trends to continue to be subject to volatility.</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neighbor base slows or reverses, we may be required to incur significantly higher marketing expenses than we currently anticipate in order to acquire new neighbors or retain current neighbors.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many factors that could negatively impact our ability to grow, retain and engage current and prospective neighbors, including but not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5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neighbors increasing their engagement with competitor’s platforms, products or services instead of, or more frequently than, our platform;</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amount of time neighbors spend across all applications and platforms, including our platform;</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failing to introduce platform enhancements that neighbors find engaging or if we introduce new features, terms, policies or procedures, or make changes to our platform, that are not favorably received by current or prospective neighbors;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technical or other problems frustrating the neighbor experience, such as problems that prevent us from delivering our service in a fast and reliable manner;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neighbors having difficulty installing, updating or otherwise accessing the Nextdoor platform on mobile devices through the app or web browsers;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neighbor behavior on the Nextdoor platform changing, including a decrease in the quality and frequency of content shares on the platform;</w:t>
      </w:r>
    </w:p>
    <w:p>
      <w:pPr>
        <w:spacing w:after="0" w:line="182"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mandated by legislation, government and regulatory authorities, or litigation that adversely impact our platform or neighbors;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parties preventing their content from being displayed on the Nextdoor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we may make to how we promote different features on our platform;</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initiatives designed to attract and retain neighbors and engagement are unsuccessful or discontinued, whether as a result of actions by us, third parties, or otherwise;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other partners and companies in the industry are the subject of adverse media reports or other negative publicity;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unable to combat spam, harassment, cyberbullying or other hostile, inappropriate, abusive or offensive content or usage on our platform; or</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highly competitive. Competition presents an ongoing threat to the success of our business.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compete in almost every aspect of our business with companies that provide a variety of internet products, services, content, and online advertising, including from Meta (including Facebook and Instagram), Alphabet (including Google), Pinterest, Snap, and Twitter. In addition, aspects of our platform compete with other products and services, including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Similarly, Google recently announced that it intends to limit access by mobile applications to advertising identifiers on its Android devices, likely by the end of 2023. As a result, our competitors may, and in some cases will, acquire and engage neighbors or generate advertising or other revenue at the expense of our efforts, which would negatively affect our business, operating results, and financial condition. In addition, from time to time, we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may take actions in response to competitive threats, but we cannot assure you that these actions will be successful or that they will not negatively affect our business, operating results, and financial condition.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popularity, usefulness, ease of use, performance, and reliability of our platform compared to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composition of our neighbor base;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engagement of neighbors with our platform and competing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first- and third-party data available to us relative to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advertisers who use our free or paid advertisements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market acceptance of developments and enhancements to our platform or our competitors’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safety and security efforts and our ability to protect neighbor data and to provide neighbors with control over their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distribute our platform to new and existing neighbors;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effectively monetize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implementation of platform changes, such as the migration to our proprietary ad server;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size, format, quality, and relative prominence of the advertisements displayed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selling efforts, including our ability to measure the effectiveness of our advertisements and to provide advertisers with a compelling return on their investments;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and maintain publisher interest in integrating their content with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mandated by legislation, regulatory authorities, or litigation, some of which may have a disproportionate effect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 particularly software engineers, designers, and managers;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cost-effectively manage and grow our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reputation and brand strength relative to those of our competitors.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1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t>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conflict in Ukraine),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majority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substantial portion of our network infrastructure is provided by third parties, including AWS.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130" w:lineRule="exact"/>
        <w:rPr>
          <w:sz w:val="20"/>
          <w:szCs w:val="20"/>
          <w:color w:val="auto"/>
        </w:rPr>
      </w:pPr>
    </w:p>
    <w:p>
      <w:pPr>
        <w:ind w:right="600"/>
        <w:spacing w:after="0" w:line="381" w:lineRule="auto"/>
        <w:rPr>
          <w:sz w:val="20"/>
          <w:szCs w:val="20"/>
          <w:color w:val="auto"/>
        </w:rPr>
      </w:pPr>
      <w:r>
        <w:rPr>
          <w:rFonts w:ascii="Arial" w:cs="Arial" w:eastAsia="Arial" w:hAnsi="Arial"/>
          <w:sz w:val="15"/>
          <w:szCs w:val="15"/>
          <w:b w:val="1"/>
          <w:bCs w:val="1"/>
          <w:i w:val="1"/>
          <w:iCs w:val="1"/>
          <w:color w:val="auto"/>
        </w:rPr>
        <w:t>We have experienced rapid growth and expect to invest in our growth for the foreseeable future. If we fail to manage our growth effectively, our business, operating results, and financial condition would be adversely affected. We also may not be able to sustain our growth in the future.</w:t>
      </w:r>
    </w:p>
    <w:p>
      <w:pPr>
        <w:spacing w:after="0" w:line="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experienced rapid growth in recent periods and expect to continue to invest broadly across our organization to support our growth. Our revenue has grown from $34.4 million for the three months ended March 31, 2021 to $51.0 million for the three months ended March 31, 2022. Weekly Active Users (“</w:t>
      </w:r>
      <w:r>
        <w:rPr>
          <w:rFonts w:ascii="Arial" w:cs="Arial" w:eastAsia="Arial" w:hAnsi="Arial"/>
          <w:sz w:val="18"/>
          <w:szCs w:val="18"/>
          <w:i w:val="1"/>
          <w:iCs w:val="1"/>
          <w:color w:val="auto"/>
        </w:rPr>
        <w:t>WAUs</w:t>
      </w:r>
      <w:r>
        <w:rPr>
          <w:rFonts w:ascii="Arial" w:cs="Arial" w:eastAsia="Arial" w:hAnsi="Arial"/>
          <w:sz w:val="18"/>
          <w:szCs w:val="18"/>
          <w:color w:val="auto"/>
        </w:rPr>
        <w:t>”) on our platform have grown from 27.6 million for the three months ended March 31, 2021 to 36.7 million for the three months ended March 31, 2022. Moreover, the number of our full-time employees has grown from 511 as of March 31, 2021 to 637 as of March 31, 2022.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 as we continue to grow, our business becomes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the COVID-19 pandemic.</w:t>
      </w:r>
    </w:p>
    <w:p>
      <w:pPr>
        <w:spacing w:after="0" w:line="12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4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4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Unfavorable media coverage negatively affects our business from time to time.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Health epidemics, including the COVID-19 pandemic, have had or could have an adverse impact on our business, operations, and the markets and communities in which we, our partners and our customers operate. In addition, during the COVID-19 pandemic, we experienced an increase in neighbor growth and engagement and there is no guarantee that we will be able to maintain our neighbor growth and engagement as the COVID-19 pandemic subsides.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global COVID-19 pandemic outbreak and the various attempts to contain it have created significant volatility, uncertainty and economic disruption. It has adversely affected the broader economies, financial markets, and overall demand for advertising.</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COVID-19 pandemic, we temporarily closed all our offices (including our corporate headquarters) globally and implemented certain travel restrictions, both of which temporarily disrupted how we operate our business, including limiting certain of our sales and marketing plans and requiring us to manage a significant majority of our workforce remotely. Although we had begun the process of reopening certain of our offices in a phased manner, the continuing uncertainty around COVID-19 and its variants is causing us to re-examine and adjust our approach to office reopening. Our efforts to reopen our offices safely may not be successful, could expose our employees to health risks, and us to associated liability, and could involve additional financial burdens.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Moreover, as a result of the COVID-19 pandemic, the ability and willingness of advertisers to spend on the Nextdoor platform has fluctuated. For example, during the second quarter of 2020, advertisers reduced their advertising spend with us as a result of the impact of the COVID-19 pandemic on global macroeconomic conditions and on the advertising industry in general. Certain advertisers have been impacted by the COVID-19 pandemic and have experienced supply chain issues, rising commodity prices and inventory and labor shortages. This affects the ability and willingness of such impacted advertisers to spend on our platform. We cannot predict how evolving events related to the COVID-19 pandemic will continue to affect neighbor and advertiser behavior in the future. The pandemic has, and could in the future, adversely affect our business, revenue growth rate, financial performance and stock price.</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 initially during the COVID-19 pandemic and the related shelter-in-place order, we saw an increase in neighbor growth and engagement on our platform. As the COVID-19 pandemic evolves, that may present challenges such as neighbor growth and engagement declining or neighbor behavior changing unexpectedly and in ways that are difficult for us to anticipate or measure, resulting in a decrease in engagement with or reduced or different usage of our platform. Our neighbor and revenue growth rates may continue to be volatile as theCOVID-19 pandemic evolves, although we are unable to predict the duration or degree of such volatility with any certainty. Further, given the uncertainties relating to the COVID-19 pandemic and its new variants, we may not be able to accurately measure and forecast our key metrics, including WAUs. As a result, our engagement metrics, as well as financial and operating measures may not be indicative of results for future periods,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unable to accurately predict the full impact that the COVID-19 pandemic will have on our business, operating results, and financial condition due to numerous uncertainties, including variants of the COVID-19 virus, any resurgences, the extent and effectiveness of containment actions and other public health measures, the distribution and public acceptance of vaccines and treatments, and the impact of these and other factors on our employees, neighbors, advertisers. The COVID-19 pandemic, as well as any subsequent recovery period,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3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plan to continue expanding our international operations where we have limited operating experience and may be subject to increased business, regulatory, and economic risks that could seriously harm our business, operating results, and financial condition.</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continue expanding our business operations abroad by opening new and expanding within existing neighborhoods outside of the United States. As of March 31, 2022, the Nextdoor platform was accessible in 11 countries (including the United States) and had over 290,000 neighborhoods. We plan to enter new international markets where we have limited or no experience in marketing, selling, advertising and deploying our platform and related advertising. Any of our limited experience and infrastructure 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both"/>
        <w:spacing w:after="0" w:line="290" w:lineRule="auto"/>
        <w:rPr>
          <w:sz w:val="20"/>
          <w:szCs w:val="20"/>
          <w:color w:val="auto"/>
        </w:rPr>
      </w:pPr>
      <w:r>
        <w:rPr>
          <w:rFonts w:ascii="Arial" w:cs="Arial" w:eastAsia="Arial" w:hAnsi="Arial"/>
          <w:sz w:val="16"/>
          <w:szCs w:val="16"/>
          <w:color w:val="auto"/>
        </w:rPr>
        <w:t>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spacing w:after="0" w:line="1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acts of war or terrorism;</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16"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neighbor information to local authorities;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enhanced difficulty in reviewing content on the Nextdoor platform and enforcing community standards across different languages and countries;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right="34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multiple U.S. and international tax jurisdictions and management of tax impact of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higher levels of credit risk and payment fraud;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integrating any foreign acquisitions;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burdens of complying with a variety of foreign laws, including laws related to taxation, content removal, data localization, data transfer, consents, payments, and regulatory oversight;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71"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9"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legal compliance costs associated with multiple international locations.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t>
      </w:r>
      <w:r>
        <w:rPr>
          <w:rFonts w:ascii="Arial" w:cs="Arial" w:eastAsia="Arial" w:hAnsi="Arial"/>
          <w:sz w:val="17"/>
          <w:szCs w:val="17"/>
          <w:i w:val="1"/>
          <w:iCs w:val="1"/>
          <w:color w:val="auto"/>
        </w:rPr>
        <w:t>Bribery Act</w:t>
      </w:r>
      <w:r>
        <w:rPr>
          <w:rFonts w:ascii="Arial" w:cs="Arial" w:eastAsia="Arial" w:hAnsi="Arial"/>
          <w:sz w:val="17"/>
          <w:szCs w:val="17"/>
          <w:color w:val="auto"/>
        </w:rPr>
        <w:t>”).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need additional capital in the future, it may not be available on favorable terms, if at all.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If we raise additional funds through further issuances of equity, convertible debt securities or other securities convertible into equity, our existing</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plan to continue to make acquisitions, which could harm our financial condition or results of operations and may adversely affect the price of our Class A common stock.</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part of our business strategy, we have made, and intend to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2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business depends largely on our ability to attract and retain talented employees, including senior management. If we lose the services of Sarah Friar, our Chief Executive Officer and President, or other members of our senior management team, we may not be able to execute on our business strategy.</w:t>
      </w:r>
    </w:p>
    <w:p>
      <w:pPr>
        <w:spacing w:after="0" w:line="13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14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success also depends in large part on the continued services of senior management and other key personnel. In particular, we are dependent on the services of Sarah Friar, our Chief Executive Officer and President, who is critical to the future vision and strategic direction of our business. We rely on our leadership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Our core values may conflict with the short-term interests of our business.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Security and Technology</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are dependent on third-party software and service providers, including the Google Ad Manager (“GAM”) platform, for management and delivery of advertisements on the Nextdoor platform. Any failure or interruption experienced by such third-parties, including as a result of the COVID-19 pandemic, could result in the inability of certain businesses to advertise on our platform, and adversely impact our business, operating results, and financial condition.</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2" w:lineRule="exact"/>
        <w:rPr>
          <w:sz w:val="20"/>
          <w:szCs w:val="20"/>
          <w:color w:val="auto"/>
        </w:rPr>
      </w:pPr>
    </w:p>
    <w:p>
      <w:pPr>
        <w:jc w:val="both"/>
        <w:ind w:right="700"/>
        <w:spacing w:after="0" w:line="311" w:lineRule="auto"/>
        <w:rPr>
          <w:sz w:val="20"/>
          <w:szCs w:val="20"/>
          <w:color w:val="auto"/>
        </w:rPr>
      </w:pPr>
      <w:r>
        <w:rPr>
          <w:rFonts w:ascii="Arial" w:cs="Arial" w:eastAsia="Arial" w:hAnsi="Arial"/>
          <w:sz w:val="16"/>
          <w:szCs w:val="16"/>
          <w:b w:val="1"/>
          <w:bCs w:val="1"/>
          <w:i w:val="1"/>
          <w:iCs w:val="1"/>
          <w:color w:val="auto"/>
        </w:rPr>
        <w:t>We rely on third-party software and service providers, including AWS, to provide systems, storage and services for our platform. Any failure or interruption experienced by such third parties, including as a result of the COVID-19 pandemic, could result in the inability of neighbors and advertisers to access or utilize our platform, and adversely impact our business, operating results, and financial condition.</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Because we rely on third-party technology providers in our business, we rely on the cybersecurity practices and policies adopted by these third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monitor our third-party technology providers’ cybersecurity practices is limited.</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2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95"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We rely on third parties, including email providers, mobile data networks, geolocation providers, and the United States Postal Service (“USPS”) to verify our neighbors’ addresses. Any failure or interruption experienced by such third parties, including the USPS, could result in the inability of neighbors to join our platform, resulting in harm to our reputation and an adverse impact to our business, operating results, and financial condition.</w:t>
      </w:r>
    </w:p>
    <w:p>
      <w:pPr>
        <w:spacing w:after="0" w:line="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rely on third parties to verify our neighbors’ addresses through several methods, including but not limited to email, SMS text message, phone calls, geolocation and mailed invitations. For example, we utilize email providers, mobile data networks, geolocation providers and the USPS to verify neighbors’ addresses. Address verification is a critical feature of our platform because it demonstrates that neighbors actually live in the neighborhood they desire to join. Any failure, interruption, or loss of access to such third parties or their software or the USPS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may be more costly to use than our current providers, including the USPS. Any disruption in the third parties, including the USPS, could harm our neighbor growth, which in turn could make us a less attractive advertising platform and harm our reputation, and could harm our business, operating results, and financial condition.</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Security breaches may cause interruptions to our platform, degrade the neighbor experience, cause neighbors or advertisers to lose confidence and trust in our platform, impair our internal systems, or result in financial harm to our company.</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effect on our business, operating results, financial condition, market acceptance of our products or revenues and may also divert development resources and increase service and support costs.</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2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A security breach of our system could trigger a breach of our agreements with partners that we rely on to deliver our services and expose us to significant loss.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3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of advertisements could materially adversely affect the usage of our platform on mobile devices. For example, the release of iOS 14.5 brought with it a number of new changes, including the need for neighbors using the app to opt in before their identifier for advertisers (“</w:t>
      </w:r>
      <w:r>
        <w:rPr>
          <w:rFonts w:ascii="Arial" w:cs="Arial" w:eastAsia="Arial" w:hAnsi="Arial"/>
          <w:sz w:val="16"/>
          <w:szCs w:val="16"/>
          <w:i w:val="1"/>
          <w:iCs w:val="1"/>
          <w:color w:val="auto"/>
        </w:rPr>
        <w:t>IDFA</w:t>
      </w:r>
      <w:r>
        <w:rPr>
          <w:rFonts w:ascii="Arial" w:cs="Arial" w:eastAsia="Arial" w:hAnsi="Arial"/>
          <w:sz w:val="16"/>
          <w:szCs w:val="16"/>
          <w:color w:val="auto"/>
        </w:rPr>
        <w:t>”)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three months ended March 31, 2022,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Apple recently introduced changes for the Apple mail client available on its operating systems, including iOS 15, iPadOS 15, and macOS 12, which have impacted, and are expected to continue to impact our ability to track individual users and devices, and measure the effectiveness of our advertisements. Similarly, Google recently announced that it intends to limit access by mobile applications to advertising identifiers on its Android devices, likely by the end of 2023. As a result, advertisers may find our products less appealing and may seek alternative platforms on which to run their advertising campaigns.</w:t>
      </w:r>
    </w:p>
    <w:p>
      <w:pPr>
        <w:spacing w:after="0" w:line="3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1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7" w:name="page48"/>
    <w:bookmarkEnd w:id="47"/>
    <w:p>
      <w:pPr>
        <w:jc w:val="both"/>
        <w:spacing w:after="0" w:line="268" w:lineRule="auto"/>
        <w:rPr>
          <w:sz w:val="20"/>
          <w:szCs w:val="20"/>
          <w:color w:val="auto"/>
        </w:rPr>
      </w:pPr>
      <w:r>
        <w:rPr>
          <w:rFonts w:ascii="Arial" w:cs="Arial" w:eastAsia="Arial" w:hAnsi="Arial"/>
          <w:sz w:val="17"/>
          <w:szCs w:val="17"/>
          <w:color w:val="auto"/>
        </w:rPr>
        <w:t>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and ethical issues may result in reputational harm and liability.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results difficult to predict.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2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generate revenues from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acquire, retain, and grow our neighbors and neighbor engagement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attract and retain advertisers;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recognize revenue or collect payments from advertisers in a particular period;</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spending by our advertisers due to seasonality, episodic regional or global events, including the COVID-19 pandemic, or other factors;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internet usage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prominence, size, format, quality and relevancy of advertisements shown to neighbors;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8" w:name="page49"/>
    <w:bookmarkEnd w:id="48"/>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technologies designed to block the display of advertisements;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pricing of our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cost of and mix of new and existing sales and marketing and promotional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our platform and app on mobile devices and other third-party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to our platform or the development and introduction of new products or services by our competitors;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neighbor behavior or platform changes that may reduce traffic to features of the platform that we monetize;</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system failures, disruptions, breaches of security or privacy, whether on our platform or on those of third parties, and the costs associated with any such breaches and remediation;</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or viruses;</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incurring additional expenses, such as increases in sales and marketing or research and development, including as a result of the COVID-19 pandemic;</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cybersecurity, or actions by governments or regulators, including fines, orders, or consent decrees;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domestic and global business and macroeconomic conditions, including as a result of the COVID-19 pandemic and the continued rise of inflation and interest rates.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believe that our rapid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1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Certain of our market opportunity and key metric estimates could prove to be inaccurate, and any real or perceived inaccuracies may harm our reputation and negatively affect our business.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which could cause actual results to</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49" w:name="page50"/>
    <w:bookmarkEnd w:id="49"/>
    <w:p>
      <w:pPr>
        <w:jc w:val="both"/>
        <w:spacing w:after="0" w:line="257" w:lineRule="auto"/>
        <w:rPr>
          <w:sz w:val="20"/>
          <w:szCs w:val="20"/>
          <w:color w:val="auto"/>
        </w:rPr>
      </w:pPr>
      <w:r>
        <w:rPr>
          <w:rFonts w:ascii="Arial" w:cs="Arial" w:eastAsia="Arial" w:hAnsi="Arial"/>
          <w:sz w:val="18"/>
          <w:szCs w:val="18"/>
          <w:color w:val="auto"/>
        </w:rPr>
        <w:t>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regularly review key business and other metrics, including WAUs, Verified Users and Average Revenue per Weekly Active User (“</w:t>
      </w:r>
      <w:r>
        <w:rPr>
          <w:rFonts w:ascii="Arial" w:cs="Arial" w:eastAsia="Arial" w:hAnsi="Arial"/>
          <w:sz w:val="16"/>
          <w:szCs w:val="16"/>
          <w:i w:val="1"/>
          <w:iCs w:val="1"/>
          <w:color w:val="auto"/>
        </w:rPr>
        <w:t>ARPU</w:t>
      </w:r>
      <w:r>
        <w:rPr>
          <w:rFonts w:ascii="Arial" w:cs="Arial" w:eastAsia="Arial" w:hAnsi="Arial"/>
          <w:sz w:val="16"/>
          <w:szCs w:val="16"/>
          <w:color w:val="auto"/>
        </w:rPr>
        <w:t>”)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Apple recently introduced changes for the Apple mail client available on its operating systems, including iOS 15, iPadOS 15, and macOS 12, which have limited, and are expected to continue to limit, our ability to track individual users and devices, and measure user engagement with our emails containing monetizable content for users that use the Apple email client. We expect these changes to affect our ability to calculate WAUs, a key business metric. Following the introduction of these changes, we will be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experienced significant net losses each year since we began operations in 2007, including net losses of $(32.9) million and $(25.1) million for the three months ended March 31, 2022 and 2021, respectively. We have an accumulated deficit of $513.3 million as of March 31, 2022. We anticipate that our operating expenses and capital expenditures will increase substantially in the foreseeable future as we continue to invest in acquiring additional neighbors, increasing engagement on our platform, increasing monetization on our platform, expanding our platform and operations internationally, hiring additional team members, developing and enhancing our platform, marketing and sales, and enhancing our infrastructure. Our expansion efforts may prove more expensive than we anticipate, and we may not succeed in increasing our revenues sufficiently to offset these higher expenses.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14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2021, we had gross U.S. federal net operating loss (“</w:t>
      </w:r>
      <w:r>
        <w:rPr>
          <w:rFonts w:ascii="Arial" w:cs="Arial" w:eastAsia="Arial" w:hAnsi="Arial"/>
          <w:sz w:val="17"/>
          <w:szCs w:val="17"/>
          <w:i w:val="1"/>
          <w:iCs w:val="1"/>
          <w:color w:val="auto"/>
        </w:rPr>
        <w:t>NOL</w:t>
      </w:r>
      <w:r>
        <w:rPr>
          <w:rFonts w:ascii="Arial" w:cs="Arial" w:eastAsia="Arial" w:hAnsi="Arial"/>
          <w:sz w:val="17"/>
          <w:szCs w:val="17"/>
          <w:color w:val="auto"/>
        </w:rPr>
        <w:t>”) carryforwards of approximately $390.0 million and gross state NOL carryforwards of approximately $226.0 million, which if not utilized, will begin to expire for federal and state income tax purposes beginning in 2028. To the extent that we continue to generate taxable losses, unused losses will carry forward to offset future taxable income, if any. Under the 2017 Tax Cuts and Jobs Act (the “</w:t>
      </w:r>
      <w:r>
        <w:rPr>
          <w:rFonts w:ascii="Arial" w:cs="Arial" w:eastAsia="Arial" w:hAnsi="Arial"/>
          <w:sz w:val="17"/>
          <w:szCs w:val="17"/>
          <w:i w:val="1"/>
          <w:iCs w:val="1"/>
          <w:color w:val="auto"/>
        </w:rPr>
        <w:t>Tax Act</w:t>
      </w:r>
      <w:r>
        <w:rPr>
          <w:rFonts w:ascii="Arial" w:cs="Arial" w:eastAsia="Arial" w:hAnsi="Arial"/>
          <w:sz w:val="17"/>
          <w:szCs w:val="17"/>
          <w:color w:val="auto"/>
        </w:rPr>
        <w: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We recently completed a Section 382 study that supports that our use of NOLs will not be subject to limitation.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0" w:name="page51"/>
    <w:bookmarkEnd w:id="50"/>
    <w:p>
      <w:pPr>
        <w:jc w:val="both"/>
        <w:ind w:firstLine="324"/>
        <w:spacing w:after="0" w:line="269" w:lineRule="auto"/>
        <w:rPr>
          <w:sz w:val="20"/>
          <w:szCs w:val="20"/>
          <w:color w:val="auto"/>
        </w:rPr>
      </w:pPr>
      <w:r>
        <w:rPr>
          <w:rFonts w:ascii="Arial" w:cs="Arial" w:eastAsia="Arial" w:hAnsi="Arial"/>
          <w:sz w:val="17"/>
          <w:szCs w:val="17"/>
          <w:color w:val="auto"/>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currency exchange rates fluctuate substantially in the future, our operating results, which are reported in U.S. dollars, could be adversely affected.</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greater than anticipated tax liabilities, which could harm our business, revenue and financial results.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9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6"/>
          <w:szCs w:val="16"/>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as a result of content or information that is published or made available on our platform.</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rights of publicity, advertising, marketing, health and safety, competition, protection of minors,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newsfeed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Our business is subject to complex and evolving U.S. and foreign laws, regulations, and industry standards, many of which are subject to change and uncertain interpretation, which uncertainty could harm our business, operating results, and financial condition.</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spacing w:after="0" w:line="301" w:lineRule="auto"/>
        <w:rPr>
          <w:sz w:val="20"/>
          <w:szCs w:val="20"/>
          <w:color w:val="auto"/>
        </w:rPr>
      </w:pPr>
      <w:r>
        <w:rPr>
          <w:rFonts w:ascii="Arial" w:cs="Arial" w:eastAsia="Arial" w:hAnsi="Arial"/>
          <w:sz w:val="16"/>
          <w:szCs w:val="16"/>
          <w:color w:val="auto"/>
        </w:rPr>
        <w:t>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We could incur significant costs investigating and defending such claims and, if we are found liable, significant damages.</w:t>
      </w:r>
    </w:p>
    <w:p>
      <w:pPr>
        <w:spacing w:after="0" w:line="1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European Union is also reviewing the regulation of digital services, and has recently passed the Digital Services Act, or the DSA, a package of legislation intended to update the liability and safety rules for digital platforms, products, and services, which could negatively impact the scope of the limited immunity provided by the E-Commerce Directive. The DSA is expected to take effect as early as 2024. The United Kingdom, similarly, has proposed a draft Online Safety Bill, which, is passed, would require the monitoring of user content or the verification of users’ identities and age and would expand the scope of what constitutes "online harm" to children. Some European jurisdictions and the United Kingdom have also proposed or intend to pass legislation that imposes new obligations and liabilities on platforms with respect to certain types of harmful content. While the scope and timing of these proposals are currently uncertain, if the rules, doctrines or currently available defenses change, if international jurisdictions refuse to apply similar protections that are currently available in the United States or the European Union or if a court were to disagree with our application of those rules to our service, we could be required to expend significant resources to try to comply with the new rules or incur liability, and our business, operating results, and financial condition could be harmed. Similarly, Australia’s Online Safety Act 2021 recently went into effect and may impose new obligations and liabilities on platforms with respect to certain types of harmful content. While regulations to implement the law are still being promulgated and are uncertain, the regulations could require us to expend resources to try to comply with the new regulations or incur liability, and our business, operating results, and financial condition could be harmed.</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United States, we are subject to numerous federal, state and local data privacy and security laws and regulations governing the processing of information about individuals. For example, the CCPA, which took effect in January 2020, establishes certain transparency obligations and creates new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This private right of action is expected to increase the likelihood of, and risks associated with, data breach litigation. It remains unclear how various provisions of the CCPA will be interpreted and enforced. Additionally, California voters approved a new privacy law, the CPRA, which becomes effective January 1, 2023 (with a look back to January 1, 2022). The CPRA will significantly modify the CCPA, including by expanding consumers’ rights and establishing a new state agency that will be vested with authority to implement and enforce the CPRA. For example, the CPRA and the CCPA may lead other states to pass comparable legislation, with potentially greater penalties, and more rigorous compliance requirements relevant to our business. Virginia enacted the VCDPA and Colorado enacted CDPA, respectively, which may impose obligations similar to or more stringent than those we may face under other data protection laws. Compliance with the CPRA, the CCPA, the VCDPA, the CDPA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grants new rights for data subjects in regard to their personal data (including the right to be “forgotten” and the right to data portability) and enhances current rights (e.g., data subject access requests).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also subject to European Union rules with respect to cross-border transfers of personal data out of the EEA and the United Kingdom. Recent legal developments in Europe have created complexity and uncertainty regarding transfers of personal data from the EEA and the United Kingdom to the United States. On July 16, 2020, the Court of Justice of the European Union (the “</w:t>
      </w:r>
      <w:r>
        <w:rPr>
          <w:rFonts w:ascii="Arial" w:cs="Arial" w:eastAsia="Arial" w:hAnsi="Arial"/>
          <w:sz w:val="16"/>
          <w:szCs w:val="16"/>
          <w:i w:val="1"/>
          <w:iCs w:val="1"/>
          <w:color w:val="auto"/>
        </w:rPr>
        <w:t>CJEU</w:t>
      </w:r>
      <w:r>
        <w:rPr>
          <w:rFonts w:ascii="Arial" w:cs="Arial" w:eastAsia="Arial" w:hAnsi="Arial"/>
          <w:sz w:val="16"/>
          <w:szCs w:val="16"/>
          <w:color w:val="auto"/>
        </w:rPr>
        <w:t>”) invalidated the EU-U.S. Privacy Shield Framework (the “</w:t>
      </w:r>
      <w:r>
        <w:rPr>
          <w:rFonts w:ascii="Arial" w:cs="Arial" w:eastAsia="Arial" w:hAnsi="Arial"/>
          <w:sz w:val="16"/>
          <w:szCs w:val="16"/>
          <w:i w:val="1"/>
          <w:iCs w:val="1"/>
          <w:color w:val="auto"/>
        </w:rPr>
        <w:t>Privacy Shield</w:t>
      </w:r>
      <w:r>
        <w:rPr>
          <w:rFonts w:ascii="Arial" w:cs="Arial" w:eastAsia="Arial" w:hAnsi="Arial"/>
          <w:sz w:val="16"/>
          <w:szCs w:val="16"/>
          <w:color w:val="auto"/>
        </w:rPr>
        <w:t>”) under which personal data could be transferred from the EEA to U.S. entities who had self-certified under the Privacy Shield scheme. While the CJEU upheld the adequacy of the standard contractual clauses (a standard form of contract approved by the EU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To safeguard data transfers from the EEA to other jurisdictions, including the USA, we currently utilize standard contractual contracts approved by the EU Commission.</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This CJEU decision may result in different EEA data protection regulators applying differing standards for the transfer of personal data from the EEA to the United States, and even require ad hoc verification of measures taken with respect to data flows. Therefore, as a result of this CJEU decision, we may be required to review, amend and take additional steps to legitimize impacted personal data transfers. As supervisory authorities issue further guidance on personal data export mechanisms, including circumstances where the standard contractual clauses cannot be used, and/or start taking enforcement action, we could suffer increased costs to ensure compliance as well as additional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The EU Commission has also published revised standard contractual clauses for data transfers from the EEA: the revised clauses must be used for relevant new data transfers from September 27, 2021; existing standard contractual clauses arrangements must be migrated to the revised clauses by December 27, 2022. Where we continue to rely on standard contractual clauses, we will need to implement the revised standard contractual clauses, in relation to relevant existing contracts and vendor/customer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3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relationship between the United Kingdom and the European Union in relation to certain aspects of data protection law remains unclear, and it is unclear how U.K. data protection laws and regulations, including those regarding data transfers to and from the United Kingdom, will develop in the medium to longer term. For example, while the EU Commission has adopted an adequacy decision in favor of the United Kingdom, enabling data transfers from EU member states to the United Kingdom without additional safeguards, the decision will automatically expire in June 2025 unless the EU Commission re-assesses and renews/extends it. These developments and this uncertainty will lead to additional costs and increase our overall risk exposure.</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also subject to evolving E.U. and U.K. privacy laws on cookies and e-marketing. In the E.U. and the U.K., regulators are increasingly focusing on compliance with current national laws that implement the European Directive 2002/58/EC (the “</w:t>
      </w:r>
      <w:r>
        <w:rPr>
          <w:rFonts w:ascii="Arial" w:cs="Arial" w:eastAsia="Arial" w:hAnsi="Arial"/>
          <w:sz w:val="17"/>
          <w:szCs w:val="17"/>
          <w:i w:val="1"/>
          <w:iCs w:val="1"/>
          <w:color w:val="auto"/>
        </w:rPr>
        <w:t>ePrivacy Directive</w:t>
      </w:r>
      <w:r>
        <w:rPr>
          <w:rFonts w:ascii="Arial" w:cs="Arial" w:eastAsia="Arial" w:hAnsi="Arial"/>
          <w:sz w:val="17"/>
          <w:szCs w:val="17"/>
          <w:color w:val="auto"/>
        </w:rPr>
        <w:t>”).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recent European court decision and regulators’ recent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Canada, we are subject to the Personal Information Protection and Electronic Documents Act (“</w:t>
      </w:r>
      <w:r>
        <w:rPr>
          <w:rFonts w:ascii="Arial" w:cs="Arial" w:eastAsia="Arial" w:hAnsi="Arial"/>
          <w:sz w:val="18"/>
          <w:szCs w:val="18"/>
          <w:i w:val="1"/>
          <w:iCs w:val="1"/>
          <w:color w:val="auto"/>
        </w:rPr>
        <w:t>PIPEDA</w:t>
      </w:r>
      <w:r>
        <w:rPr>
          <w:rFonts w:ascii="Arial" w:cs="Arial" w:eastAsia="Arial" w:hAnsi="Arial"/>
          <w:sz w:val="18"/>
          <w:szCs w:val="18"/>
          <w:color w:val="auto"/>
        </w:rPr>
        <w:t>”) which governs the collection, use and disclosure of Canadian residents’ personal information in the course of commercial activities. PIPEDA gives individuals, among other things, the right to access information we hold about them and to challenge the accuracy and completeness of that information. There is debate over the meaning of a number of PIPEDA clauses, including the role of implied consent. 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jc w:val="both"/>
        <w:spacing w:after="0" w:line="253" w:lineRule="auto"/>
        <w:rPr>
          <w:sz w:val="20"/>
          <w:szCs w:val="20"/>
          <w:color w:val="auto"/>
        </w:rPr>
      </w:pPr>
      <w:r>
        <w:rPr>
          <w:rFonts w:ascii="Arial" w:cs="Arial" w:eastAsia="Arial" w:hAnsi="Arial"/>
          <w:sz w:val="18"/>
          <w:szCs w:val="18"/>
          <w:color w:val="auto"/>
        </w:rPr>
        <w:t>November 17, 2020, the government of Canada introduced Bill C-11, also known as the Digital Charter Implementation Act, 2020 (“</w:t>
      </w:r>
      <w:r>
        <w:rPr>
          <w:rFonts w:ascii="Arial" w:cs="Arial" w:eastAsia="Arial" w:hAnsi="Arial"/>
          <w:sz w:val="18"/>
          <w:szCs w:val="18"/>
          <w:i w:val="1"/>
          <w:iCs w:val="1"/>
          <w:color w:val="auto"/>
        </w:rPr>
        <w:t>DCIA</w:t>
      </w:r>
      <w:r>
        <w:rPr>
          <w:rFonts w:ascii="Arial" w:cs="Arial" w:eastAsia="Arial" w:hAnsi="Arial"/>
          <w:sz w:val="18"/>
          <w:szCs w:val="18"/>
          <w:color w:val="auto"/>
        </w:rPr>
        <w:t>”) which had significantly increased privacy protections for Canadian residents (such as the rights to data mobility, disposal and the right to be forgotten), and replated a portion of PIPEDA. It also created an independent tribunal for assessing infringements, a private right of action, and substantially increased penalties for infringement up to a maximum of the greater of $10 million or 3% of global revenue. Although DCIA was not passed before the dissolution of parliament, DCIA may provide insight into what privacy reform could look like in the next Canadian parliament session. Even if a similar bill is not passed at the parliament level, there is the possibility of new provincial privacy legislation in Ontario and other provinces. While we endeavor to comply with PIPEDA, however, the meaning of some of its clauses are unclear, and we may not have correctly implemented them. Furthermore, increased privacy regulation in Canada could require us to expend resources to try to comply with the new regulations or incur liability, and our business, operating results, and financial condition could be harmed.</w:t>
      </w:r>
    </w:p>
    <w:p>
      <w:pPr>
        <w:spacing w:after="0" w:line="129"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8"/>
          <w:szCs w:val="18"/>
          <w:color w:val="auto"/>
        </w:rPr>
        <w:t>We are also subject to, among other laws, Australia’s “Privacy Act 1988” (“</w:t>
      </w:r>
      <w:r>
        <w:rPr>
          <w:rFonts w:ascii="Arial" w:cs="Arial" w:eastAsia="Arial" w:hAnsi="Arial"/>
          <w:sz w:val="18"/>
          <w:szCs w:val="18"/>
          <w:i w:val="1"/>
          <w:iCs w:val="1"/>
          <w:color w:val="auto"/>
        </w:rPr>
        <w:t>Privacy Act</w:t>
      </w:r>
      <w:r>
        <w:rPr>
          <w:rFonts w:ascii="Arial" w:cs="Arial" w:eastAsia="Arial" w:hAnsi="Arial"/>
          <w:sz w:val="18"/>
          <w:szCs w:val="18"/>
          <w:color w:val="auto"/>
        </w:rPr>
        <w:t>”) and Australian Privacy Principles (“</w:t>
      </w:r>
      <w:r>
        <w:rPr>
          <w:rFonts w:ascii="Arial" w:cs="Arial" w:eastAsia="Arial" w:hAnsi="Arial"/>
          <w:sz w:val="18"/>
          <w:szCs w:val="18"/>
          <w:i w:val="1"/>
          <w:iCs w:val="1"/>
          <w:color w:val="auto"/>
        </w:rPr>
        <w:t>APPs</w:t>
      </w:r>
      <w:r>
        <w:rPr>
          <w:rFonts w:ascii="Arial" w:cs="Arial" w:eastAsia="Arial" w:hAnsi="Arial"/>
          <w:sz w:val="18"/>
          <w:szCs w:val="18"/>
          <w:color w:val="auto"/>
        </w:rPr>
        <w:t>”), which require us to, among other things: (a) establish a governance framework for managing privacy and data protection; (b) give individual the option of not identifying themselves or using a pseudonym (unless certain exceptions apply); (c) destroy or de-identify unsolicited personal information that was not obtained for a purpose reasonably necessary or directly to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Non-compliance with the Privacy Act can result in penalties of up to AU $2.22 million per contravention and a requirement to remediate areas of non-compliance.</w:t>
      </w:r>
    </w:p>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Australian Government recently released a proposed amendment to the Privacy Act called the Online Privacy Bill (“</w:t>
      </w:r>
      <w:r>
        <w:rPr>
          <w:rFonts w:ascii="Arial" w:cs="Arial" w:eastAsia="Arial" w:hAnsi="Arial"/>
          <w:sz w:val="17"/>
          <w:szCs w:val="17"/>
          <w:i w:val="1"/>
          <w:iCs w:val="1"/>
          <w:color w:val="auto"/>
        </w:rPr>
        <w:t>Online Privacy Bill</w:t>
      </w:r>
      <w:r>
        <w:rPr>
          <w:rFonts w:ascii="Arial" w:cs="Arial" w:eastAsia="Arial" w:hAnsi="Arial"/>
          <w:sz w:val="17"/>
          <w:szCs w:val="17"/>
          <w:color w:val="auto"/>
        </w:rPr>
        <w:t>”) which would increase the enforcement powers of the Australian Information Commissioner, implement an online privacy code that will apply to social media providers and online platforms with more than 2.5 million or more annual end users in Australia, implement more stringent obligations regarding the notice, collection and user of personal information, introduce new obligations such as a consumer right to request that companies cease using their personal information, and increase penalties to an amount not exceeding the greater of AU $10 million, three times the value of the benefit obtained from the conduct, or, if the value cannot be determined, 10% of the domestic annual revenue of the company. The Online Privacy Bill was open for public responses through December 6, 2021, and the comments are now under review.</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Australian Government also circulated a discussion paper (“</w:t>
      </w:r>
      <w:r>
        <w:rPr>
          <w:rFonts w:ascii="Arial" w:cs="Arial" w:eastAsia="Arial" w:hAnsi="Arial"/>
          <w:sz w:val="16"/>
          <w:szCs w:val="16"/>
          <w:i w:val="1"/>
          <w:iCs w:val="1"/>
          <w:color w:val="auto"/>
        </w:rPr>
        <w:t>Discussion Paper</w:t>
      </w:r>
      <w:r>
        <w:rPr>
          <w:rFonts w:ascii="Arial" w:cs="Arial" w:eastAsia="Arial" w:hAnsi="Arial"/>
          <w:sz w:val="16"/>
          <w:szCs w:val="16"/>
          <w:color w:val="auto"/>
        </w:rPr>
        <w:t>”) seeking further submissions on up to 67 proposals to amend the Privacy Act and introduce amendments to Australian privacy law focused on increasing enforcement, empowering individuals and aligning Australia with global privacy regimes. Suggested amendments include the potential introduction of torts of privacy that are enforceable by individuals, new rights for individuals to object or withdraw consent regarding the processing and use of their personal information. The Discussion Paper was open for comment through January 10, 2022, and the comments are now under review. As in other countries, increased privacy regulation in Australia could require us to expend resources to try to comply with the new regulations or incur liability, and our business, operating results, and financial condition could be harmed.</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effect of its withdrawal from the European Union, could be costly and difficult to comply with and could adversely impact our business, operating results, and financial condition.</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June 2016, a referendum was passed in the United Kingdom to leave the European Union, commonly referred to as “Brexit.” This decision created an uncertain political and economic environment in the United Kingdom and other European Union countries, and the formal process for leaving the European Union has taken years to complete. Although the United Kingdom and the European Union have recently entered into a trade and cooperation agreement, the long-term nature of the United Kingdom’s relationship with the European Union remains unclear and there is considerable uncertainty as to their future political and economic relations. The political and economic instability created by Brexit has caused and may continue to cause significant volatility in global financial markets and uncertainty regarding the regulation of cybersecurity in the United Kingdom. In addition, Brexit could lead to legal uncertainty and potentially divergent national laws and regulations as the United Kingdom determines which European Union laws to replace or replicate. For example, as discussed above, although the European Commission has adopted an adequacy decision in favor of the United Kingdom, enabling data transfers from EU member states to the United Kingdom without additional safeguards, uncertainty remains regarding how data transfers to and from the United Kingdom will be regulated in the long term. Brexit could also have the effect of disrupting the free movement of goods, services, capital, and people between the United Kingdom, the European Union, and elsewhere. The full effect of Brexit is uncertain and depends on any current and future agreements the United Kingdom makes with the European Union and others. Consequently, no assurance can be given about the impact of these developments, and our operational, tax, and other policies may require reassessment and our business, operating results, and financial condition may be seriously harmed.</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Operating as a public company will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w:t>
      </w:r>
      <w:r>
        <w:rPr>
          <w:rFonts w:ascii="Arial" w:cs="Arial" w:eastAsia="Arial" w:hAnsi="Arial"/>
          <w:sz w:val="17"/>
          <w:szCs w:val="17"/>
          <w:i w:val="1"/>
          <w:iCs w:val="1"/>
          <w:color w:val="auto"/>
        </w:rPr>
        <w:t>Dodd-Frank</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and other applicable securities rules and regulations. The Exchange Act requires, among other things, that we file annual, quarterly, and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24" w:lineRule="exact"/>
        <w:rPr>
          <w:sz w:val="20"/>
          <w:szCs w:val="20"/>
          <w:color w:val="auto"/>
        </w:rPr>
      </w:pPr>
    </w:p>
    <w:p>
      <w:pPr>
        <w:ind w:left="660" w:right="70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 compliance with our obligations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6" w:name="page57"/>
    <w:bookmarkEnd w:id="56"/>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Failure to maintain effective systems of internal control and disclosure controls could have a material adverse effect on our business, operating results, and financial condition.</w:t>
      </w:r>
    </w:p>
    <w:p>
      <w:pPr>
        <w:spacing w:after="0" w:line="11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We are currently an “emerging growth company,” and, so long as we remain an “emerging growth company” we will not be required to include an attestation report on internal control over financial reporting issued by our independent registered public accounting firm.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to incur significant expenses and devote substantial management effort toward ensuring compliance with the requirements of Section 404 of the Sarbanes-Oxley Act, which will increase when we are no longer an “emerging growth company.” As a result, management’s attention may be diverted from other business concerns, which could harm our business, operating results and financial condition.</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are obligated to develop and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7" w:name="page58"/>
    <w:bookmarkEnd w:id="57"/>
    <w:p>
      <w:pPr>
        <w:jc w:val="both"/>
        <w:ind w:firstLine="324"/>
        <w:spacing w:after="0" w:line="275" w:lineRule="auto"/>
        <w:rPr>
          <w:sz w:val="20"/>
          <w:szCs w:val="20"/>
          <w:color w:val="auto"/>
        </w:rPr>
      </w:pPr>
      <w:r>
        <w:rPr>
          <w:rFonts w:ascii="Arial" w:cs="Arial" w:eastAsia="Arial" w:hAnsi="Arial"/>
          <w:sz w:val="17"/>
          <w:szCs w:val="17"/>
          <w:color w:val="auto"/>
        </w:rPr>
        <w:t>KVSB’s management previously identified a material weakness in its internal control over financial reporting. Although we determined the material weakness in internal control over financial reporting did not exist following the completion of the Business Combination with KVSB, we cannot assure you that the measures we have taken to date, or any measures we may take in the future, will be sufficient to identify or prevent future material weaknesses. If other material weaknesses or other deficiencies occur, our ability to accurately and timely report our financial statements could be impaired, which could result in a material misstatement of our financial statements that may not be prevented or detected on a timely basis.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the value of our brands and other intangible assets may be diminished, and our business, operating results, and financial condition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3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jc w:val="both"/>
        <w:spacing w:after="0" w:line="254" w:lineRule="auto"/>
        <w:rPr>
          <w:sz w:val="20"/>
          <w:szCs w:val="20"/>
          <w:color w:val="auto"/>
        </w:rPr>
      </w:pPr>
      <w:r>
        <w:rPr>
          <w:rFonts w:ascii="Arial" w:cs="Arial" w:eastAsia="Arial" w:hAnsi="Arial"/>
          <w:sz w:val="18"/>
          <w:szCs w:val="18"/>
          <w:color w:val="auto"/>
        </w:rPr>
        <w:t>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Confidentiality agreements with employees and others may not adequately prevent disclosure of trade secrets and proprietary information.</w:t>
      </w:r>
    </w:p>
    <w:p>
      <w:pPr>
        <w:spacing w:after="0" w:line="1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spacing w:after="0" w:line="12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has been, and may continue to, be volatile.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user growth, retention, engagement, revenue,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developments involving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between our actual operating results and the expectations of securities analysts, investors, and the financial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our competitors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shares of our Class A common stock being sold into the market by us or our existing stockholders, or the anticipation of such sales, or if existing stockholders subject to a lock-up sell shares into the market when applicable “lock-up” periods end;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announcements by us or estimates by third parties of actual or anticipated changes in the size of our user base or the level of user engagement;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technology companies in our industry, including our partners and competitors;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interest rate increases on the overall stock market and the market for technology company stocks;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94" w:lineRule="exact"/>
        <w:rPr>
          <w:rFonts w:ascii="Arial" w:cs="Arial" w:eastAsia="Arial" w:hAnsi="Arial"/>
          <w:sz w:val="16"/>
          <w:szCs w:val="16"/>
          <w:color w:val="auto"/>
        </w:rPr>
      </w:pPr>
    </w:p>
    <w:p>
      <w:pPr>
        <w:ind w:left="660" w:right="4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effects of the COVID-19 pandemic, the ongoing conflict in Ukraine, recessions, rising inflation, interest rates, local and national elections, international currency fluctuations, corruption, political instability and acts of war or terrorism.</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S&amp;P Dow Jones and FTSE Russell limit their eligibility criteria for inclusion of shares of public companies on certain indices, including the S&amp;P 500, namely, to exclude companies with multiple classes of shares of common stock from being added to such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2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December 31, 2021.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2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3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Class A common stock may cause the market price of our securities to drop significantly, even if our business is doing well.</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Subject to certain exceptions, certain affiliated individuals and certain Nextdoor equity holders are contractually restricted from selling or transferring any of their shares of Class A common stock (not including the shares of our Class A common stock issued in the PIPE Investment (as defined below in this Quarterly Report) pursuant to the terms of the Subscription Agreements or purchased in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2" w:name="page63"/>
    <w:bookmarkEnd w:id="62"/>
    <w:p>
      <w:pPr>
        <w:jc w:val="both"/>
        <w:spacing w:after="0" w:line="269" w:lineRule="auto"/>
        <w:rPr>
          <w:sz w:val="20"/>
          <w:szCs w:val="20"/>
          <w:color w:val="auto"/>
        </w:rPr>
      </w:pPr>
      <w:r>
        <w:rPr>
          <w:rFonts w:ascii="Arial" w:cs="Arial" w:eastAsia="Arial" w:hAnsi="Arial"/>
          <w:sz w:val="17"/>
          <w:szCs w:val="17"/>
          <w:color w:val="auto"/>
        </w:rPr>
        <w:t>the public market) for certain periods of time following the closing date of the Business Combination (the “</w:t>
      </w:r>
      <w:r>
        <w:rPr>
          <w:rFonts w:ascii="Arial" w:cs="Arial" w:eastAsia="Arial" w:hAnsi="Arial"/>
          <w:sz w:val="17"/>
          <w:szCs w:val="17"/>
          <w:i w:val="1"/>
          <w:iCs w:val="1"/>
          <w:color w:val="auto"/>
        </w:rPr>
        <w:t>Closing Date</w:t>
      </w:r>
      <w:r>
        <w:rPr>
          <w:rFonts w:ascii="Arial" w:cs="Arial" w:eastAsia="Arial" w:hAnsi="Arial"/>
          <w:sz w:val="17"/>
          <w:szCs w:val="17"/>
          <w:color w:val="auto"/>
        </w:rPr>
        <w:t>”). Under our Restated Bylaws (the “</w:t>
      </w:r>
      <w:r>
        <w:rPr>
          <w:rFonts w:ascii="Arial" w:cs="Arial" w:eastAsia="Arial" w:hAnsi="Arial"/>
          <w:sz w:val="17"/>
          <w:szCs w:val="17"/>
          <w:i w:val="1"/>
          <w:iCs w:val="1"/>
          <w:color w:val="auto"/>
        </w:rPr>
        <w:t>Bylaws</w:t>
      </w:r>
      <w:r>
        <w:rPr>
          <w:rFonts w:ascii="Arial" w:cs="Arial" w:eastAsia="Arial" w:hAnsi="Arial"/>
          <w:sz w:val="17"/>
          <w:szCs w:val="17"/>
          <w:color w:val="auto"/>
        </w:rPr>
        <w:t>”), and subject to certain customary exceptions, such lockup restrictions applicable to all the Nextdoor Stockholders’ Lock-up Shares began on the Closing Date and end on May 4, 2022, the date that is 180 days following the Closing Date. As of March 31, 2022, an aggregate of 365,486,793 shares of our Class B common stock (including 60,789,889 shares of our Class B common stock subject to outstanding equity awards) and the same number of shares of our Class A common stock underlying such Class B common stock are subject to lock-up restrictions set forth in our Bylaws. As a result, a significant number of our shares of Class A common stock will be available for sale on May 5, 2022. Pursuant to the lock-up agreement entered into with Khosla Ventures SPAC Sponsor II LLC (the “</w:t>
      </w:r>
      <w:r>
        <w:rPr>
          <w:rFonts w:ascii="Arial" w:cs="Arial" w:eastAsia="Arial" w:hAnsi="Arial"/>
          <w:sz w:val="17"/>
          <w:szCs w:val="17"/>
          <w:i w:val="1"/>
          <w:iCs w:val="1"/>
          <w:color w:val="auto"/>
        </w:rPr>
        <w:t>Sponsor</w:t>
      </w:r>
      <w:r>
        <w:rPr>
          <w:rFonts w:ascii="Arial" w:cs="Arial" w:eastAsia="Arial" w:hAnsi="Arial"/>
          <w:sz w:val="17"/>
          <w:szCs w:val="17"/>
          <w:color w:val="auto"/>
        </w:rPr>
        <w:t>”), and subject to certain customary exceptions, such lockup restrictions applicable to the shares held by the Sponsor began on the Closing Date and end on November 5, 2022, the one year anniversary of the Closing Date. An aggregate of 11,541,291 shares of our Class A common stock and an aggregate of 8,580 shares of our Class B common stock are subject to lock-up restrictions under the Sponsor lock-up agreement.</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Following the expiration of each lockup, the applicable stockholders will not be restricted from selling shares of our Class A common stock held by them, other than by applicable securities laws. Additionally, the Third-Party PIPE Investors (as defined below in this Quarterly Report) are not restricted from selling any of their shares of our Class A common stock, other than by applicable securities laws. As such,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2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restrictions on resale end and registration statements (filed after the Closing Date to provide for the resale of such shares from time to time) are available for use, the sale or possibility of sale of these shares could have the effect of increasing the volatility in our share price or the market price of our Class A common stock could decline if the holders of currently restricted shares sell them or are perceived by the market as intending to sell them.</w:t>
      </w:r>
    </w:p>
    <w:p>
      <w:pPr>
        <w:spacing w:after="0" w:line="9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we take advantage of certain exemptions from disclosure requirements available to emerging growth companies or smaller reporting companies, which could make our securities less attractive to investors and may make it more difficult to compare our performance with other public companies.</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shares of Class A common stock held by non-affiliates exceeds $700 million as of the end of any second quarter of a fiscal year, in which case we would no longer be an emerging growth company as of the end of such fiscal year. We cannot predict whether investors will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equals or exceeds $250 million as of the end of that year’s second fiscal quarter, and (2) our annual revenues equaled or exceeded $100 million during such completed fiscal year or the market value of our shares of</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jc w:val="both"/>
        <w:spacing w:after="0" w:line="342" w:lineRule="auto"/>
        <w:rPr>
          <w:sz w:val="20"/>
          <w:szCs w:val="20"/>
          <w:color w:val="auto"/>
        </w:rPr>
      </w:pPr>
      <w:r>
        <w:rPr>
          <w:rFonts w:ascii="Arial" w:cs="Arial" w:eastAsia="Arial" w:hAnsi="Arial"/>
          <w:sz w:val="16"/>
          <w:szCs w:val="16"/>
          <w:color w:val="auto"/>
        </w:rPr>
        <w:t>common stock held by non-affiliates equals or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70"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Provisions in our Certificate of Incorporation and our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spacing w:after="0" w:line="13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Board of Directors is classified into three classes of directors with staggered three-year terms;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 created directorships;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use to implement a stockholder rights plan;</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 not provide for cumulative voting;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71" w:lineRule="exact"/>
        <w:rPr>
          <w:rFonts w:ascii="Arial" w:cs="Arial" w:eastAsia="Arial" w:hAnsi="Arial"/>
          <w:sz w:val="18"/>
          <w:szCs w:val="18"/>
          <w:color w:val="auto"/>
        </w:rPr>
      </w:pPr>
    </w:p>
    <w:p>
      <w:pPr>
        <w:ind w:left="660" w:right="340" w:hanging="328"/>
        <w:spacing w:after="0" w:line="31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 and</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Moreover, Section 203 of the Delaware General Corporation Law (“</w:t>
      </w:r>
      <w:r>
        <w:rPr>
          <w:rFonts w:ascii="Arial" w:cs="Arial" w:eastAsia="Arial" w:hAnsi="Arial"/>
          <w:sz w:val="18"/>
          <w:szCs w:val="18"/>
          <w:i w:val="1"/>
          <w:iCs w:val="1"/>
          <w:color w:val="auto"/>
        </w:rPr>
        <w:t>DGCL</w:t>
      </w:r>
      <w:r>
        <w:rPr>
          <w:rFonts w:ascii="Arial" w:cs="Arial" w:eastAsia="Arial" w:hAnsi="Arial"/>
          <w:sz w:val="18"/>
          <w:szCs w:val="18"/>
          <w:color w:val="auto"/>
        </w:rPr>
        <w:t>”) may discourage, delay, or prevent a change in control of our company. Section 203 imposes certain restrictions on mergers, business combinations, and other transactions between us and holders of 15% or more of our common stock.</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w:t>
      </w:r>
      <w:r>
        <w:rPr>
          <w:rFonts w:ascii="Arial" w:cs="Arial" w:eastAsia="Arial" w:hAnsi="Arial"/>
          <w:sz w:val="18"/>
          <w:szCs w:val="18"/>
          <w:i w:val="1"/>
          <w:iCs w:val="1"/>
          <w:color w:val="auto"/>
        </w:rPr>
        <w:t>Federal Forum Provision</w:t>
      </w:r>
      <w:r>
        <w:rPr>
          <w:rFonts w:ascii="Arial" w:cs="Arial" w:eastAsia="Arial" w:hAnsi="Arial"/>
          <w:sz w:val="18"/>
          <w:szCs w:val="18"/>
          <w:color w:val="auto"/>
        </w:rPr>
        <w:t>”). Our decision to adopt a Federal Forum Provision followed a decision by the Supreme Court of the State of Delaware holding that such provisions are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4" w:name="page65"/>
    <w:bookmarkEnd w:id="64"/>
    <w:p>
      <w:pPr>
        <w:jc w:val="both"/>
        <w:spacing w:after="0" w:line="311" w:lineRule="auto"/>
        <w:rPr>
          <w:sz w:val="20"/>
          <w:szCs w:val="20"/>
          <w:color w:val="auto"/>
        </w:rPr>
      </w:pPr>
      <w:r>
        <w:rPr>
          <w:rFonts w:ascii="Arial" w:cs="Arial" w:eastAsia="Arial" w:hAnsi="Arial"/>
          <w:sz w:val="16"/>
          <w:szCs w:val="16"/>
          <w:color w:val="auto"/>
        </w:rPr>
        <w:t>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stockholders will not be deemed to have waived our compliance with the federal securities laws and the regulations promulgated thereunder.</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7"/>
          <w:szCs w:val="17"/>
          <w:color w:val="auto"/>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spacing w:after="0" w:line="202"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Simultaneously with the consummation of the initial public offering, KVSB consummated a private placement of 1,100,000 private placement shares, at a price of $10.00 per share, to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proceeds of $0.3 million. Such securities were issued pursuant to the exemption from registration contained in Section 4(a)(2) of the Securities Act.</w:t>
      </w:r>
    </w:p>
    <w:p>
      <w:pPr>
        <w:spacing w:after="0" w:line="2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Incorporated by Reference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20" w:type="dxa"/>
            <w:vAlign w:val="bottom"/>
            <w:gridSpan w:val="9"/>
          </w:tcPr>
          <w:p>
            <w:pPr>
              <w:ind w:left="320"/>
              <w:spacing w:after="0"/>
              <w:rPr>
                <w:sz w:val="20"/>
                <w:szCs w:val="20"/>
                <w:color w:val="auto"/>
              </w:rPr>
            </w:pPr>
            <w:r>
              <w:rPr>
                <w:rFonts w:ascii="Arial" w:cs="Arial" w:eastAsia="Arial" w:hAnsi="Arial"/>
                <w:sz w:val="14"/>
                <w:szCs w:val="14"/>
                <w:b w:val="1"/>
                <w:bCs w:val="1"/>
                <w:color w:val="auto"/>
              </w:rPr>
              <w:t>Description</w:t>
            </w:r>
          </w:p>
        </w:tc>
        <w:tc>
          <w:tcPr>
            <w:tcW w:w="1260" w:type="dxa"/>
            <w:vAlign w:val="bottom"/>
            <w:gridSpan w:val="2"/>
          </w:tcPr>
          <w:p>
            <w:pPr>
              <w:ind w:left="400"/>
              <w:spacing w:after="0"/>
              <w:rPr>
                <w:sz w:val="20"/>
                <w:szCs w:val="20"/>
                <w:color w:val="auto"/>
              </w:rPr>
            </w:pPr>
            <w:r>
              <w:rPr>
                <w:rFonts w:ascii="Arial" w:cs="Arial" w:eastAsia="Arial" w:hAnsi="Arial"/>
                <w:sz w:val="14"/>
                <w:szCs w:val="14"/>
                <w:b w:val="1"/>
                <w:bCs w:val="1"/>
                <w:color w:val="auto"/>
              </w:rPr>
              <w:t>Form</w:t>
            </w:r>
          </w:p>
        </w:tc>
        <w:tc>
          <w:tcPr>
            <w:tcW w:w="1740" w:type="dxa"/>
            <w:vAlign w:val="bottom"/>
            <w:gridSpan w:val="3"/>
          </w:tcPr>
          <w:p>
            <w:pPr>
              <w:ind w:left="340"/>
              <w:spacing w:after="0"/>
              <w:rPr>
                <w:sz w:val="20"/>
                <w:szCs w:val="20"/>
                <w:color w:val="auto"/>
              </w:rPr>
            </w:pPr>
            <w:r>
              <w:rPr>
                <w:rFonts w:ascii="Arial" w:cs="Arial" w:eastAsia="Arial" w:hAnsi="Arial"/>
                <w:sz w:val="14"/>
                <w:szCs w:val="14"/>
                <w:b w:val="1"/>
                <w:bCs w:val="1"/>
                <w:color w:val="auto"/>
              </w:rPr>
              <w:t>Exhibit</w:t>
            </w:r>
          </w:p>
        </w:tc>
        <w:tc>
          <w:tcPr>
            <w:tcW w:w="1280" w:type="dxa"/>
            <w:vAlign w:val="bottom"/>
          </w:tcPr>
          <w:p>
            <w:pPr>
              <w:ind w:left="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60" w:type="dxa"/>
            <w:vAlign w:val="bottom"/>
            <w:tcBorders>
              <w:top w:val="single" w:sz="8" w:color="auto"/>
            </w:tcBorders>
            <w:gridSpan w:val="9"/>
          </w:tcPr>
          <w:p>
            <w:pPr>
              <w:spacing w:after="0" w:line="189" w:lineRule="exact"/>
              <w:rPr>
                <w:rFonts w:ascii="Arial" w:cs="Arial" w:eastAsia="Arial" w:hAnsi="Arial"/>
                <w:sz w:val="18"/>
                <w:szCs w:val="18"/>
                <w:color w:val="0000FF"/>
                <w:w w:val="95"/>
              </w:rPr>
            </w:pPr>
            <w:hyperlink w:anchor="page69">
              <w:r>
                <w:rPr>
                  <w:rFonts w:ascii="Arial" w:cs="Arial" w:eastAsia="Arial" w:hAnsi="Arial"/>
                  <w:sz w:val="18"/>
                  <w:szCs w:val="18"/>
                  <w:color w:val="0000FF"/>
                  <w:w w:val="95"/>
                </w:rPr>
                <w:t>Certification of Principal Executive Officer pursuant to</w:t>
              </w:r>
            </w:hyperlink>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Rule 13a-14(a) and 15d-14(a) under the Exchange Act,</w:t>
              </w:r>
            </w:hyperlink>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7"/>
          </w:tcPr>
          <w:p>
            <w:pPr>
              <w:spacing w:after="0" w:line="156" w:lineRule="exact"/>
              <w:rPr>
                <w:rFonts w:ascii="Arial" w:cs="Arial" w:eastAsia="Arial" w:hAnsi="Arial"/>
                <w:sz w:val="18"/>
                <w:szCs w:val="18"/>
                <w:color w:val="0000FF"/>
                <w:w w:val="93"/>
              </w:rPr>
            </w:pPr>
            <w:hyperlink w:anchor="page69">
              <w:r>
                <w:rPr>
                  <w:rFonts w:ascii="Arial" w:cs="Arial" w:eastAsia="Arial" w:hAnsi="Arial"/>
                  <w:sz w:val="18"/>
                  <w:szCs w:val="18"/>
                  <w:color w:val="0000FF"/>
                  <w:w w:val="93"/>
                </w:rPr>
                <w:t>as adopted pursuant to Section 302 of the Sarbanes-</w:t>
              </w:r>
            </w:hyperlink>
          </w:p>
        </w:tc>
        <w:tc>
          <w:tcPr>
            <w:tcW w:w="2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69">
              <w:r>
                <w:rPr>
                  <w:rFonts w:ascii="Arial" w:cs="Arial" w:eastAsia="Arial" w:hAnsi="Arial"/>
                  <w:sz w:val="18"/>
                  <w:szCs w:val="18"/>
                  <w:color w:val="0000FF"/>
                </w:rPr>
                <w:t>Oxley Act of 2002</w:t>
              </w:r>
            </w:hyperlink>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rFonts w:ascii="Arial" w:cs="Arial" w:eastAsia="Arial" w:hAnsi="Arial"/>
                <w:sz w:val="18"/>
                <w:szCs w:val="18"/>
                <w:color w:val="0000FF"/>
                <w:w w:val="98"/>
              </w:rPr>
            </w:pPr>
            <w:hyperlink w:anchor="page70">
              <w:r>
                <w:rPr>
                  <w:rFonts w:ascii="Arial" w:cs="Arial" w:eastAsia="Arial" w:hAnsi="Arial"/>
                  <w:sz w:val="18"/>
                  <w:szCs w:val="18"/>
                  <w:color w:val="0000FF"/>
                  <w:w w:val="98"/>
                </w:rPr>
                <w:t>Certification of Principal Financial Officer pursuant to</w:t>
              </w:r>
            </w:hyperlink>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rFonts w:ascii="Arial" w:cs="Arial" w:eastAsia="Arial" w:hAnsi="Arial"/>
                <w:sz w:val="18"/>
                <w:szCs w:val="18"/>
                <w:color w:val="0000FF"/>
                <w:w w:val="88"/>
              </w:rPr>
            </w:pPr>
            <w:hyperlink w:anchor="page70">
              <w:r>
                <w:rPr>
                  <w:rFonts w:ascii="Arial" w:cs="Arial" w:eastAsia="Arial" w:hAnsi="Arial"/>
                  <w:sz w:val="18"/>
                  <w:szCs w:val="18"/>
                  <w:color w:val="0000FF"/>
                  <w:w w:val="88"/>
                </w:rPr>
                <w:t>Rule 13a-14(a) and 15d-14(a) under the Exchange Act,</w:t>
              </w:r>
            </w:hyperlink>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7"/>
          </w:tcPr>
          <w:p>
            <w:pPr>
              <w:spacing w:after="0" w:line="156" w:lineRule="exact"/>
              <w:rPr>
                <w:rFonts w:ascii="Arial" w:cs="Arial" w:eastAsia="Arial" w:hAnsi="Arial"/>
                <w:sz w:val="18"/>
                <w:szCs w:val="18"/>
                <w:color w:val="0000FF"/>
                <w:w w:val="93"/>
              </w:rPr>
            </w:pPr>
            <w:hyperlink w:anchor="page70">
              <w:r>
                <w:rPr>
                  <w:rFonts w:ascii="Arial" w:cs="Arial" w:eastAsia="Arial" w:hAnsi="Arial"/>
                  <w:sz w:val="18"/>
                  <w:szCs w:val="18"/>
                  <w:color w:val="0000FF"/>
                  <w:w w:val="93"/>
                </w:rPr>
                <w:t>as adopted pursuant to Section 302 of the Sarbanes-</w:t>
              </w:r>
            </w:hyperlink>
          </w:p>
        </w:tc>
        <w:tc>
          <w:tcPr>
            <w:tcW w:w="20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Oxley Act of 2002</w:t>
              </w:r>
            </w:hyperlink>
          </w:p>
        </w:tc>
        <w:tc>
          <w:tcPr>
            <w:tcW w:w="220" w:type="dxa"/>
            <w:vAlign w:val="bottom"/>
            <w:gridSpan w:val="2"/>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rFonts w:ascii="Arial" w:cs="Arial" w:eastAsia="Arial" w:hAnsi="Arial"/>
                <w:sz w:val="18"/>
                <w:szCs w:val="18"/>
                <w:color w:val="0000FF"/>
                <w:w w:val="97"/>
              </w:rPr>
            </w:pPr>
            <w:hyperlink w:anchor="page71">
              <w:r>
                <w:rPr>
                  <w:rFonts w:ascii="Arial" w:cs="Arial" w:eastAsia="Arial" w:hAnsi="Arial"/>
                  <w:sz w:val="18"/>
                  <w:szCs w:val="18"/>
                  <w:color w:val="0000FF"/>
                  <w:w w:val="97"/>
                </w:rPr>
                <w:t>Certification of Principal Executive Officer pursuant to</w:t>
              </w:r>
            </w:hyperlink>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8"/>
          </w:tcPr>
          <w:p>
            <w:pPr>
              <w:spacing w:after="0" w:line="156"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18 U.S.C. Section 1350 as adopted pursuant to Section</w:t>
              </w:r>
            </w:hyperlink>
          </w:p>
        </w:tc>
        <w:tc>
          <w:tcPr>
            <w:tcW w:w="18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32.2</w:t>
            </w:r>
            <w:r>
              <w:rPr>
                <w:rFonts w:ascii="Arial" w:cs="Arial" w:eastAsia="Arial" w:hAnsi="Arial"/>
                <w:sz w:val="23"/>
                <w:szCs w:val="23"/>
                <w:color w:val="auto"/>
                <w:vertAlign w:val="superscript"/>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906 of the Sarbanes-Oxley Act of 2002</w:t>
              </w:r>
            </w:hyperlink>
          </w:p>
        </w:tc>
        <w:tc>
          <w:tcPr>
            <w:tcW w:w="1100" w:type="dxa"/>
            <w:vAlign w:val="bottom"/>
            <w:tcBorders>
              <w:top w:val="single" w:sz="8" w:color="0000FF"/>
            </w:tcBorders>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10"/>
          </w:tcPr>
          <w:p>
            <w:pPr>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Certification of Principal Financial Officer pursuant to</w:t>
              </w:r>
            </w:hyperlink>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5"/>
          </w:tcPr>
          <w:p>
            <w:pPr>
              <w:spacing w:after="0" w:line="156" w:lineRule="exact"/>
              <w:rPr>
                <w:rFonts w:ascii="Arial" w:cs="Arial" w:eastAsia="Arial" w:hAnsi="Arial"/>
                <w:sz w:val="18"/>
                <w:szCs w:val="18"/>
                <w:color w:val="0000FF"/>
                <w:w w:val="88"/>
              </w:rPr>
            </w:pPr>
            <w:hyperlink w:anchor="page72">
              <w:r>
                <w:rPr>
                  <w:rFonts w:ascii="Arial" w:cs="Arial" w:eastAsia="Arial" w:hAnsi="Arial"/>
                  <w:sz w:val="18"/>
                  <w:szCs w:val="18"/>
                  <w:color w:val="0000FF"/>
                  <w:w w:val="88"/>
                </w:rPr>
                <w:t>18 U.S.C. Section 1350 as adopted pursuant to Section</w:t>
              </w:r>
            </w:hyperlink>
          </w:p>
        </w:tc>
        <w:tc>
          <w:tcPr>
            <w:tcW w:w="24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906 of the Sarbanes-Oxley Act of 2002</w:t>
              </w:r>
            </w:hyperlink>
          </w:p>
        </w:tc>
        <w:tc>
          <w:tcPr>
            <w:tcW w:w="220" w:type="dxa"/>
            <w:vAlign w:val="bottom"/>
            <w:gridSpan w:val="4"/>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28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1340" w:type="dxa"/>
            <w:vAlign w:val="bottom"/>
            <w:gridSpan w:val="8"/>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101.CAL*</w:t>
            </w: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Calculation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101.DEF*</w:t>
            </w: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w w:val="97"/>
              </w:rPr>
              <w:t>Inline XBRL Taxonomy Extension Definition Linkbase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101.LAB*</w:t>
            </w: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Label Linkbase</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101.PRE*</w:t>
            </w: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rPr>
              <w:t>Inline XBRL Taxonomy Extension Presentation</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gridSpan w:val="10"/>
          </w:tcPr>
          <w:p>
            <w:pPr>
              <w:spacing w:after="0" w:line="176" w:lineRule="exact"/>
              <w:rPr>
                <w:sz w:val="20"/>
                <w:szCs w:val="20"/>
                <w:color w:val="auto"/>
              </w:rPr>
            </w:pPr>
            <w:r>
              <w:rPr>
                <w:rFonts w:ascii="Arial" w:cs="Arial" w:eastAsia="Arial" w:hAnsi="Arial"/>
                <w:sz w:val="18"/>
                <w:szCs w:val="18"/>
                <w:color w:val="auto"/>
                <w:w w:val="98"/>
              </w:rPr>
              <w:t>Cover Page Interactive Date File (formatted in iXBRL</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10"/>
          </w:tcPr>
          <w:p>
            <w:pPr>
              <w:spacing w:after="0"/>
              <w:rPr>
                <w:sz w:val="20"/>
                <w:szCs w:val="20"/>
                <w:color w:val="auto"/>
              </w:rPr>
            </w:pPr>
            <w:r>
              <w:rPr>
                <w:rFonts w:ascii="Arial" w:cs="Arial" w:eastAsia="Arial" w:hAnsi="Arial"/>
                <w:sz w:val="18"/>
                <w:szCs w:val="18"/>
                <w:color w:val="auto"/>
              </w:rPr>
              <w:t>and contained in Exhibit 101)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0"/>
                <w:szCs w:val="20"/>
                <w:color w:val="auto"/>
              </w:rPr>
            </w:pPr>
            <w:r>
              <w:rPr>
                <w:rFonts w:ascii="Arial" w:cs="Arial" w:eastAsia="Arial" w:hAnsi="Arial"/>
                <w:sz w:val="14"/>
                <w:szCs w:val="14"/>
                <w:color w:val="auto"/>
              </w:rPr>
              <w:t>_____________</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6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5" w:lineRule="auto"/>
        <w:tabs>
          <w:tab w:leader="none" w:pos="2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77" w:right="5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NEXTDOOR HOLDINGS, INC.</w:t>
      </w:r>
    </w:p>
    <w:p>
      <w:pPr>
        <w:spacing w:after="0" w:line="256" w:lineRule="exact"/>
        <w:rPr>
          <w:sz w:val="20"/>
          <w:szCs w:val="20"/>
          <w:color w:val="auto"/>
        </w:rPr>
      </w:pPr>
    </w:p>
    <w:tbl>
      <w:tblPr>
        <w:tblLayout w:type="fixed"/>
        <w:tblInd w:w="60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Friar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Sarah Friar</w:t>
            </w:r>
          </w:p>
        </w:tc>
      </w:tr>
      <w:tr>
        <w:trPr>
          <w:trHeight w:val="176"/>
        </w:trPr>
        <w:tc>
          <w:tcPr>
            <w:tcW w:w="640" w:type="dxa"/>
            <w:vAlign w:val="bottom"/>
          </w:tcPr>
          <w:p>
            <w:pPr>
              <w:spacing w:after="0" w:line="176" w:lineRule="exact"/>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line="176" w:lineRule="exact"/>
              <w:rPr>
                <w:sz w:val="20"/>
                <w:szCs w:val="20"/>
                <w:color w:val="auto"/>
              </w:rPr>
            </w:pPr>
            <w:r>
              <w:rPr>
                <w:rFonts w:ascii="Arial" w:cs="Arial" w:eastAsia="Arial" w:hAnsi="Arial"/>
                <w:sz w:val="18"/>
                <w:szCs w:val="18"/>
                <w:color w:val="auto"/>
                <w:w w:val="97"/>
              </w:rPr>
              <w:t>Chief Executive Officer, President and Chairperson of the</w:t>
            </w:r>
          </w:p>
        </w:tc>
      </w:tr>
      <w:tr>
        <w:trPr>
          <w:trHeight w:val="176"/>
        </w:trPr>
        <w:tc>
          <w:tcPr>
            <w:tcW w:w="640" w:type="dxa"/>
            <w:vAlign w:val="bottom"/>
          </w:tcPr>
          <w:p>
            <w:pPr>
              <w:spacing w:after="0"/>
              <w:rPr>
                <w:sz w:val="15"/>
                <w:szCs w:val="15"/>
                <w:color w:val="auto"/>
              </w:rPr>
            </w:pPr>
          </w:p>
        </w:tc>
        <w:tc>
          <w:tcPr>
            <w:tcW w:w="4520" w:type="dxa"/>
            <w:vAlign w:val="bottom"/>
          </w:tcPr>
          <w:p>
            <w:pPr>
              <w:ind w:left="20"/>
              <w:spacing w:after="0" w:line="176" w:lineRule="exact"/>
              <w:rPr>
                <w:sz w:val="20"/>
                <w:szCs w:val="20"/>
                <w:color w:val="auto"/>
              </w:rPr>
            </w:pPr>
            <w:r>
              <w:rPr>
                <w:rFonts w:ascii="Arial" w:cs="Arial" w:eastAsia="Arial" w:hAnsi="Arial"/>
                <w:sz w:val="18"/>
                <w:szCs w:val="18"/>
                <w:color w:val="auto"/>
              </w:rPr>
              <w:t>Board of Directors</w:t>
            </w:r>
          </w:p>
        </w:tc>
      </w:tr>
      <w:tr>
        <w:trPr>
          <w:trHeight w:val="230"/>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74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Doyle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ind w:left="20"/>
              <w:spacing w:after="0"/>
              <w:rPr>
                <w:sz w:val="20"/>
                <w:szCs w:val="20"/>
                <w:color w:val="auto"/>
              </w:rPr>
            </w:pPr>
            <w:r>
              <w:rPr>
                <w:rFonts w:ascii="Arial" w:cs="Arial" w:eastAsia="Arial" w:hAnsi="Arial"/>
                <w:sz w:val="18"/>
                <w:szCs w:val="18"/>
                <w:color w:val="auto"/>
              </w:rPr>
              <w:t>Michael Doyle</w:t>
            </w:r>
          </w:p>
        </w:tc>
      </w:tr>
      <w:tr>
        <w:trPr>
          <w:trHeight w:val="201"/>
        </w:trPr>
        <w:tc>
          <w:tcPr>
            <w:tcW w:w="64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4520" w:type="dxa"/>
            <w:vAlign w:val="bottom"/>
          </w:tcPr>
          <w:p>
            <w:pPr>
              <w:ind w:left="20"/>
              <w:spacing w:after="0" w:line="201" w:lineRule="exact"/>
              <w:rPr>
                <w:sz w:val="20"/>
                <w:szCs w:val="20"/>
                <w:color w:val="auto"/>
              </w:rPr>
            </w:pPr>
            <w:r>
              <w:rPr>
                <w:rFonts w:ascii="Arial" w:cs="Arial" w:eastAsia="Arial" w:hAnsi="Arial"/>
                <w:sz w:val="18"/>
                <w:szCs w:val="18"/>
                <w:color w:val="auto"/>
              </w:rPr>
              <w:t>Chief Financial Officer and Treasurer</w:t>
            </w:r>
          </w:p>
        </w:tc>
      </w:tr>
      <w:tr>
        <w:trPr>
          <w:trHeight w:val="230"/>
        </w:trPr>
        <w:tc>
          <w:tcPr>
            <w:tcW w:w="64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93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line="297" w:lineRule="auto"/>
        <w:rPr>
          <w:sz w:val="20"/>
          <w:szCs w:val="20"/>
          <w:color w:val="auto"/>
        </w:rPr>
      </w:pPr>
      <w:r>
        <w:rPr>
          <w:rFonts w:ascii="Arial" w:cs="Arial" w:eastAsia="Arial" w:hAnsi="Arial"/>
          <w:sz w:val="18"/>
          <w:szCs w:val="18"/>
          <w:b w:val="1"/>
          <w:bCs w:val="1"/>
          <w:color w:val="auto"/>
        </w:rPr>
        <w:t>CERTIFICATION OF PRINCIPAL EXECUTIVE OFFICER PURSUANT TO RULE 13A-14(A) OR 15D-14(A) UNDER THE EXCHANGE ACT,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Sarah Friar, certify that:</w:t>
      </w:r>
    </w:p>
    <w:p>
      <w:pPr>
        <w:spacing w:after="0" w:line="27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w:t>
      </w:r>
    </w:p>
    <w:p>
      <w:pPr>
        <w:spacing w:after="0" w:line="198" w:lineRule="exact"/>
        <w:rPr>
          <w:rFonts w:ascii="Arial" w:cs="Arial" w:eastAsia="Arial" w:hAnsi="Arial"/>
          <w:sz w:val="18"/>
          <w:szCs w:val="18"/>
          <w:color w:val="auto"/>
        </w:rPr>
      </w:pPr>
    </w:p>
    <w:p>
      <w:pPr>
        <w:jc w:val="both"/>
        <w:ind w:left="340" w:right="440" w:hanging="332"/>
        <w:spacing w:after="0" w:line="29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340" w:right="400" w:hanging="332"/>
        <w:spacing w:after="0" w:line="34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40" w:hanging="332"/>
        <w:spacing w:after="0" w:line="30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380" w:hanging="328"/>
        <w:spacing w:after="0" w:line="295"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right="860" w:hanging="328"/>
        <w:spacing w:after="0" w:line="377" w:lineRule="auto"/>
        <w:tabs>
          <w:tab w:leader="none" w:pos="6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95"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4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308"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308" w:lineRule="auto"/>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400" w:type="dxa"/>
            <w:vAlign w:val="bottom"/>
          </w:tcPr>
          <w:p>
            <w:pPr>
              <w:ind w:left="380"/>
              <w:spacing w:after="0"/>
              <w:rPr>
                <w:sz w:val="20"/>
                <w:szCs w:val="20"/>
                <w:color w:val="auto"/>
              </w:rPr>
            </w:pPr>
            <w:r>
              <w:rPr>
                <w:rFonts w:ascii="Arial" w:cs="Arial" w:eastAsia="Arial" w:hAnsi="Arial"/>
                <w:sz w:val="18"/>
                <w:szCs w:val="18"/>
                <w:color w:val="auto"/>
                <w:w w:val="91"/>
              </w:rPr>
              <w:t>May 10, 2022</w:t>
            </w:r>
          </w:p>
        </w:tc>
      </w:tr>
    </w:tbl>
    <w:p>
      <w:pPr>
        <w:spacing w:after="0" w:line="53" w:lineRule="exact"/>
        <w:rPr>
          <w:sz w:val="20"/>
          <w:szCs w:val="20"/>
          <w:color w:val="auto"/>
        </w:rPr>
      </w:pPr>
    </w:p>
    <w:p>
      <w:pPr>
        <w:ind w:left="720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31750</wp:posOffset>
            </wp:positionV>
            <wp:extent cx="1783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37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line="297" w:lineRule="auto"/>
        <w:rPr>
          <w:sz w:val="20"/>
          <w:szCs w:val="20"/>
          <w:color w:val="auto"/>
        </w:rPr>
      </w:pPr>
      <w:r>
        <w:rPr>
          <w:rFonts w:ascii="Arial" w:cs="Arial" w:eastAsia="Arial" w:hAnsi="Arial"/>
          <w:sz w:val="18"/>
          <w:szCs w:val="18"/>
          <w:b w:val="1"/>
          <w:bCs w:val="1"/>
          <w:color w:val="auto"/>
        </w:rPr>
        <w:t>CERTIFICATION OF PRINCIPAL FINANCIAL OFFICER PURSUANT TO RULE 13A-14(A) OR 15D-14(A) UNDER THE EXCHANGE ACT, AS ADOPTED PURSUANT TO SECTION 302 OF 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color w:val="201F1E"/>
        </w:rPr>
        <w:t>Michael Doyle</w:t>
      </w:r>
      <w:r>
        <w:rPr>
          <w:rFonts w:ascii="Arial" w:cs="Arial" w:eastAsia="Arial" w:hAnsi="Arial"/>
          <w:sz w:val="18"/>
          <w:szCs w:val="18"/>
          <w:color w:val="auto"/>
        </w:rPr>
        <w:t>, certify that:</w:t>
      </w:r>
    </w:p>
    <w:p>
      <w:pPr>
        <w:spacing w:after="0" w:line="26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Nextdoor Holdings, Inc.;</w:t>
      </w:r>
    </w:p>
    <w:p>
      <w:pPr>
        <w:spacing w:after="0" w:line="198" w:lineRule="exact"/>
        <w:rPr>
          <w:rFonts w:ascii="Arial" w:cs="Arial" w:eastAsia="Arial" w:hAnsi="Arial"/>
          <w:sz w:val="18"/>
          <w:szCs w:val="18"/>
          <w:color w:val="auto"/>
        </w:rPr>
      </w:pPr>
    </w:p>
    <w:p>
      <w:pPr>
        <w:jc w:val="both"/>
        <w:ind w:left="340" w:right="440" w:hanging="332"/>
        <w:spacing w:after="0" w:line="295"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340" w:right="400" w:hanging="332"/>
        <w:spacing w:after="0" w:line="34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40" w:hanging="332"/>
        <w:spacing w:after="0" w:line="308"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660" w:right="380" w:hanging="328"/>
        <w:spacing w:after="0" w:line="295" w:lineRule="auto"/>
        <w:tabs>
          <w:tab w:leader="none" w:pos="6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right="860" w:hanging="328"/>
        <w:spacing w:after="0" w:line="377"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95" w:lineRule="auto"/>
        <w:tabs>
          <w:tab w:leader="none" w:pos="6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320" w:hanging="332"/>
        <w:spacing w:after="0" w:line="34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308" w:lineRule="auto"/>
        <w:tabs>
          <w:tab w:leader="none" w:pos="65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308"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400" w:type="dxa"/>
            <w:vAlign w:val="bottom"/>
          </w:tcPr>
          <w:p>
            <w:pPr>
              <w:ind w:left="400"/>
              <w:spacing w:after="0"/>
              <w:rPr>
                <w:sz w:val="20"/>
                <w:szCs w:val="20"/>
                <w:color w:val="auto"/>
              </w:rPr>
            </w:pPr>
            <w:r>
              <w:rPr>
                <w:rFonts w:ascii="Arial" w:cs="Arial" w:eastAsia="Arial" w:hAnsi="Arial"/>
                <w:sz w:val="18"/>
                <w:szCs w:val="18"/>
                <w:color w:val="auto"/>
                <w:w w:val="89"/>
              </w:rPr>
              <w:t>May 10, 2022</w:t>
            </w:r>
          </w:p>
        </w:tc>
      </w:tr>
    </w:tbl>
    <w:p>
      <w:pPr>
        <w:ind w:left="7200"/>
        <w:spacing w:after="0" w:line="184" w:lineRule="auto"/>
        <w:tabs>
          <w:tab w:leader="none" w:pos="7640" w:val="left"/>
        </w:tabs>
        <w:rPr>
          <w:sz w:val="20"/>
          <w:szCs w:val="20"/>
          <w:color w:val="auto"/>
        </w:rPr>
      </w:pPr>
      <w:r>
        <w:rPr>
          <w:rFonts w:ascii="Arial" w:cs="Arial" w:eastAsia="Arial" w:hAnsi="Arial"/>
          <w:sz w:val="26"/>
          <w:szCs w:val="26"/>
          <w:color w:val="auto"/>
          <w:vertAlign w:val="subscript"/>
        </w:rPr>
        <w:t>By:</w:t>
      </w:r>
      <w:r>
        <w:rPr>
          <w:sz w:val="20"/>
          <w:szCs w:val="20"/>
          <w:color w:val="auto"/>
        </w:rPr>
        <w:tab/>
      </w:r>
      <w:r>
        <w:rPr>
          <w:rFonts w:ascii="Arial" w:cs="Arial" w:eastAsia="Arial" w:hAnsi="Arial"/>
          <w:sz w:val="15"/>
          <w:szCs w:val="15"/>
          <w:i w:val="1"/>
          <w:iCs w:val="1"/>
          <w:color w:val="auto"/>
        </w:rPr>
        <w:t xml:space="preserve">/s/ </w:t>
      </w:r>
      <w:r>
        <w:rPr>
          <w:rFonts w:ascii="Arial" w:cs="Arial" w:eastAsia="Arial" w:hAnsi="Arial"/>
          <w:sz w:val="15"/>
          <w:szCs w:val="15"/>
          <w:i w:val="1"/>
          <w:iCs w:val="1"/>
          <w:color w:val="201F1E"/>
        </w:rPr>
        <w:t>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94615</wp:posOffset>
            </wp:positionV>
            <wp:extent cx="22117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129" w:lineRule="exact"/>
        <w:rPr>
          <w:sz w:val="20"/>
          <w:szCs w:val="20"/>
          <w:color w:val="auto"/>
        </w:rPr>
      </w:pPr>
    </w:p>
    <w:p>
      <w:pPr>
        <w:ind w:left="7200"/>
        <w:spacing w:after="0"/>
        <w:rPr>
          <w:sz w:val="20"/>
          <w:szCs w:val="20"/>
          <w:color w:val="auto"/>
        </w:rPr>
      </w:pPr>
      <w:r>
        <w:rPr>
          <w:rFonts w:ascii="Arial" w:cs="Arial" w:eastAsia="Arial" w:hAnsi="Arial"/>
          <w:sz w:val="18"/>
          <w:szCs w:val="18"/>
          <w:color w:val="201F1E"/>
        </w:rPr>
        <w:t>Michael Doyle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405"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05"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March 31,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88"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380" w:type="dxa"/>
            <w:vAlign w:val="bottom"/>
          </w:tcPr>
          <w:p>
            <w:pPr>
              <w:ind w:left="380"/>
              <w:spacing w:after="0"/>
              <w:rPr>
                <w:sz w:val="20"/>
                <w:szCs w:val="20"/>
                <w:color w:val="auto"/>
              </w:rPr>
            </w:pPr>
            <w:r>
              <w:rPr>
                <w:rFonts w:ascii="Arial" w:cs="Arial" w:eastAsia="Arial" w:hAnsi="Arial"/>
                <w:sz w:val="18"/>
                <w:szCs w:val="18"/>
                <w:color w:val="auto"/>
                <w:w w:val="89"/>
              </w:rPr>
              <w:t>May 10, 2022</w:t>
            </w:r>
          </w:p>
        </w:tc>
      </w:tr>
    </w:tbl>
    <w:p>
      <w:pPr>
        <w:spacing w:after="0" w:line="92"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17"/>
          <w:szCs w:val="17"/>
          <w:i w:val="1"/>
          <w:iCs w:val="1"/>
          <w:color w:val="auto"/>
        </w:rPr>
        <w:t>Sarah Friar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124460</wp:posOffset>
            </wp:positionV>
            <wp:extent cx="16459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Sarah Friar</w:t>
      </w:r>
    </w:p>
    <w:p>
      <w:pPr>
        <w:spacing w:after="0" w:line="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President and</w:t>
      </w:r>
    </w:p>
    <w:p>
      <w:pPr>
        <w:ind w:left="7200"/>
        <w:spacing w:after="0"/>
        <w:rPr>
          <w:sz w:val="20"/>
          <w:szCs w:val="20"/>
          <w:color w:val="auto"/>
        </w:rPr>
      </w:pPr>
      <w:r>
        <w:rPr>
          <w:rFonts w:ascii="Arial" w:cs="Arial" w:eastAsia="Arial" w:hAnsi="Arial"/>
          <w:sz w:val="18"/>
          <w:szCs w:val="18"/>
          <w:color w:val="auto"/>
        </w:rPr>
        <w:t>Chairperson of the Board of Directors</w:t>
      </w:r>
    </w:p>
    <w:p>
      <w:pPr>
        <w:sectPr>
          <w:pgSz w:w="11900" w:h="16838" w:orient="portrait"/>
          <w:cols w:equalWidth="0" w:num="1">
            <w:col w:w="11240"/>
          </w:cols>
          <w:pgMar w:left="320" w:top="40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05"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337" w:lineRule="auto"/>
        <w:rPr>
          <w:sz w:val="20"/>
          <w:szCs w:val="20"/>
          <w:color w:val="auto"/>
        </w:rPr>
      </w:pPr>
      <w:r>
        <w:rPr>
          <w:rFonts w:ascii="Arial" w:cs="Arial" w:eastAsia="Arial" w:hAnsi="Arial"/>
          <w:sz w:val="18"/>
          <w:szCs w:val="18"/>
          <w:color w:val="auto"/>
        </w:rPr>
        <w:t>In connection with the Quarterly Report of Nextdoor Holdings, Inc. (the “Company”) on Form 10-Q for the quarter ended March 31, 2022,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8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92"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1400" w:type="dxa"/>
            <w:vAlign w:val="bottom"/>
          </w:tcPr>
          <w:p>
            <w:pPr>
              <w:ind w:left="400"/>
              <w:spacing w:after="0"/>
              <w:rPr>
                <w:sz w:val="20"/>
                <w:szCs w:val="20"/>
                <w:color w:val="auto"/>
              </w:rPr>
            </w:pPr>
            <w:r>
              <w:rPr>
                <w:rFonts w:ascii="Arial" w:cs="Arial" w:eastAsia="Arial" w:hAnsi="Arial"/>
                <w:sz w:val="18"/>
                <w:szCs w:val="18"/>
                <w:color w:val="auto"/>
                <w:w w:val="89"/>
              </w:rPr>
              <w:t>May 10, 2022</w:t>
            </w:r>
          </w:p>
        </w:tc>
      </w:tr>
    </w:tbl>
    <w:p>
      <w:pPr>
        <w:spacing w:after="0" w:line="269" w:lineRule="exact"/>
        <w:rPr>
          <w:sz w:val="20"/>
          <w:szCs w:val="20"/>
          <w:color w:val="auto"/>
        </w:rPr>
      </w:pPr>
    </w:p>
    <w:p>
      <w:pPr>
        <w:ind w:left="7220"/>
        <w:spacing w:after="0"/>
        <w:tabs>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Michael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14605</wp:posOffset>
            </wp:positionV>
            <wp:extent cx="18942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Michael Doyle</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240"/>
      </w:cols>
      <w:pgMar w:left="320" w:top="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2022-05-10T15:22:44Z</dcterms:created>
  <dcterms:modified xsi:type="dcterms:W3CDTF">2022-05-10T15:22:44Z</dcterms:modified>
</cp:coreProperties>
</file>