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5" w:lineRule="exact"/>
        <w:rPr>
          <w:sz w:val="24"/>
          <w:szCs w:val="24"/>
          <w:color w:val="auto"/>
        </w:rPr>
      </w:pPr>
    </w:p>
    <w:p>
      <w:pPr>
        <w:ind w:left="540" w:hanging="510"/>
        <w:spacing w:after="0"/>
        <w:tabs>
          <w:tab w:leader="none" w:pos="5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ind w:left="540" w:hanging="510"/>
        <w:spacing w:after="0" w:line="229" w:lineRule="auto"/>
        <w:tabs>
          <w:tab w:leader="none" w:pos="540" w:val="left"/>
        </w:tabs>
        <w:numPr>
          <w:ilvl w:val="0"/>
          <w:numId w:val="2"/>
        </w:numPr>
        <w:rPr>
          <w:rFonts w:ascii="MS PGothic" w:cs="MS PGothic" w:eastAsia="MS PGothic" w:hAnsi="MS PGothic"/>
          <w:sz w:val="32"/>
          <w:szCs w:val="32"/>
          <w:color w:val="auto"/>
          <w:vertAlign w:val="superscript"/>
        </w:rPr>
      </w:pPr>
      <w:r>
        <w:rPr>
          <w:rFonts w:ascii="Times New Roman" w:cs="Times New Roman" w:eastAsia="Times New Roman" w:hAnsi="Times New Roman"/>
          <w:sz w:val="15"/>
          <w:szCs w:val="15"/>
          <w:b w:val="1"/>
          <w:bCs w:val="1"/>
          <w:color w:val="auto"/>
        </w:rPr>
        <w:t>TRANSITION REPORT PURSUANT TO SECTION 13 OR 15(d) OF THE SECURITIES EXCHANGE ACT OF 1934 FOR THE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50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TRANSITION PERIOD FROM</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TO</w:t>
            </w:r>
          </w:p>
        </w:tc>
        <w:tc>
          <w:tcPr>
            <w:tcW w:w="33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tcPr>
          <w:p>
            <w:pPr>
              <w:jc w:val="center"/>
              <w:ind w:right="777"/>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001-40246</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50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gridSpan w:val="2"/>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3500" w:type="dxa"/>
            <w:vAlign w:val="bottom"/>
          </w:tcPr>
          <w:p>
            <w:pPr>
              <w:spacing w:after="0"/>
              <w:rPr>
                <w:sz w:val="24"/>
                <w:szCs w:val="24"/>
                <w:color w:val="auto"/>
              </w:rPr>
            </w:pPr>
          </w:p>
        </w:tc>
        <w:tc>
          <w:tcPr>
            <w:tcW w:w="4200" w:type="dxa"/>
            <w:vAlign w:val="bottom"/>
            <w:gridSpan w:val="2"/>
          </w:tcPr>
          <w:p>
            <w:pPr>
              <w:jc w:val="center"/>
              <w:spacing w:after="0" w:line="441" w:lineRule="exact"/>
              <w:rPr>
                <w:sz w:val="20"/>
                <w:szCs w:val="20"/>
                <w:color w:val="auto"/>
              </w:rPr>
            </w:pPr>
            <w:r>
              <w:rPr>
                <w:rFonts w:ascii="Times New Roman" w:cs="Times New Roman" w:eastAsia="Times New Roman" w:hAnsi="Times New Roman"/>
                <w:sz w:val="40"/>
                <w:szCs w:val="40"/>
                <w:b w:val="1"/>
                <w:bCs w:val="1"/>
                <w:color w:val="auto"/>
                <w:w w:val="98"/>
              </w:rPr>
              <w:t>Nextdoor Holdings, Inc.</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4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3500" w:type="dxa"/>
            <w:vAlign w:val="bottom"/>
          </w:tcPr>
          <w:p>
            <w:pPr>
              <w:jc w:val="center"/>
              <w:ind w:left="19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540" w:type="dxa"/>
            <w:vAlign w:val="bottom"/>
          </w:tcPr>
          <w:p>
            <w:pPr>
              <w:jc w:val="right"/>
              <w:ind w:right="2361"/>
              <w:spacing w:after="0"/>
              <w:rPr>
                <w:sz w:val="20"/>
                <w:szCs w:val="20"/>
                <w:color w:val="auto"/>
              </w:rPr>
            </w:pPr>
            <w:r>
              <w:rPr>
                <w:rFonts w:ascii="Times New Roman" w:cs="Times New Roman" w:eastAsia="Times New Roman" w:hAnsi="Times New Roman"/>
                <w:sz w:val="14"/>
                <w:szCs w:val="14"/>
                <w:b w:val="1"/>
                <w:bCs w:val="1"/>
                <w:color w:val="auto"/>
              </w:rPr>
              <w:t>86-1776836</w:t>
            </w:r>
          </w:p>
        </w:tc>
        <w:tc>
          <w:tcPr>
            <w:tcW w:w="0" w:type="dxa"/>
            <w:vAlign w:val="bottom"/>
          </w:tcPr>
          <w:p>
            <w:pPr>
              <w:spacing w:after="0"/>
              <w:rPr>
                <w:sz w:val="1"/>
                <w:szCs w:val="1"/>
                <w:color w:val="auto"/>
              </w:rPr>
            </w:pPr>
          </w:p>
        </w:tc>
      </w:tr>
      <w:tr>
        <w:trPr>
          <w:trHeight w:val="131"/>
        </w:trPr>
        <w:tc>
          <w:tcPr>
            <w:tcW w:w="3500" w:type="dxa"/>
            <w:vAlign w:val="bottom"/>
          </w:tcPr>
          <w:p>
            <w:pPr>
              <w:jc w:val="center"/>
              <w:ind w:left="1920"/>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8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3540" w:type="dxa"/>
            <w:vAlign w:val="bottom"/>
          </w:tcPr>
          <w:p>
            <w:pPr>
              <w:jc w:val="center"/>
              <w:ind w:right="1941"/>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3500" w:type="dxa"/>
            <w:vAlign w:val="bottom"/>
          </w:tcPr>
          <w:p>
            <w:pPr>
              <w:jc w:val="center"/>
              <w:ind w:left="1940"/>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8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540" w:type="dxa"/>
            <w:vAlign w:val="bottom"/>
          </w:tcPr>
          <w:p>
            <w:pPr>
              <w:jc w:val="center"/>
              <w:ind w:right="1961"/>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c>
          <w:tcPr>
            <w:tcW w:w="0" w:type="dxa"/>
            <w:vAlign w:val="bottom"/>
          </w:tcPr>
          <w:p>
            <w:pPr>
              <w:spacing w:after="0"/>
              <w:rPr>
                <w:sz w:val="1"/>
                <w:szCs w:val="1"/>
                <w:color w:val="auto"/>
              </w:rPr>
            </w:pPr>
          </w:p>
        </w:tc>
      </w:tr>
      <w:tr>
        <w:trPr>
          <w:trHeight w:val="249"/>
        </w:trPr>
        <w:tc>
          <w:tcPr>
            <w:tcW w:w="3500" w:type="dxa"/>
            <w:vAlign w:val="bottom"/>
          </w:tcPr>
          <w:p>
            <w:pPr>
              <w:jc w:val="center"/>
              <w:ind w:left="1940"/>
              <w:spacing w:after="0"/>
              <w:rPr>
                <w:sz w:val="20"/>
                <w:szCs w:val="20"/>
                <w:color w:val="auto"/>
              </w:rPr>
            </w:pPr>
            <w:r>
              <w:rPr>
                <w:rFonts w:ascii="Times New Roman" w:cs="Times New Roman" w:eastAsia="Times New Roman" w:hAnsi="Times New Roman"/>
                <w:sz w:val="11"/>
                <w:szCs w:val="11"/>
                <w:b w:val="1"/>
                <w:bCs w:val="1"/>
                <w:color w:val="auto"/>
                <w:w w:val="95"/>
              </w:rPr>
              <w:t>420 Taylor Street</w:t>
            </w:r>
          </w:p>
        </w:tc>
        <w:tc>
          <w:tcPr>
            <w:tcW w:w="8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540" w:type="dxa"/>
            <w:vAlign w:val="bottom"/>
            <w:vMerge w:val="restart"/>
          </w:tcPr>
          <w:p>
            <w:pPr>
              <w:jc w:val="right"/>
              <w:ind w:right="2581"/>
              <w:spacing w:after="0"/>
              <w:rPr>
                <w:sz w:val="20"/>
                <w:szCs w:val="20"/>
                <w:color w:val="auto"/>
              </w:rPr>
            </w:pPr>
            <w:r>
              <w:rPr>
                <w:rFonts w:ascii="Times New Roman" w:cs="Times New Roman" w:eastAsia="Times New Roman" w:hAnsi="Times New Roman"/>
                <w:sz w:val="11"/>
                <w:szCs w:val="11"/>
                <w:b w:val="1"/>
                <w:bCs w:val="1"/>
                <w:color w:val="auto"/>
              </w:rPr>
              <w:t>94102</w:t>
            </w:r>
          </w:p>
        </w:tc>
        <w:tc>
          <w:tcPr>
            <w:tcW w:w="0" w:type="dxa"/>
            <w:vAlign w:val="bottom"/>
          </w:tcPr>
          <w:p>
            <w:pPr>
              <w:spacing w:after="0"/>
              <w:rPr>
                <w:sz w:val="1"/>
                <w:szCs w:val="1"/>
                <w:color w:val="auto"/>
              </w:rPr>
            </w:pPr>
          </w:p>
        </w:tc>
      </w:tr>
      <w:tr>
        <w:trPr>
          <w:trHeight w:val="108"/>
        </w:trPr>
        <w:tc>
          <w:tcPr>
            <w:tcW w:w="3500" w:type="dxa"/>
            <w:vAlign w:val="bottom"/>
          </w:tcPr>
          <w:p>
            <w:pPr>
              <w:jc w:val="center"/>
              <w:ind w:left="1940"/>
              <w:spacing w:after="0" w:line="108" w:lineRule="exact"/>
              <w:rPr>
                <w:sz w:val="20"/>
                <w:szCs w:val="20"/>
                <w:color w:val="auto"/>
              </w:rPr>
            </w:pPr>
            <w:r>
              <w:rPr>
                <w:rFonts w:ascii="Times New Roman" w:cs="Times New Roman" w:eastAsia="Times New Roman" w:hAnsi="Times New Roman"/>
                <w:sz w:val="11"/>
                <w:szCs w:val="11"/>
                <w:b w:val="1"/>
                <w:bCs w:val="1"/>
                <w:color w:val="auto"/>
                <w:w w:val="98"/>
              </w:rPr>
              <w:t>San Francisco, California</w:t>
            </w:r>
          </w:p>
        </w:tc>
        <w:tc>
          <w:tcPr>
            <w:tcW w:w="8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380" w:type="dxa"/>
            <w:vAlign w:val="bottom"/>
            <w:gridSpan w:val="2"/>
          </w:tcPr>
          <w:p>
            <w:pPr>
              <w:jc w:val="center"/>
              <w:ind w:left="106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3320" w:type="dxa"/>
            <w:vAlign w:val="bottom"/>
          </w:tcPr>
          <w:p>
            <w:pPr>
              <w:spacing w:after="0"/>
              <w:rPr>
                <w:sz w:val="12"/>
                <w:szCs w:val="12"/>
                <w:color w:val="auto"/>
              </w:rPr>
            </w:pPr>
          </w:p>
        </w:tc>
        <w:tc>
          <w:tcPr>
            <w:tcW w:w="3540" w:type="dxa"/>
            <w:vAlign w:val="bottom"/>
          </w:tcPr>
          <w:p>
            <w:pPr>
              <w:jc w:val="center"/>
              <w:ind w:right="1941"/>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93"/>
        </w:trPr>
        <w:tc>
          <w:tcPr>
            <w:tcW w:w="3500" w:type="dxa"/>
            <w:vAlign w:val="bottom"/>
          </w:tcPr>
          <w:p>
            <w:pPr>
              <w:spacing w:after="0"/>
              <w:rPr>
                <w:sz w:val="16"/>
                <w:szCs w:val="16"/>
                <w:color w:val="auto"/>
              </w:rPr>
            </w:pPr>
          </w:p>
        </w:tc>
        <w:tc>
          <w:tcPr>
            <w:tcW w:w="4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(415) 344-0333</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3500" w:type="dxa"/>
            <w:vAlign w:val="bottom"/>
          </w:tcPr>
          <w:p>
            <w:pPr>
              <w:spacing w:after="0"/>
              <w:rPr>
                <w:sz w:val="24"/>
                <w:szCs w:val="24"/>
                <w:color w:val="auto"/>
              </w:rPr>
            </w:pPr>
          </w:p>
        </w:tc>
        <w:tc>
          <w:tcPr>
            <w:tcW w:w="4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00" w:type="dxa"/>
            <w:vAlign w:val="bottom"/>
          </w:tcPr>
          <w:p>
            <w:pPr>
              <w:jc w:val="center"/>
              <w:ind w:left="1500"/>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880" w:type="dxa"/>
            <w:vAlign w:val="bottom"/>
          </w:tcPr>
          <w:p>
            <w:pPr>
              <w:spacing w:after="0"/>
              <w:rPr>
                <w:sz w:val="21"/>
                <w:szCs w:val="21"/>
                <w:color w:val="auto"/>
              </w:rPr>
            </w:pPr>
          </w:p>
        </w:tc>
        <w:tc>
          <w:tcPr>
            <w:tcW w:w="3320" w:type="dxa"/>
            <w:vAlign w:val="bottom"/>
          </w:tcPr>
          <w:p>
            <w:pPr>
              <w:jc w:val="center"/>
              <w:ind w:right="837"/>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3540" w:type="dxa"/>
            <w:vAlign w:val="bottom"/>
          </w:tcPr>
          <w:p>
            <w:pPr>
              <w:jc w:val="center"/>
              <w:ind w:right="1541"/>
              <w:spacing w:after="0"/>
              <w:rPr>
                <w:sz w:val="20"/>
                <w:szCs w:val="20"/>
                <w:color w:val="auto"/>
              </w:rPr>
            </w:pPr>
            <w:r>
              <w:rPr>
                <w:rFonts w:ascii="Times New Roman" w:cs="Times New Roman" w:eastAsia="Times New Roman" w:hAnsi="Times New Roman"/>
                <w:sz w:val="11"/>
                <w:szCs w:val="11"/>
                <w:b w:val="1"/>
                <w:bCs w:val="1"/>
                <w:color w:val="auto"/>
                <w:w w:val="98"/>
              </w:rPr>
              <w:t>Name of Exchange on Which Registered</w:t>
            </w:r>
          </w:p>
        </w:tc>
        <w:tc>
          <w:tcPr>
            <w:tcW w:w="0" w:type="dxa"/>
            <w:vAlign w:val="bottom"/>
          </w:tcPr>
          <w:p>
            <w:pPr>
              <w:spacing w:after="0"/>
              <w:rPr>
                <w:sz w:val="1"/>
                <w:szCs w:val="1"/>
                <w:color w:val="auto"/>
              </w:rPr>
            </w:pPr>
          </w:p>
        </w:tc>
      </w:tr>
      <w:tr>
        <w:trPr>
          <w:trHeight w:val="201"/>
        </w:trPr>
        <w:tc>
          <w:tcPr>
            <w:tcW w:w="4380" w:type="dxa"/>
            <w:vAlign w:val="bottom"/>
            <w:gridSpan w:val="2"/>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3320" w:type="dxa"/>
            <w:vAlign w:val="bottom"/>
          </w:tcPr>
          <w:p>
            <w:pPr>
              <w:jc w:val="center"/>
              <w:ind w:right="837"/>
              <w:spacing w:after="0"/>
              <w:rPr>
                <w:sz w:val="20"/>
                <w:szCs w:val="20"/>
                <w:color w:val="auto"/>
              </w:rPr>
            </w:pPr>
            <w:r>
              <w:rPr>
                <w:rFonts w:ascii="Times New Roman" w:cs="Times New Roman" w:eastAsia="Times New Roman" w:hAnsi="Times New Roman"/>
                <w:sz w:val="14"/>
                <w:szCs w:val="14"/>
                <w:b w:val="1"/>
                <w:bCs w:val="1"/>
                <w:color w:val="auto"/>
              </w:rPr>
              <w:t>NXDR</w:t>
            </w:r>
          </w:p>
        </w:tc>
        <w:tc>
          <w:tcPr>
            <w:tcW w:w="3540" w:type="dxa"/>
            <w:vAlign w:val="bottom"/>
          </w:tcPr>
          <w:p>
            <w:pPr>
              <w:jc w:val="center"/>
              <w:ind w:right="1541"/>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40" w:lineRule="exact"/>
        <w:rPr>
          <w:sz w:val="24"/>
          <w:szCs w:val="24"/>
          <w:color w:val="auto"/>
        </w:rPr>
      </w:pPr>
    </w:p>
    <w:p>
      <w:pPr>
        <w:ind w:right="460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2" w:lineRule="exact"/>
        <w:rPr>
          <w:sz w:val="24"/>
          <w:szCs w:val="24"/>
          <w:color w:val="auto"/>
        </w:rPr>
      </w:pPr>
    </w:p>
    <w:p>
      <w:pPr>
        <w:ind w:right="100"/>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240"/>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2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380"/>
              <w:spacing w:after="0"/>
              <w:rPr>
                <w:sz w:val="20"/>
                <w:szCs w:val="20"/>
                <w:color w:val="auto"/>
              </w:rPr>
            </w:pPr>
            <w:r>
              <w:rPr>
                <w:rFonts w:ascii="Times New Roman" w:cs="Times New Roman" w:eastAsia="Times New Roman" w:hAnsi="Times New Roman"/>
                <w:sz w:val="13"/>
                <w:szCs w:val="13"/>
                <w:color w:val="auto"/>
              </w:rPr>
              <w:t>Accelerated filer</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3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20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580" w:type="dxa"/>
            <w:vAlign w:val="bottom"/>
          </w:tcPr>
          <w:p>
            <w:pPr>
              <w:ind w:left="2380"/>
              <w:spacing w:after="0"/>
              <w:rPr>
                <w:sz w:val="20"/>
                <w:szCs w:val="20"/>
                <w:color w:val="auto"/>
              </w:rPr>
            </w:pPr>
            <w:r>
              <w:rPr>
                <w:rFonts w:ascii="Times New Roman" w:cs="Times New Roman" w:eastAsia="Times New Roman" w:hAnsi="Times New Roman"/>
                <w:sz w:val="13"/>
                <w:szCs w:val="13"/>
                <w:color w:val="auto"/>
              </w:rPr>
              <w:t>Emerging growth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9" w:lineRule="exact"/>
        <w:rPr>
          <w:sz w:val="24"/>
          <w:szCs w:val="24"/>
          <w:color w:val="auto"/>
        </w:rPr>
      </w:pPr>
    </w:p>
    <w:p>
      <w:pPr>
        <w:ind w:right="320"/>
        <w:spacing w:after="0" w:line="15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right="220"/>
        <w:spacing w:after="0" w:line="16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94"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spacing w:after="0" w:line="9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6"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3"/>
          <w:szCs w:val="13"/>
          <w:color w:val="auto"/>
        </w:rPr>
        <w:t>The aggregate market value of the voting and non-voting stock held by non-affiliates of the registrant, as of June 30, 2025, the last business day of the registrant’s recently completed second fiscal quarter, was approximately $434.4 million based upon the closing price reported for such date on the New York Stock Exchange.</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13, 2026, there were 260,137,108 shares of the registrant’s Class A common stock outstanding and 127,588,294 shares of the registrant’s Class B common stock outstanding.</w:t>
      </w:r>
    </w:p>
    <w:p>
      <w:pPr>
        <w:spacing w:after="0" w:line="6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right="500"/>
        <w:spacing w:after="0" w:line="229" w:lineRule="auto"/>
        <w:rPr>
          <w:sz w:val="20"/>
          <w:szCs w:val="20"/>
          <w:color w:val="auto"/>
        </w:rPr>
      </w:pPr>
      <w:r>
        <w:rPr>
          <w:rFonts w:ascii="Times New Roman" w:cs="Times New Roman" w:eastAsia="Times New Roman" w:hAnsi="Times New Roman"/>
          <w:sz w:val="13"/>
          <w:szCs w:val="13"/>
          <w:color w:val="auto"/>
        </w:rPr>
        <w:t>Information required in responses to Part III of Form 10-K is hereby incorporated by reference to portions of the Registrant’s Proxy Statement for the Annual Meeting of Stockholders to be held in 2026. The Proxy Statement will be filed by the Registrant with the Securities and Exchange Commission no later than 120 days after the end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1052195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10240" w:type="dxa"/>
            <w:vAlign w:val="bottom"/>
            <w:gridSpan w:val="29"/>
          </w:tcPr>
          <w:p>
            <w:pPr>
              <w:spacing w:after="0" w:line="182"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540" w:type="dxa"/>
            <w:vAlign w:val="bottom"/>
            <w:gridSpan w:val="2"/>
          </w:tcPr>
          <w:p>
            <w:pPr>
              <w:jc w:val="center"/>
              <w:ind w:left="350"/>
              <w:spacing w:after="0" w:line="182" w:lineRule="exact"/>
              <w:rPr>
                <w:sz w:val="20"/>
                <w:szCs w:val="20"/>
                <w:color w:val="auto"/>
              </w:rPr>
            </w:pPr>
            <w:r>
              <w:rPr>
                <w:rFonts w:ascii="Times New Roman" w:cs="Times New Roman" w:eastAsia="Times New Roman" w:hAnsi="Times New Roman"/>
                <w:sz w:val="18"/>
                <w:szCs w:val="18"/>
                <w:color w:val="0000FF"/>
              </w:rPr>
              <w:t>2</w:t>
            </w:r>
          </w:p>
        </w:tc>
        <w:tc>
          <w:tcPr>
            <w:tcW w:w="440" w:type="dxa"/>
            <w:vAlign w:val="bottom"/>
          </w:tcPr>
          <w:p>
            <w:pPr>
              <w:spacing w:after="0"/>
              <w:rPr>
                <w:sz w:val="15"/>
                <w:szCs w:val="15"/>
                <w:color w:val="auto"/>
              </w:rPr>
            </w:pPr>
          </w:p>
        </w:tc>
      </w:tr>
      <w:tr>
        <w:trPr>
          <w:trHeight w:val="209"/>
        </w:trPr>
        <w:tc>
          <w:tcPr>
            <w:tcW w:w="15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Risk Factor Summary</w:t>
            </w: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40" w:type="dxa"/>
            <w:vAlign w:val="bottom"/>
          </w:tcPr>
          <w:p>
            <w:pPr>
              <w:spacing w:after="0"/>
              <w:rPr>
                <w:sz w:val="18"/>
                <w:szCs w:val="18"/>
                <w:color w:val="auto"/>
              </w:rPr>
            </w:pPr>
          </w:p>
        </w:tc>
      </w:tr>
      <w:tr>
        <w:trPr>
          <w:trHeight w:val="210"/>
        </w:trPr>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8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rPr>
              <w:t>6</w:t>
            </w:r>
          </w:p>
        </w:tc>
        <w:tc>
          <w:tcPr>
            <w:tcW w:w="440" w:type="dxa"/>
            <w:vAlign w:val="bottom"/>
          </w:tcPr>
          <w:p>
            <w:pPr>
              <w:spacing w:after="0"/>
              <w:rPr>
                <w:sz w:val="18"/>
                <w:szCs w:val="18"/>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80" w:type="dxa"/>
            <w:vAlign w:val="bottom"/>
          </w:tcPr>
          <w:p>
            <w:pPr>
              <w:spacing w:after="0"/>
              <w:rPr>
                <w:sz w:val="18"/>
                <w:szCs w:val="18"/>
                <w:color w:val="auto"/>
              </w:rPr>
            </w:pP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660" w:type="dxa"/>
            <w:vAlign w:val="bottom"/>
            <w:gridSpan w:val="19"/>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12</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80" w:type="dxa"/>
            <w:vAlign w:val="bottom"/>
          </w:tcPr>
          <w:p>
            <w:pPr>
              <w:spacing w:after="0"/>
              <w:rPr>
                <w:sz w:val="18"/>
                <w:szCs w:val="18"/>
                <w:color w:val="auto"/>
              </w:rPr>
            </w:pP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520" w:type="dxa"/>
            <w:vAlign w:val="bottom"/>
            <w:gridSpan w:val="13"/>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43</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80" w:type="dxa"/>
            <w:vAlign w:val="bottom"/>
          </w:tcPr>
          <w:p>
            <w:pPr>
              <w:spacing w:after="0"/>
              <w:rPr>
                <w:sz w:val="18"/>
                <w:szCs w:val="18"/>
                <w:color w:val="auto"/>
              </w:rPr>
            </w:pP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560" w:type="dxa"/>
            <w:vAlign w:val="bottom"/>
            <w:gridSpan w:val="18"/>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43</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80" w:type="dxa"/>
            <w:vAlign w:val="bottom"/>
          </w:tcPr>
          <w:p>
            <w:pPr>
              <w:spacing w:after="0"/>
              <w:rPr>
                <w:sz w:val="18"/>
                <w:szCs w:val="18"/>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840" w:type="dxa"/>
            <w:vAlign w:val="bottom"/>
            <w:gridSpan w:val="21"/>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44</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44</w:t>
            </w:r>
          </w:p>
        </w:tc>
        <w:tc>
          <w:tcPr>
            <w:tcW w:w="440" w:type="dxa"/>
            <w:vAlign w:val="bottom"/>
          </w:tcPr>
          <w:p>
            <w:pPr>
              <w:spacing w:after="0"/>
              <w:rPr>
                <w:sz w:val="18"/>
                <w:szCs w:val="18"/>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44</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r>
      <w:tr>
        <w:trPr>
          <w:trHeight w:val="209"/>
        </w:trPr>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45</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80" w:type="dxa"/>
            <w:vAlign w:val="bottom"/>
          </w:tcPr>
          <w:p>
            <w:pPr>
              <w:spacing w:after="0"/>
              <w:rPr>
                <w:sz w:val="18"/>
                <w:szCs w:val="18"/>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780" w:type="dxa"/>
            <w:vAlign w:val="bottom"/>
            <w:gridSpan w:val="2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46</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47</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80" w:type="dxa"/>
            <w:vAlign w:val="bottom"/>
          </w:tcPr>
          <w:p>
            <w:pPr>
              <w:spacing w:after="0"/>
              <w:rPr>
                <w:sz w:val="18"/>
                <w:szCs w:val="18"/>
                <w:color w:val="auto"/>
              </w:rPr>
            </w:pP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20" w:type="dxa"/>
            <w:vAlign w:val="bottom"/>
            <w:gridSpan w:val="4"/>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58</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80" w:type="dxa"/>
            <w:vAlign w:val="bottom"/>
          </w:tcPr>
          <w:p>
            <w:pPr>
              <w:spacing w:after="0"/>
              <w:rPr>
                <w:sz w:val="18"/>
                <w:szCs w:val="18"/>
                <w:color w:val="auto"/>
              </w:rPr>
            </w:pPr>
          </w:p>
        </w:tc>
        <w:tc>
          <w:tcPr>
            <w:tcW w:w="33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220" w:type="dxa"/>
            <w:vAlign w:val="bottom"/>
            <w:gridSpan w:val="7"/>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59</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80" w:type="dxa"/>
            <w:vAlign w:val="bottom"/>
          </w:tcPr>
          <w:p>
            <w:pPr>
              <w:spacing w:after="0"/>
              <w:rPr>
                <w:sz w:val="18"/>
                <w:szCs w:val="18"/>
                <w:color w:val="auto"/>
              </w:rPr>
            </w:pPr>
          </w:p>
        </w:tc>
        <w:tc>
          <w:tcPr>
            <w:tcW w:w="65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06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87</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80" w:type="dxa"/>
            <w:vAlign w:val="bottom"/>
          </w:tcPr>
          <w:p>
            <w:pPr>
              <w:spacing w:after="0"/>
              <w:rPr>
                <w:sz w:val="18"/>
                <w:szCs w:val="18"/>
                <w:color w:val="auto"/>
              </w:rPr>
            </w:pP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800" w:type="dxa"/>
            <w:vAlign w:val="bottom"/>
            <w:gridSpan w:val="15"/>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87</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87</w:t>
            </w:r>
          </w:p>
        </w:tc>
        <w:tc>
          <w:tcPr>
            <w:tcW w:w="440" w:type="dxa"/>
            <w:vAlign w:val="bottom"/>
          </w:tcPr>
          <w:p>
            <w:pPr>
              <w:spacing w:after="0"/>
              <w:rPr>
                <w:sz w:val="18"/>
                <w:szCs w:val="18"/>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88</w:t>
            </w:r>
          </w:p>
        </w:tc>
        <w:tc>
          <w:tcPr>
            <w:tcW w:w="440" w:type="dxa"/>
            <w:vAlign w:val="bottom"/>
          </w:tcPr>
          <w:p>
            <w:pPr>
              <w:spacing w:after="0"/>
              <w:rPr>
                <w:sz w:val="18"/>
                <w:szCs w:val="18"/>
                <w:color w:val="auto"/>
              </w:rPr>
            </w:pPr>
          </w:p>
        </w:tc>
      </w:tr>
      <w:tr>
        <w:trPr>
          <w:trHeight w:val="209"/>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80" w:type="dxa"/>
            <w:vAlign w:val="bottom"/>
          </w:tcPr>
          <w:p>
            <w:pPr>
              <w:spacing w:after="0"/>
              <w:rPr>
                <w:sz w:val="18"/>
                <w:szCs w:val="18"/>
                <w:color w:val="auto"/>
              </w:rPr>
            </w:pP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480" w:type="dxa"/>
            <w:vAlign w:val="bottom"/>
            <w:gridSpan w:val="8"/>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88</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80" w:type="dxa"/>
            <w:vAlign w:val="bottom"/>
          </w:tcPr>
          <w:p>
            <w:pPr>
              <w:spacing w:after="0"/>
              <w:rPr>
                <w:sz w:val="18"/>
                <w:szCs w:val="18"/>
                <w:color w:val="auto"/>
              </w:rPr>
            </w:pPr>
          </w:p>
        </w:tc>
        <w:tc>
          <w:tcPr>
            <w:tcW w:w="1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6760" w:type="dxa"/>
            <w:vAlign w:val="bottom"/>
            <w:gridSpan w:val="14"/>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88</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80" w:type="dxa"/>
            <w:vAlign w:val="bottom"/>
          </w:tcPr>
          <w:p>
            <w:pPr>
              <w:spacing w:after="0"/>
              <w:rPr>
                <w:sz w:val="18"/>
                <w:szCs w:val="18"/>
                <w:color w:val="auto"/>
              </w:rPr>
            </w:pP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28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88</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80" w:type="dxa"/>
            <w:vAlign w:val="bottom"/>
          </w:tcPr>
          <w:p>
            <w:pPr>
              <w:spacing w:after="0"/>
              <w:rPr>
                <w:sz w:val="18"/>
                <w:szCs w:val="18"/>
                <w:color w:val="auto"/>
              </w:rPr>
            </w:pP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120" w:type="dxa"/>
            <w:vAlign w:val="bottom"/>
            <w:gridSpan w:val="5"/>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88</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88</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r>
      <w:tr>
        <w:trPr>
          <w:trHeight w:val="209"/>
        </w:trPr>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89</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8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6"/>
          </w:tcPr>
          <w:p>
            <w:pPr>
              <w:spacing w:after="0"/>
              <w:rPr>
                <w:sz w:val="18"/>
                <w:szCs w:val="18"/>
                <w:color w:val="auto"/>
              </w:rPr>
            </w:pPr>
          </w:p>
        </w:tc>
        <w:tc>
          <w:tcPr>
            <w:tcW w:w="5680" w:type="dxa"/>
            <w:vAlign w:val="bottom"/>
            <w:gridSpan w:val="1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90</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91</w:t>
            </w:r>
          </w:p>
        </w:tc>
        <w:tc>
          <w:tcPr>
            <w:tcW w:w="44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the federal securities laws. All statements contained in this Annual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 “plans,”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“targets,” and variations of such words and similar expressions are intended to identify forward-looking statements. Forward-looking statements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may include, for example, statements about:</w:t>
      </w:r>
    </w:p>
    <w:p>
      <w:pPr>
        <w:spacing w:after="0" w:line="234"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including our ability to scale new neighbor growth, our ability to grow engagement by our existing neighbor base and our ability to increase monetization of our platform;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monetization efforts;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of, or investment in, new products or enhancements to our platform, including as part of our new Nextdoor initiative;</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economic, and macroeconomic climate, whether in the advertising industry in general, or among specific types of advertisers or within particular geographies, including but not limited to the impacts related to significant political, trade, or regulatory developments, turmoil in the global banking system, labor shortages, supply chain disruptions, a potential recession, a potential temporary federal government shutdown, inflation, and changing interest rates;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operations abroad by opening new and expanding within existing neighborhoods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and the ultimate success of, technologies, including artificial intelligence, aimed at enhancing our business solutions and delivering additional value to customers on our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effectively;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sources of capital to finance operations and growth;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strategic relationships with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New York Stock Exchange;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both within and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as a result of interruptions, delays, or failures resulting from earthquakes, fires, floods, adverse weather conditions, other natural disasters, power loss, terrorism, pandemics, geopolitical conflict, other physical security threats, cyber-attacks, or other catastrophic events;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in Part I, Item 1A, “Risk Factors” in this Annual Report.</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this Annual Report. Readers are urged to carefully review and consider the various disclosures made in this Annual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Annual Report may not occur and actual results could differ materially and adversely from those anticipated or implied in the forward-looking statements.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Annual Report are made as of the date of this filing, and we do not undertake, and expressly disclaim any duty, to update such statements for any reason after the date of this Annual Report or to conform statements to actual results or revised expectations, except as required by law.</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herein and have filed with the SEC as exhibits to this Annual Report with the understanding that our actual future results, performance, and events and circumstances may be materially different from what we expect.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Annual Report, the terms “Nextdoor,” “we,” “us,” “Registrant,” and “our” mean Nextdoor Holdings,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Class A common stock. Some of the principal risks and uncertainties include the following:</w:t>
      </w:r>
    </w:p>
    <w:p>
      <w:pPr>
        <w:spacing w:after="0" w:line="108" w:lineRule="exact"/>
        <w:rPr>
          <w:sz w:val="20"/>
          <w:szCs w:val="20"/>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and financial conditions could harm our business and financial condition.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competitive. Competition presents an ongoing threat to the success of our business.</w:t>
      </w:r>
    </w:p>
    <w:p>
      <w:pPr>
        <w:spacing w:after="0" w:line="238" w:lineRule="exact"/>
        <w:rPr>
          <w:rFonts w:ascii="Times New Roman" w:cs="Times New Roman" w:eastAsia="Times New Roman" w:hAnsi="Times New Roman"/>
          <w:sz w:val="18"/>
          <w:szCs w:val="18"/>
          <w:color w:val="auto"/>
        </w:rPr>
      </w:pPr>
    </w:p>
    <w:p>
      <w:pPr>
        <w:jc w:val="both"/>
        <w:ind w:left="660" w:right="2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scale our business effectively, our business, operating results, and financial condition would be adversely affected.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AI initiatives, which could adversely affect our business, reputation, or financial results.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software and service providers, including ads platforms and programmatic advertising partners, for management and delivery of certain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21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Technologies have been developed that can block the display of advertisements on the Nextdoor platform, which could adversely impact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including improper access to or disclosure of our data or our neighbors’ data, or other hacking and phishing attacks on our or third-party systems, could harm our reputation, adversely affect our business, and result in legal liability.</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2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market opportunities and key metric estimates could prove to be inaccurate, and have been inaccurate in the past, and any real or perceived inaccuracies may harm our reputation and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greater than anticipated tax liabilities, which could harm our business, revenue and financial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as a result of content or information that is published or made available on our platform.</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in the future may be, involved in legal disputes that are expensive and time consuming, and, if resolved adversely, could harm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Class A common stock has been and may continue to be volatile.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Nextdoor is the essential neighborhood network connecting over 105 million Verified Neighbors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to the people, places, and information that matter most in their local communities. Operating in over 350,000 neighborhoods across 11 countries, Nextdoor fosters trusted, real-world utility through locally relevant content and services, including news, real-time safety alerts, neighbor recommendations, for sale and free listings, and events. This focus on practical local value drives genuine, high-intent local engagement and supports a diverse ecosystem of neighbors and partners seeking to connect with neighbors.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is powered by unique geospatial technology and a proprietary advertising system that enables businesses of all sizes to reach highly engaged audiences with a local focus. Through these capabilities, Nextdoor helps strengthen local communities while providing partners — including small businesses, national brands, publishers, and civic and government agencies — with effective tools to communicate and engage locally at scale.</w:t>
      </w:r>
    </w:p>
    <w:p>
      <w:pPr>
        <w:spacing w:after="0" w:line="122" w:lineRule="exact"/>
        <w:rPr>
          <w:sz w:val="20"/>
          <w:szCs w:val="20"/>
          <w:color w:val="auto"/>
        </w:rPr>
      </w:pPr>
    </w:p>
    <w:p>
      <w:pPr>
        <w:spacing w:after="0" w:line="414" w:lineRule="auto"/>
        <w:rPr>
          <w:sz w:val="20"/>
          <w:szCs w:val="20"/>
          <w:color w:val="auto"/>
        </w:rPr>
      </w:pPr>
      <w:r>
        <w:rPr>
          <w:rFonts w:ascii="Times New Roman" w:cs="Times New Roman" w:eastAsia="Times New Roman" w:hAnsi="Times New Roman"/>
          <w:sz w:val="18"/>
          <w:szCs w:val="18"/>
          <w:color w:val="auto"/>
        </w:rPr>
        <w:t xml:space="preserve">As of December 31, 2025, Nextdoor had 21.0 million Platform Weekly Active Users (“Platform WAU”) and reached 1 in 3 households in the United States. </w:t>
      </w:r>
      <w:r>
        <w:rPr>
          <w:rFonts w:ascii="Times New Roman" w:cs="Times New Roman" w:eastAsia="Times New Roman" w:hAnsi="Times New Roman"/>
          <w:sz w:val="18"/>
          <w:szCs w:val="18"/>
          <w:b w:val="1"/>
          <w:bCs w:val="1"/>
          <w:color w:val="auto"/>
        </w:rPr>
        <w:t>Our Platform and Our Users</w:t>
      </w:r>
    </w:p>
    <w:p>
      <w:pPr>
        <w:spacing w:after="0" w:line="1"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In 2025, we launched the new Nextdoor initiative, the first phase of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phase product transformation designed to create more engaging experiences for neighbors and partners and deliver enhanced value for advertisers. This evolution expands the platform beyond primarily neighbor-generated content to a dynamic feed enriched with timely, locally relevant information — including news and alerts — with artificial intelligence (“AI”) and machine learning (“ML”) used to help surface and personalize content for neighbors.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Nextdoor Ecosystem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Nextdoor is built on the unique combination of neighbor identity, trust and proximity. Our platform is powered by our core constituencies: neighbors, businesses, and public agencies seeking to build stronger, more connected communities. Neighbors use Nextdoor to connect with their neighbors, follow local news, participate in conversations, discover and support local businesses, and exchange goods and services. Businesses use our platform to reach high-intent audiences through free Business Pages and targeted advertising, while public agencies — including fire departments, law enforcement, and municipal offices — share real-time updates, critical alerts, and community information.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ecosystem is further enhanced by more than 4,000 local news publishers whose content accounted, as of December 31, 2025, for approximately 7% of total feed volume, as well as alert partners such as Waze, Weather.com, and the U.S. Geological Survey. These partnerships deliver real-time traffic, weather, and safety notifications, increasing the relevance and utility of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and Technology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user experience anchors on the Feed, a dynamic, personalized stream of neighbor posts, discussions, news, alerts, and community updates tailored by location. Our Search functionality connects neighbors to local businesses and resources, enabling discovery and recommendations that help drive visibility and loyalty for local businesses. Additionally, For Sale &amp; Free facilitates a local marketplace where neighbors can buy, sell, or donate items within their communities.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is built on a rich local data set that includes event details, recommendations, and insights into neighbor and neighborhood interests and behaviors. This proprietary data powers our unique local knowledge and neighbor graph, enabling more relevant content experiences for neighbors and more effective advertising solutions for businesses.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ongoing enhancements in AI and ML capabilities, we continue to improve content personalization, notification relevance, and ad performance. By seamlessly connecting neighbors, businesses, and public agencies, we continue to evolve Nextdoor into the most useful, real-time resource for neighborhoods—with a clear ambition: if it’s happening in your neighborhood, it’s on Nextdoor.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7"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Verified Neighbors are individuals who have joined Nextdoor and completed the verification process for their account.</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57" w:lineRule="exact"/>
        <w:rPr>
          <w:rFonts w:ascii="Times New Roman" w:cs="Times New Roman" w:eastAsia="Times New Roman" w:hAnsi="Times New Roman"/>
          <w:sz w:val="23"/>
          <w:szCs w:val="23"/>
          <w:color w:val="auto"/>
          <w:vertAlign w:val="superscript"/>
        </w:rPr>
      </w:pPr>
    </w:p>
    <w:p>
      <w:pPr>
        <w:ind w:left="57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Advertising Solutions</w:t>
      </w:r>
    </w:p>
    <w:p>
      <w:pPr>
        <w:spacing w:after="0" w:line="162"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18"/>
          <w:szCs w:val="18"/>
          <w:color w:val="auto"/>
        </w:rPr>
        <w:t>Nextdoor offers a comprehensive suite of advertising solutions designed to deliver measurable results for businesses of all sizes. Our Nextdoor Ads Platform is built on a proprietary ad stack that includes the Nextdoor Ads Manager interface, our native ad server, and measurement and API tools. Together, these capabilities help businesses to connect with high-intent local audiences, build brand awareness, and drive customer engagement where decisions are made: in the neighborhood. To help businesses achieve these goals, we provide a range of key features and benefits:</w:t>
      </w:r>
    </w:p>
    <w:p>
      <w:pPr>
        <w:spacing w:after="0" w:line="217" w:lineRule="exact"/>
        <w:rPr>
          <w:sz w:val="20"/>
          <w:szCs w:val="20"/>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Hyperlocal Targeting</w:t>
      </w:r>
      <w:r>
        <w:rPr>
          <w:rFonts w:ascii="Times New Roman" w:cs="Times New Roman" w:eastAsia="Times New Roman" w:hAnsi="Times New Roman"/>
          <w:sz w:val="18"/>
          <w:szCs w:val="18"/>
          <w:color w:val="auto"/>
        </w:rPr>
        <w:t>: Powered by our first-party data from over 105 million Verified Neighbors, Nextdoor’s unique neighborhood-level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targeting capabilities helps advertisers reach validated audiences based on neighborhood, interests, and real-world behavior. This is designed to help campaigns reach the most relevant neighborhoods to enhance impact.</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Diverse Ad Formats</w:t>
      </w:r>
      <w:r>
        <w:rPr>
          <w:rFonts w:ascii="Times New Roman" w:cs="Times New Roman" w:eastAsia="Times New Roman" w:hAnsi="Times New Roman"/>
          <w:sz w:val="18"/>
          <w:szCs w:val="18"/>
          <w:color w:val="auto"/>
        </w:rPr>
        <w:t>: We offer a variety of engaging ad formats, including sponsored posts, lead generation forms, native display ads, and video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 to cater to different marketing objectives and creative strategies. In 2025, we expanded our creative capabilities with AI-powered tools that help advertisers generate locally relevant copy and imagery at scale.</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 Auction and Delivery</w:t>
      </w:r>
      <w:r>
        <w:rPr>
          <w:rFonts w:ascii="Times New Roman" w:cs="Times New Roman" w:eastAsia="Times New Roman" w:hAnsi="Times New Roman"/>
          <w:sz w:val="18"/>
          <w:szCs w:val="18"/>
          <w:color w:val="auto"/>
        </w:rPr>
        <w:t>: Our ad auction system prioritizes ad relevance, quality, and user experience. Our algorithms analyze user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demographics, and historical behavior to optimize performance for advertisers while maintaining feed quality for neighbors.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26" w:lineRule="exact"/>
        <w:tabs>
          <w:tab w:leader="none" w:pos="65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and Attribution: </w:t>
      </w:r>
      <w:r>
        <w:rPr>
          <w:rFonts w:ascii="Times New Roman" w:cs="Times New Roman" w:eastAsia="Times New Roman" w:hAnsi="Times New Roman"/>
          <w:sz w:val="18"/>
          <w:szCs w:val="18"/>
          <w:color w:val="auto"/>
        </w:rPr>
        <w:t>We provide robust measurement tools, including pixel-based and API-based conversion tracking, to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advertisers quantify impact. These insights allow businesses to track key performance indicators—such as website visits, leads, and online sales— and optimize their marketing spend based on clear attribution. For advertisers seeking deeper insight into offline outcomes, our sales team also collaborates with independent measurement partners to run campaign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brand lift and foot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traffic studies, providing additional visibility into consumer perception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store activity.</w:t>
      </w:r>
    </w:p>
    <w:p>
      <w:pPr>
        <w:spacing w:after="0" w:line="112"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Brand Safety and Trust</w:t>
      </w:r>
      <w:r>
        <w:rPr>
          <w:rFonts w:ascii="Times New Roman" w:cs="Times New Roman" w:eastAsia="Times New Roman" w:hAnsi="Times New Roman"/>
          <w:sz w:val="18"/>
          <w:szCs w:val="18"/>
          <w:color w:val="auto"/>
        </w:rPr>
        <w:t>: We maintain a safe and trustworthy environment for both users and advertisers by implementing strict brand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measures and partnering with independent third-party verification providers designed to help ensure brand suitability and help protect against fraud.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Go-to-Market Approach</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Our go-to-market approach combines the scale and efficiency of our self-serve ads platform with the expertise of a dedicated global sales team. This hybrid approach allows us to cater to businesses of all sizes, from small local businesses to large global brands, across both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serve and managed campaigns. In addition to buying directly through our platform, advertisers can work with select programmatic and data partners to reach Nextdoor audiences more efficiently using their existing programmatic workflows.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Nextdoor Ads Manager (“NAM”) is the primary interface to our proprietary ad stack and powers our self-serve advertising channel by enabling advertisers to independently plan, launch, and optimize campaigns. Continued product investments in automated optimization, AI-driven creative support, and simplified campaign management have delivered measurable performance improvements, including higher click-through rates and lower cost-per-click for advertisers.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advertisers with more complex needs, our dedicated global sales team provides personalized support across our ad stack throughout the marketing lifecycle, including campaign planning, optimization, and performance analysis. Strategically positioned across markets, our sales team focuses on attracting and retaining advertisers while driving measurable outcomes across all ad products.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Community First Approach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continually innovates to facilitate productive neighborhood conversations. We maintain this constructive and authentic environment through a multi-layered strategy that combines neighbor verification based on location with clear Community Guidelines, and a hybrid moderation model leveraging both advanced technology and human review.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Identity and Verification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ensure authenticity, Nextdoor requires neighbors to sign up using their real names and addresses. This verification process creates a network of real people, establishing a foundation of trust. Businesses, news partners, and public agencies undergo a similar verification process to establish trust within the ecosystem.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Hybrid Moderation Framework</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employ a three-tiered moderation framework to maintain a positive and productive environment.</w:t>
      </w:r>
    </w:p>
    <w:p>
      <w:pPr>
        <w:spacing w:after="0" w:line="167" w:lineRule="exact"/>
        <w:rPr>
          <w:sz w:val="20"/>
          <w:szCs w:val="20"/>
          <w:color w:val="auto"/>
        </w:rPr>
      </w:pPr>
    </w:p>
    <w:p>
      <w:pPr>
        <w:jc w:val="both"/>
        <w:ind w:left="660" w:hanging="328"/>
        <w:spacing w:after="0" w:line="26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and Automated Solutions: </w:t>
      </w:r>
      <w:r>
        <w:rPr>
          <w:rFonts w:ascii="Times New Roman" w:cs="Times New Roman" w:eastAsia="Times New Roman" w:hAnsi="Times New Roman"/>
          <w:sz w:val="18"/>
          <w:szCs w:val="18"/>
          <w:color w:val="auto"/>
        </w:rPr>
        <w:t>We utilize ML models to proactively detect and flag harmful content before it is visible. Features such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Kindness Reminder and Constructive Conversations Reminder encourage respectful dialogue by analyzing tone and suggesting constructive edits. From time to time, we test generative AI tools, including tools intended to help neighbors draft more constructive and engaging posts and comments in line with our Community Guidelines.</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Community Moderation</w:t>
      </w:r>
      <w:r>
        <w:rPr>
          <w:rFonts w:ascii="Times New Roman" w:cs="Times New Roman" w:eastAsia="Times New Roman" w:hAnsi="Times New Roman"/>
          <w:sz w:val="18"/>
          <w:szCs w:val="18"/>
          <w:color w:val="auto"/>
        </w:rPr>
        <w:t>: Leveraging the local context known by our users, we support a network of over 200,000 volunteer community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reviewers. These volunteer neighbor reviewers are equipped with specialized tools to review reported content and uphold Community Guidelines in a way that reflects the unique nuances of their neighborhoods.</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Neighborhood Operations Team: </w:t>
      </w:r>
      <w:r>
        <w:rPr>
          <w:rFonts w:ascii="Times New Roman" w:cs="Times New Roman" w:eastAsia="Times New Roman" w:hAnsi="Times New Roman"/>
          <w:sz w:val="18"/>
          <w:szCs w:val="18"/>
          <w:color w:val="auto"/>
        </w:rPr>
        <w:t>Reports of specific types of content, including misinformation and discrimination, are escalated directly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Nextdoor’s internal operations staff. This ensures consistent, professional enforcement of our standards and policies.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Engagement Quality</w:t>
      </w:r>
    </w:p>
    <w:p>
      <w:pPr>
        <w:spacing w:after="0" w:line="134"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We aim to balance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interactions on our platform with growth in overall usage. From time to time, we adjust our notification and email strategies, including periods where we reduce or reconfigure volume to improve relevance and the overall neighbor experience. These changes, together with product experiments, seasonality, and other factors, can lead to fluctuations in available ad impressions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metrics such as Platform WAU. Over the long term, we believe that focusing on relevant, useful experiences for neighbors is important to sustaining trust, deepening engagement, and supporting our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Innovation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continually invest in technology to enhance our offerings for neighbors, businesses, and public agencies. At the core of our strategy is the use of AI and ML, which powers personalized content distribution for neighbors and optimizes ad reach and performance for advertisers. By leveraging our unique data set, we have developed AI-powered features to increase relevance, engagement, and utility for all. We continue investing in our proprietary ad platform to deliver greater advertiser value, reduce advertiser effort, and enable businesses of all sizes to succeed on Nextdoor.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intellectual property and core technological innovations are integral components of our business. To establish and protect our intellectual property, proprietary rights and brand, we rely 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disclosure, and invention assignment agreements, and other contractual rights.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own a trademark portfolio, including registered trademarks and applications in the United States and other countries, for the marks NEXTDOOR, </w:t>
      </w:r>
      <w:r>
        <w:rPr>
          <w:sz w:val="1"/>
          <w:szCs w:val="1"/>
          <w:color w:val="auto"/>
        </w:rPr>
        <w:drawing>
          <wp:inline distT="0" distB="0" distL="0" distR="0">
            <wp:extent cx="137160"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and </w:t>
      </w:r>
      <w:r>
        <w:rPr>
          <w:sz w:val="1"/>
          <w:szCs w:val="1"/>
          <w:color w:val="auto"/>
        </w:rPr>
        <w:drawing>
          <wp:inline distT="0" distB="0" distL="0" distR="0">
            <wp:extent cx="128270" cy="85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 We have registered domain names that we use in or relate to our business, such as the &lt;nextdoor.com&gt; domain name and country code top level domain name equivalents. As of December 31, 2025, we had 10 issued patent families in the United States. We cannot assure you that any of our patent applications will result in the issuance of a patent or whether the examination process will require us to narrow our claims. Additionally, our current and future patents, trademarks, and other intellectual property or other proprietary rights may be contested, circumvented or found unenforceable or invalid. We may not be able to obtain or maintain sufficient protection for or successfully enforce our intellectual property. We license content, technology, and other intellectual property from our partners, and rely on our license agreements with those partners to use the intellectual property. Third parties may assert claims related to intellectual property rights against our partners or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entitled “</w:t>
      </w:r>
      <w:r>
        <w:rPr>
          <w:rFonts w:ascii="Times New Roman" w:cs="Times New Roman" w:eastAsia="Times New Roman" w:hAnsi="Times New Roman"/>
          <w:sz w:val="18"/>
          <w:szCs w:val="18"/>
          <w:i w:val="1"/>
          <w:iCs w:val="1"/>
          <w:color w:val="auto"/>
        </w:rPr>
        <w:t>Risk Factors — Risks Related to Intellectual Property</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Management and Development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 and Core Values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Community drives everything we do at Nextdoor, and our employees embody that spirit. We are committed to attracting and retaining top talent by fostering an environment that promotes professional growth and personal impact. Our talent strategy is guided by three core values:</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for community;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the bar;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like an owner.</w:t>
      </w:r>
    </w:p>
    <w:p>
      <w:pPr>
        <w:spacing w:after="0" w:line="171" w:lineRule="exact"/>
        <w:rPr>
          <w:sz w:val="20"/>
          <w:szCs w:val="20"/>
          <w:color w:val="auto"/>
        </w:rPr>
      </w:pPr>
    </w:p>
    <w:p>
      <w:pPr>
        <w:ind w:right="1660"/>
        <w:spacing w:after="0" w:line="438" w:lineRule="auto"/>
        <w:rPr>
          <w:sz w:val="20"/>
          <w:szCs w:val="20"/>
          <w:color w:val="auto"/>
        </w:rPr>
      </w:pPr>
      <w:r>
        <w:rPr>
          <w:rFonts w:ascii="Times New Roman" w:cs="Times New Roman" w:eastAsia="Times New Roman" w:hAnsi="Times New Roman"/>
          <w:sz w:val="18"/>
          <w:szCs w:val="18"/>
          <w:color w:val="auto"/>
        </w:rPr>
        <w:t xml:space="preserve">These principles anchor our performance culture and empower our workforce to contribute directly to Nextdoor’s long-term success. As of December 31, 2025, we had 463 employees in the United States, Canada, and the United Kingdom. </w:t>
      </w:r>
      <w:r>
        <w:rPr>
          <w:rFonts w:ascii="Times New Roman" w:cs="Times New Roman" w:eastAsia="Times New Roman" w:hAnsi="Times New Roman"/>
          <w:sz w:val="18"/>
          <w:szCs w:val="18"/>
          <w:b w:val="1"/>
          <w:bCs w:val="1"/>
          <w:i w:val="1"/>
          <w:iCs w:val="1"/>
          <w:color w:val="auto"/>
        </w:rPr>
        <w:t>Talent Acquisition, Development, and Retention</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prioritize the acquisition, development, and retention of talent at all levels of the organization. Our recruitment process is rigorous and standardized, utilizing behavioral and situational-based interviewing to identify candidates who demonstrate the skills and values necessary for long-term success.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onboarded, we invest in continuous development. We facilitate company-wide performance feedback and promotion cycles, complemented by recognition programs like our “Nextdoor Values Awards”. Our learning and development initiatives provide ongoing opportunities for skills enhancement, leadership growth, and compliance training. Additionally, we encourage the responsible use of AI-enabled tools to enhance employee productivity and innovation, supported by training and governance frameworks to ensure privacy, security, and legal compliance.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foster an environment where employees feel engaged, valued, and heard, we actively seek and respond to their feedback through surveys, direct leadership interactions, and “All Hands” meetings that bring the entire company together. This open feedback loop allows us to address evolving employee needs and sustain our status as an employer of choice. We strive to create a dynamic, inclusive environment that supports and values employees with a wide range of experiences and perspectives.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Rewards” philosophy is designed to attract top talent and align employee and company interests. Our competitive compensation packages include base salaries, equity awards, and sales commissions for certain employees. Benefits vary by country and region and include retirement plans with company match, comprehensive healthcare coverage, flexible paid time off, parental leave, and family, caregiving, and mental health resources. To reinforce our mission, we provide “Volunteer Time Off,” enabling employees to dedicate time to causes in their local communities.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Experience and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invest in HR technology platforms to automate and enhance the employee lifecycle experience, from onboarding to offboarding. Our People Operations function supports a flexible hybrid work environment that balances in-person collaboration with remote efficiency. By streamlining HR administration — including benefits management, leave programs, and internal mobility — we ensure a seamless and supportive operational infrastructure that allows our employees to focus on driving business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in almost every aspect of our business with companies that provide a variety of internet products, services, content, and online advertising. Aspects of our platform also compete with products and services including home services, classifieds, real estate, recommendations, news, alerts (including weather and traffic), and search engines. Of these companies, we most directly compete with social media companies that offer local products to advertisers and users, including large companies such as Meta (including Facebook and Instagram), Alphabet (including Google), and other similar service providers. As we introduce new products, as our platform evolves, or as other companies introduce new products and services, we may become subject to additional competition.</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compete with other companies to attract, engage, and retain users and their engagement. We also compete with other companies to attract and retain advertisers, which depends on our reach and ability to deliver a strong return on investment. Finally, we compete to attract and retain highly talented individuals, particularly software engineers, designers, and product managers.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see the section entitled “</w:t>
      </w:r>
      <w:r>
        <w:rPr>
          <w:rFonts w:ascii="Times New Roman" w:cs="Times New Roman" w:eastAsia="Times New Roman" w:hAnsi="Times New Roman"/>
          <w:sz w:val="18"/>
          <w:szCs w:val="18"/>
          <w:i w:val="1"/>
          <w:iCs w:val="1"/>
          <w:color w:val="auto"/>
        </w:rPr>
        <w:t>Risk Factors — Our business is highly competitive. Competition presents an ongoing threat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 of our business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regulations, and industry standards that involve matters central to our business, including laws and regulations that involve data privacy and protection, intellectual property (including trademark, copyright and patent laws), content regulation, rights of publicity, advertising and marketing, health and safety, competition, protection of</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minors, age verification, consumer protection, taxation, anti-bribery, anti-money laundering and corruption, telecommunications, AI and ML, and securities law compliance. Our business may also be affected by the adoption of any new or existing laws or regulations or changes in laws or regulations that would adversely affect the growth, popularity or use of online services or the internet in general; significantly restrict or impose conditions on our ability to collect, store, augment, analyze, use and share data; modify or augment consumer notice or consent requirements before a company can utilize cookies or other tracking technologies; or increase the liability of content platforms like ours. These laws and regulations are constantly evolving and may be interpreted, applied, created, or amended, in a manner that could harm our business.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variety of statutory, regulatory and common-law frameworks and defenses relevant to the content available on our platform, including the Digital Millennium Copyright Act (the “DMCA”), the Communications Decency Act (“CDA”) and the fair-use doctrine in the United States, the Digital Services Act in the European Union (the “DSA”), and the Electronic Commerce Directive in the European Union (the “E-Commerce Directive”).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have seen Supreme Court challenges and there have been legislative efforts to curtail the CDA’s protections. These efforts could expose us to lawsuits in which we could incur significant costs and could seriously harm our business. In addition, various countries around the world have adopted legislation, including the DSA in the European Union, the Online Safety Act 2021 in Australia, and the Online Safety Act in the United Kingdom, that may impose additional obligations or liability on us associated with user-generated content.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collect, store, use, share, and otherwise process data, some of which contains personal information. We are therefore subject to U.S. (federal and state) and foreign laws and regulations regarding data privacy and protection, which encompass the processing of personal information from users, employees, and business partners. These laws include, but are not limited to, the European Union’s General Data Protection Regulation (“EU GDPR”), the United Kingdom’s General Data Protection Regulation (“UK GDPR”), Canada’s Personal Information Protection and Electronic Documents Act (“PIPEDA”), Australia’s Privacy Act 1988 and the Australian Privacy Principles (“APPs”), the California Consumer Privacy Act (“CCPA”), and the Virginia Consumer Data Protection Act (“VCDPA”), along with similar consumer privacy laws enacted in more than one third of U.S. states. Legislative proposals concerning content regulation and data protection remain pending before the U.S. Congress, various state legislatures, and foreign governments, and new laws or interpretations of existing laws may require us to modify our data processing practices and incur substantial compliance costs.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use AI and ML technologies in our products and operations. Governments are increasingly focused on regulating AI, including through the European Union's Artificial Intelligence Act, the Colorado Artificial Intelligence Act, California Privacy Protection Agency (“CPPA”) regulations directed toward automated decision making technology, and emerging U.S. federal and state-level efforts to regulate AI technologies. These frameworks may impose transparency, risk assessment, or other compliance obligations, or may limit the use of AI technologies, in ways that may affect how we develop and deploy AI-enabled features.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costs of complying with these laws and regulations, which in some cases can be enforced by private parties in addition to government entities, are high and likely to increase in the future, particularly as the extent of regulation increases, our business grows and our geographic scope expands. Further, the impact of these laws and regulations may disproportionately affect our business in comparison to our peers in the technology sector with greater resources. Any failure to comply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engage with lawmakers and regulators in the countries and regions in which we do business to monitor legal and regulatory developments and ensure our perspective is heard on matters of importance to us.</w:t>
      </w:r>
    </w:p>
    <w:p>
      <w:pPr>
        <w:spacing w:after="0" w:line="106" w:lineRule="exact"/>
        <w:rPr>
          <w:sz w:val="20"/>
          <w:szCs w:val="20"/>
          <w:color w:val="auto"/>
        </w:rPr>
      </w:pPr>
    </w:p>
    <w:p>
      <w:pPr>
        <w:ind w:right="2800"/>
        <w:spacing w:after="0" w:line="439" w:lineRule="auto"/>
        <w:rPr>
          <w:sz w:val="20"/>
          <w:szCs w:val="20"/>
          <w:color w:val="auto"/>
        </w:rPr>
      </w:pPr>
      <w:r>
        <w:rPr>
          <w:rFonts w:ascii="Times New Roman" w:cs="Times New Roman" w:eastAsia="Times New Roman" w:hAnsi="Times New Roman"/>
          <w:sz w:val="18"/>
          <w:szCs w:val="18"/>
          <w:color w:val="auto"/>
        </w:rPr>
        <w:t>For additional information, see the section entitled “</w:t>
      </w:r>
      <w:r>
        <w:rPr>
          <w:rFonts w:ascii="Times New Roman" w:cs="Times New Roman" w:eastAsia="Times New Roman" w:hAnsi="Times New Roman"/>
          <w:sz w:val="18"/>
          <w:szCs w:val="18"/>
          <w:i w:val="1"/>
          <w:iCs w:val="1"/>
          <w:color w:val="auto"/>
        </w:rPr>
        <w:t>Risk Factors — Risks Related to Legal and Regulatory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Corporate Information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420 Taylor Street, San Francisco, California 94102 and our telephone number is (415) 344-0333. Our website address is https://www.nextdoor.com. The information contained on, or that can be accessed through, our website is not incorporated by reference into, and is not a part of, this Annual Report. Investors should not rely on any such information in deciding whether to purchase our Class A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the Nextdoor logo, and other registered or common law trade names, trademarks, or service marks of Nextdoor appearing in this Annual Report are the property of Nextdoor. This Annual Report contains additional trade names, trademarks, and service marks of other companies that are the property of their respective owners. We do not intend our use or display of other companies’ trade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names, trademarks, or service marks to imply a relationship with, or endorsement or sponsorship of us by, these other companies. Solely for convenience, our trademarks and tradenames referred to in this Annual Report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reports filed with or furnished to the SEC pursuant to Sections 13(a) and 15(d) of the Securities Exchange Act of 1934, as amended (the “Exchange Act”), are available, free of charge, on our Investor Relations website at https://investors.nextdoor.com/ as soon as reasonably practicable after we electronically file such material with, or furnish it to, the SEC. The SEC maintains a website at http://www.sec.gov that contains reports, proxy and information statements, and other information regarding us and other companies that file materials with the SEC electronically. Copies of our reports on Form 10-K, Forms 10-Q, and Forms 8-K, and amendments to those reports may also be obtained, free of charge, electronically through our Investor Relations website located at the web address appearing above as soon as reasonably practicable after we file such material with, or furnish it to, the SEC. We use our Investor Relations website as a means of disclosing material information and for complying with our disclosure obligations under Regulation FD. Accordingly, investors should monitor our Investor Relations website, in addition to following our press releases, SEC filings, and public conference calls and webcasts.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content of our websites and information that we may post on or provide to online and social media channels and information that can be accessed through our websites or these online and social media channels are not incorporated by reference into this Annual Report or in any other report or document we file with the SEC, and any references to our websites or these online and social media channels are intended to be inactive textual references only.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risks. You should carefully consider the risks and uncertainties described below, together with all of the other information in this Annual Report, including the section titled “Management’s Discussion and Analysis of Financial Condition and Results of Operations” and our consolidated financial statements and related notes, before deciding whether to purchase shares of our Class A common stock. You should also carefully consider the following risk factors in addition to the other information included in this Annual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91"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We commenced operating the Nextdoor platform in 2011 and began supporting the platform with advertising in 2016. In 2025, we launched our new Nextdoor initiative, the first phase of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phase product transformation with the goal of making our platform more robust and engaging for users, as well as more compelling for advertisers. This initiative remains ongoing as we continue to implement additional features and enhancements. These changes may not be favorably received by users or advertisers, may not result in increased engagement or monetization, and may disrupt established usage patterns or alienate existing users.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global economic and financial conditions could harm our business and financial condition.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global economic and financial events and the effects thereof, such as health epidemics or pandemics, geopolitical conflicts, inflation, changing interest rates, potential recessions, the implementation of tariffs by the United States, China, or other governments, fluctuations in foreign exchange rates, actual or perceived instability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U.S. trade policies, including tariffs on imported goods, may adversely affect economic conditions and consumer spending patterns. Current and potential U.S. tariffs, and any new or additional retaliatory tariffs that may be imposed by other countries in response to such U.S. tariffs, may adversely affect spending by advertisers and, consequently, our operating results. Trade policy uncertainty and tariff implementations may continue to contribute to market volatility and economic uncertainty. We are closely monitoring this evolving situation and there can be no assurance that we will be able to mitigate the impacts of any trade measures on our business, which could adversely impact our business, operating results, financial condition, and our stock price. In addition, since the majority of our revenue is derived from advertisers within the United States, economic conditions in the United States have 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greater impact on us. We may not perform well in adverse macroeconomic conditions, which could adversely affect our business, financial condition and operating results.</w:t>
      </w:r>
    </w:p>
    <w:p>
      <w:pPr>
        <w:spacing w:after="0" w:line="18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revenue is currently generated from the sales of advertising on our platform in the form of online display advertisements.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spacing w:after="0" w:line="13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engagement on the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growth in, or lack of growth or decreases in, the number of neighbors active on the platform;</w:t>
      </w:r>
    </w:p>
    <w:p>
      <w:pPr>
        <w:spacing w:after="0" w:line="211" w:lineRule="exact"/>
        <w:rPr>
          <w:rFonts w:ascii="Times New Roman" w:cs="Times New Roman" w:eastAsia="Times New Roman" w:hAnsi="Times New Roman"/>
          <w:sz w:val="18"/>
          <w:szCs w:val="18"/>
          <w:color w:val="auto"/>
        </w:rPr>
      </w:pPr>
    </w:p>
    <w:p>
      <w:pPr>
        <w:ind w:left="660" w:right="240" w:hanging="328"/>
        <w:spacing w:after="0" w:line="243"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macroeconomic conditions, whether in the advertising industry in general, among specific types of advertisers or within particular geographies, including but not limited to health epidemics or pandemics, actual or perceived instability in the global banking system, labor shortages, supply chain disruptions, the implementation of tariffs by the United States, China, or other governments, a potential recession, inflation and changing interest rates;</w:t>
      </w:r>
    </w:p>
    <w:p>
      <w:pPr>
        <w:spacing w:after="0" w:line="222" w:lineRule="exact"/>
        <w:rPr>
          <w:rFonts w:ascii="Arial" w:cs="Arial" w:eastAsia="Arial" w:hAnsi="Arial"/>
          <w:sz w:val="22"/>
          <w:szCs w:val="22"/>
          <w:color w:val="auto"/>
        </w:rPr>
      </w:pPr>
    </w:p>
    <w:p>
      <w:pPr>
        <w:ind w:left="660" w:right="1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offering more attractive pricing for advertisements that we are unable or unwilling to match;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quantity or quality of advertisements shown to neighbors;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demographics of our neighbors that make us less attractive to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neighbors who exercise opt-out rights under privacy laws to restrict the advertisements they receive;</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that upload content or take other actions that are deemed to be hostile, inappropriate, illicit, objectionable, illegal, or otherwise not consistent with the brand of our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government actions or legislative, regulatory, or other legal developments;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changes to the platform that may affect, among other things, the safety and security of other neighbors or the cultivation of a positive and inclusive online community;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media reports or other negative publicity involving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or enforcing policies, such as advertising policies, community guidelines, and other terms or service that are perceived negatively by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improve our products for advertisers;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evolution of advertising formats driven by AI, which may change how advertisements are delivered, targeted, and measured, and reduce demand for our current advertising products if we are unable to adapt our offerings competitively;</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advertiser uncertainty regarding their own legal and compliance obligations, including with respect to AI, which may cause such advertisers to reduce or eliminate spending on AI-enhanced or algorithmically-targeted advertising products;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or reductions to, the availability, accuracy, utility, and security of analytics and measurement solutions offered by us or third parties that are intended to demonstrate the value of our advertisements to advertisers; and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right="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data privacy practices that affect the type or manner of advertising that we are able to provide, including as a result of changes to laws, regulations or regulatory actions, such as the European Union’s Regulation (EU) 2016/679 (General Data Protection Regulation) (“EU GDPR”) and the United Kingdom’s Data Protection Act 2018 and UK General Data Protection Regulation (“UK GDPR” and the foregoing, collectively, “GDPR”), European Directive 2002/58/EC (the “ePrivacy Directive”), the Canadian Personal Information Protection and Electronic Documents Act (“PIPEDA”), the Australia Privacy Act 1988 along with the 2024 reforms thereto and the Australian Privacy Principles (“APPs”), the California Consumer Privacy Act of 2018 (as amended, the “CCPA”) in California, and comparable U.S. state privacy laws in over a third of other states, or changes to third-party policies.</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20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has implemented features in Safari and iOS, including Intelligent Tracking Prevention, App Tracking Transparency, and more recent fingerprinting protections and link tracking restrictions, that block or limit tracking technologies, restrict access to device advertising identifiers, and affect our ability to track neighbors' actions, measure attribution, and connect their interactions with on-platform advertising. Google and other browser developers have similarly implemented or may implement privacy controls which could impact our advertising. These web and mobile browser developers have also implemented and may continue to implement changes and restrictions in browser or device functionality that limit our ability to communicate with or understand the identity of our neighbors.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spacing w:after="0" w:line="120"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 We recently introduced our new Nextdoor initiative, the first phase of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phase product transformation with the goal of making our platform more robust and engaging for users, as well as more compelling for advertisers. We may expend significant resources and management bandwidth on the implementation of this initiative, but those efforts may not be successful and may not result in the expected benefits, including increased neighbor satisfaction or engagement, or added neighbors on our platform.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many factors that could negatively impact our ability to grow, retain and engage current and prospective neighbors, including but not limited to:</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increasing their engagement with competitors’ platforms, products or services instead of, or more frequently than,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time neighbors spend across all applications and platforms, including our platform;</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introduce platform enhancements that neighbors find engaging or if we introduce new features, terms, policies or procedures, or make changes to our platform, including changes we are implementing with our new Nextdoor initiative, that are not favorably received by current or prospective neighbors;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frustrating the neighbor experience, such as problems that prevent us from delivering our service in a fast and reliable manner;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having difficulty installing, updating or otherwise accessing the Nextdoor platform on mobile devices through the app or web browsers;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on the Nextdoor platform changing, including a decrease in the quality and frequency of content shares on the platform;</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government and regulatory authorities, or litigation that adversely impact our platform or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obtain or attract engaging third-party content;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preventing their content from being displayed on the Nextdoor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how we promote different features on our platform;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neighbors and engagement are unsuccessful or discontinued, whether as a result of actions by us, third parties,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other partners and companies in the industry are the subject of adverse media reports or other negative publicity;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combat spam, harassment, cyberbullying or other hostile, inappropriate, abusive or offensive content or usage on our platform;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preserve and enhance our brand and reputation as a trusted neighborhood networking community.</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Competition presents an ongoing threat to the success of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companies that provide a variety of internet products, services, content, and online advertising. In addition, aspects of our platform compete with other products and services, including home services, classifieds,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has introduced and continues to expand features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usefulness, ease of use, performance, and reliability of our platform compared to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our neighbor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of neighbors with our platform and competing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and third-party data available to us relative to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advertisers who use our free or paid advertisements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developments and enhancements to our platform or our competitors’ products;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safety and security efforts and our ability to protect neighbor data and to provide neighbors with control over their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our platform to new and existing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monetize our platform;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platform changes, such as the migration to our proprietary ad server and introduction of AI technologies into our platform, and our new Nextdoor initiative;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size, format, quality, and relative prominence of the advertisements displayed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efforts;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efforts, including our ability to measure the effectiveness of our advertisements and to provide advertisers with a compelling return on their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publisher interest in integrating their content with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regulatory authorities, or litigation, some of which may have a disproportionate effect on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 particularly software engineers, designers, and product managers;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cost-effectively manage and grow our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strength relative to those of our competitors.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10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and the conflicts in the Middle East and Venezuela),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amount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spacing w:after="0" w:line="212"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scale our business effectively, our business, operating results, and financial condition would be adversely affected.</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as we have grown, our business has become increasingly complex and may require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actual or perceived instability in the global banking system, labor shortages, supply chain disruptions, a potential recession, the implementation of tariffs by the United States, China, or other governments, changing interest rates and inflation, and the war in Ukraine and the conflicts in the Middle East and Venezuela.</w:t>
      </w:r>
    </w:p>
    <w:p>
      <w:pPr>
        <w:spacing w:after="0" w:line="2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from time to time, we realign our resources and talent to implement stage-appropriate business strategies, which could include furloughs, layoffs and reductions in force. For example, in 2023, 2024 and 2025, in response to changing economic conditions and in an effort to support our growth, scale and profitability objectives,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its leased headquarters in San Francisco in order to adjust its office space footprint to better align with the needs of its work model. If there are unforeseen expenses associated with such realignments in our business strategies, and we incur unanticipated charges or liabilities, then we may not be able 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effectively realize the expected cost savings or other benefits of such actions. Failure to manage any growth or any scaling back of our operations could have an adverse effect on our business, operating results, and financial condition.</w:t>
      </w:r>
    </w:p>
    <w:p>
      <w:pPr>
        <w:spacing w:after="0" w:line="19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31"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AI initiatives, which could adversely affect our business, reputation, or financial results.</w:t>
      </w:r>
    </w:p>
    <w:p>
      <w:pPr>
        <w:spacing w:after="0" w:line="162"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8"/>
          <w:szCs w:val="18"/>
          <w:color w:val="auto"/>
        </w:rPr>
        <w:t>We are continuing to make investments in AI initiatives, including to recommend relevant content across our products, enhance our advertising tools, and develop new product features using generative AI.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confidentiality or privacy and security risks, or other complications that could adversely affect our business, operating results and financial condition. Our use of datasets to develop AI models, the content generated by AI systems, or the application of AI systems may be found to be insufficient, offensive, biased, or harmful, or violate current or future laws and regulations. For example, as part of the new Nextdoor initiative, we are testing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powered experiences (such as an “Ask” surface) that can draw insights from users’ posts and comments about businesses and services in their neighborhoods and provide summarized recommendations in response to neighbor prompts. The reliance of these features on user-generated conversations exposes us to risks related to the accuracy of the data, potential bias in the generated recommendations, and the lack of transparency of AI-derived summaries of discussions within the community. If AI-generated recommendations are perceived as inaccurate, biased, or unfair, or if they surface inappropriate or outdated content, we could face reputational harm, regulatory scrutiny, or legal claims from users or businesses. Moreover, AI may give rise to litigation risk, including potential intellectual property or privacy liability. Furthermore, the integration of third-party AI models with our products and services relies on certain safeguards implemented by the third-party developers of the underlying AI models, including those related to accuracy, bias, training data, quality of output, and other matters, and these safeguards may be insufficient. In addition, the quality, accuracy, availability, or efficacy of third-party AI models may degrade over time, which could negatively impact the performance of our AI-powered features and expose us to additional risks. If our offerings draw controversy due to their perceived or actual impact on society, such as AI solutions that have unintended consequences or are controversial because of unintended impacts to rights, privacy, employment, or other social, economic, or political issues, or if we are unable to develop effective internal policies and frameworks relating to the responsible development and use of AI models and systems, we may experience brand, reputational, and/or competitive harm, or could face legal liability. Moreover, other companies may develop AI features and technologies that are similar or superior to our technologies or are more cost-effective to develop and deploy. Given the long history of development in the AI sector, other parties may have (or in the future may obtain) patents or other proprietary rights that would prevent, limit, or interfere with our ability to make, use, or sell our own AI features. Existing laws and regulations may be interpreted, or new laws and regulations regarding AI have been and may in the future be adopted and interpreted, in ways which could negatively affect the way we use AI in our products. For example, the EU Artificial Intelligence Act prohibits certain high-risk AI applications and imposes strict requirements on others, potentially requiring additional quality controls and regulatory submissions for our products. In the United States, there is no comprehensive federal AI law, but over half of states have enacted or proposed AI legislation, including the Colorado Artificial Intelligence Act (effective February 1, 2026), which regulates high-risk AI systems and imposes transparency obligations. Recently, the U.S. federal government has indicated it may seek to preempt states’ ability to regulate AI. The regulatory landscape for AI is fragmented and rapidly evolving, with ongoing legal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challenges and uncertainty around applicable obligations, implementation, and enforcement. As a result, we may need to devote significant resources to adapt our offerings to comply with requirements that vary over time and across jurisdictions, and unresolved issues around AI-related laws may expose us to legal or regulatory risk. Finally, intellectual property ownership issues, licensing and privacy rights surrounding AI technologies are evolving and have not been fully addressed by U.S. federal or state courts or foreign jurisdictions, which may expose us to claims of intellectual property infringement or misappropriation or privacy rights violations, or result in inquiries by government bodies or agencies. Such issues may also undermine the availability or functionality of third party AI tools or services that we deploy in order to operate our business or services that we offer to consumers. Any of these factors could adversely affect our business, operating results, and financial condition.</w:t>
      </w:r>
    </w:p>
    <w:p>
      <w:pPr>
        <w:spacing w:after="0" w:line="20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the “Nextdoor” brand and reputation, including through the new Nextdoor initiative,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The increasing availability and sophistication of generative AI tools may enable bad actors to create and distribute, at scale, AI-generated content on our platform, including fake posts, fabricated reviews of local businesses, deepfakes, and other misleading or manipulative content that is more difficult to detect and moderate than traditional spam or misinformation. This content may include the creation of fraudulent or misleading advertisements, or business profiles designed to deceive neighbors. Such AI-generated content could be particularly damaging to trust in our hyperlocal communities, where neighbors rely on the authenticity of content and advertisements shared on or through our platform. If we are unable to effectively detect and prevent such content, we could face reputational harm, reduced neighbor engagement, loss of advertiser confidence, regulatory scrutiny, or legal claims, any of which could adversely affect our business, operating results, and financial condition.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media coverage negatively affects our business from time to time.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and investment decisions may conflict with the short-term financial results and may not produce the long-term benefits that we expect.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product and investment decisions, which we believe are essential to the success of our platform and in serving the best, long-term interests of Nextdoor and our stockholders. In the past, including with the introduction of the new Nextdoor initiative, we have forgone, and may in the future forgo, certain expansion or revenue opportunities or other opportunities that have positive short-term financial impacts that we do not believe are aligned with the long-term success of our platform, even if our decision may negatively impact our operating results in the short term. In addition, in connection with implementing our new Nextdoor initiative, we anticipate shifts in usage and available ad impressions which may adversely impact our business, operating results, and financial condition. Our decisions may not result in the long-term benefits that we expect, in which case our neighbor engagement, business, operating results, and financial condition could be harmed.</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international operations where we have limited operating experience and may be subject to increased business, regulatory, and economic risks that could seriously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choose to further expand our business operations abroad by opening new and expanding within existing neighborhoods outside of the United States, though our primary focus remains on improving our product experience and aligning our operations to best serve users and advertisers in our existing markets. As of December 31, 2025, the Nextdoor platform was accessible in 11 countries (including the United States). We may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spacing w:after="0" w:line="13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including as a result of geopolitical conflicts, acts of war or terrorism;</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brand and reputation due to compliance with local laws, including potential censorship and requirements to provide neighbor information to local authorities;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difficulty in reviewing content on the Nextdoor platform and enforcing community standards across different languages and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U.S. and international tax jurisdictions and management of tax impact of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levels of credit risk and payment fraud;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foreign acquisitions;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right="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variety of foreign laws, including laws related to taxation, content removal, data localization, data transfer, consents, payments, and regulatory oversight, as well as laws relating to online safety, intermediary liability, or content moderation;</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legal compliance costs associated with multiple international locations.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need additional capital in the future, it may not be available on favorable terms, if at all.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13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which could harm our financial condition or operating results and may adversely affect the price of our Class A common stock.</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spacing w:after="0" w:line="1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2023, 2024, and 2025, in response to changing economic conditions and in an effort to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our leased headquarters in San Francisco in order to adjust our office space footprint to better align with the needs of our work model. These restructuring plans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also depends in large part on the continued services of senior management and other key personnel. In particular, we are dependent on the services of Nirav Tolia, our Chief Executive Officer and President, who is critical to the future vision and strategic direction of our business.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Security and Technology</w:t>
      </w:r>
    </w:p>
    <w:p>
      <w:pPr>
        <w:spacing w:after="0" w:line="17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software and service providers, including ads platforms and programmatic advertising partners, for management and delivery of certain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we are dependent on third-party software and service providers, including ads platforms and programmatic advertising partners, for management and delivery of certain advertisements on the Nextdoor platform. As such, the continued use of third-party software and service providers, including these ads platforms and programmatic advertising partners,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cloud infrastructure, and communications service providers, including AWS, to provide systems, storage and services for our platform. Any failure or interruption experienced by such third parties could result in the inability of</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neighbors and advertisers to access or utilize our platform, and adversely impact our business, operating results, and financial condition.</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rely on third-party software and service providers, including AWS, to provide systems, storage and services, including neighbor login authentication, for our website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communications and email delivery services to send notifications and other messages to neighbors and advertisers. Any technical problem with, cyber-attack on or loss of access to such third parties’ systems, servers, or technologies could result in the inability of neighbors to access the Nextdoor platform or receive timely communications from us or result in the theft of neighbors’ personal information.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we rely on third-party technology providers in our business, including cloud infrastructure, communications, and other software services, we rely on the cybersecurity practices and policies adopted by these third parties. Our ability to monitor our third-party technology providers’ cybersecurity practices is limited.</w:t>
      </w:r>
    </w:p>
    <w:p>
      <w:pPr>
        <w:spacing w:after="0" w:line="122"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Similarly, outages, service limitations, or deliverability issues affecting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communications and email services we use could impair our ability to send notifications and other messages to neighbors and advertisers in a reliable and timely manner. If neighbors or advertisers are not able to access our platform or encounter difficulties in doing so, or if they do not reliably receive communications from us, we may lose neighbors or advertisers, which could harm our reputation, business, operating results, and financial condition.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email providers, mobile data networks, and identity verification service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spacing w:after="0" w:line="1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rely on third parties to verify our neighbors’ accounts through several methods, including but not limited to email, SMS text message, geolocation and mailed invitations. For example, we utilize email providers, mobile data networks, and identity verification service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identity verification service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spacing w:after="0" w:line="14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including improper access to or disclosure of our data or our neighbors’ data, or other hacking and phishing attacks on our or third-party systems, could harm our reputation, adversely affect our business, and result in legal liability.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store and otherwise process personal data relating to a significant number of individuals such as our neighbors, employees and partners, including, but not limited to, neighbor contact details, network details, and location data. The evolution of information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take a variety of technical and organizational security measures and other measures to protect our data. Although we have implemented systems and processes that are designed to protect our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(such as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data may also be unsuccessful due to software bugs or other technical malfunctions; employee, contractor, or vendor error or malfeasance; threat actors, nation-states and nation-state supported actors engaging in cyberattacks; or other threats that evolve.</w:t>
      </w:r>
    </w:p>
    <w:p>
      <w:pPr>
        <w:spacing w:after="0" w:line="1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Some third parties, including advertisers, vendors and service providers, may store information that we share with them on their networks. If these third parties fail to implement adequate data-security practices or fail to comply with their contractual obligations and/or, where applicable, our applicable terms and policies, our data may be improperly accessed, used or disclosed. Even if these third parties take all the necessary precautions and comply with their applicable obligations, their networks may still suffer a security incident, which could compromise our data.</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Security incidents may cause interruptions to our platform, degrade the neighbor experience, cause neighbors or advertisers to lose confidence and trust in our platform, impair our internal systems, or result in financial harm to our company.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has adopted cybersecurity risk management and disclosure rules, which require the disclosure of information pertaining to material cybersecurity incidents and cybersecurity risk management, strategy, and governance.</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While we maintain insurance policies, our coverage may be insufficient to compensate us for all losses caused by security incidents, and any such security incidents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 Furthermore, our insurance coverage may not extend to all risks we face, including all AI-related risks, and may not cover us for all losses for errors or omissions caused by AI.</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 data protection violation or security incident that triggers a breach of such contractual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0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Apple requires neighbors using the app to opt in before their identifier for advertisers can be accessed by an app and has security measures in its Apple mail client available on its operating systems which have impacted, and are expected to continue to impact, our ability to track individual users and devices, and measure the effectiveness of our advertisements. While we have not observed any directly attributable negative impact on our business, operating results or financial condition, including our revenue, revenue growth rates, and operating income (loss), related to these features,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changes made by third-party publishers and distribution channels.</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and ethical issues may result in reputational harm and liability.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public disclosures, and any standards we may set for ourselves or a failure to meet these standards, may influence our reputation and the value of our brand. For example, we have elected to share publicly certain information about our sustainability initiatives. Moreover, laws and regulations may require us to provide sustainability-related disclosure. For example, California has adopted two climate-related bills, which require companies doing business in California that meet certain revenue thresholds to publicly disclose certain greenhouse gas emissions data and climate-related financial risk reports.</w:t>
      </w:r>
    </w:p>
    <w:p>
      <w:pPr>
        <w:spacing w:after="0" w:line="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California also 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In connection with any legal or regulatory requirements, we may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results difficult to predict.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3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from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retain, and grow our neighbors and neighbor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recognize revenue or collect payments from advertisers in a particular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spending by our advertisers due to macroeconomic conditions, seasonality, episodic regional or global events, or other factors;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global business and macroeconomic conditions, including the implementation of tariffs by the United States, China, or other governments, actual or perceived instability in the global banking system, potential recession, local and national elections, inflation, changing interest rates, and geopolitical conflicts;</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internet usage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prominence, size, format, quality and relevancy of advertisements shown to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technologies designed to block the display of advertisements;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advertisements;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of and mix of new and existing sales and marketing and promotional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platform and app on mobile devices and other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platform or the development and introduction of new products or services by our competitors;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platform changes that may reduce traffic to features of the platform that we monetize;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disruptions, breaches of security or privacy, whether on our platform or on those of third parties, and the costs associated with any such breaches and remediation;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pandemics, influenza, and other highly communicable diseases or viruses;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our cash, cash equivalents, and marketable securities, including to repurchase shares of our outstanding Class A common stock or to make acquisitions or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incurring additional expenses, such as increases in sales and marketing or research and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privacy and cybersecurity, or actions by governments or regulators, including fines, orders, or consent decrees;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3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market opportunities and key metric estimates could prove to be inaccurate, and have been inaccurate in the past, and any real or perceived inaccuracies may harm our reputation and negatively affect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which could cause actual results to differ materially from our estimates. Unfavorable changes in any of these or other assumptions,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review key business and other metrics, including Platform WAU, Verified Neighbors, Platform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If we fail to maintain an effective analytics platform, or if there are undetected errors in our systems, our key metrics calculations could be inaccurate. Any such inaccuracies, which may have occurred in the past or may occur</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may be difficult to identify in a timely manner. For example, in Q2 2025, we identified an issue related to iOS push notifications in the calculation of our Platform WAU metric which resulted in an immaterial overstatement of the Platform WAU figures previously disclosed for Q1 2024 through Q1 2025. Accordingly, the Platform WAU metric for Q1 2024 through Q1 2025 was revised in the Quarterly Report on Form 10-Q for Q2 2025 with the corrected figures.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change our key business metrics from time to time, including as a result of changes to our platform. We regularly evaluate whether our key business metrics remain meaningful indicators of the performance of our business. As a result of these evaluations, we may make changes to our key business metrics, including eliminating or replacing existing metrics. For example, in May 2025, we announced that we had made changes to the business that made Platform WAU a more important business metric for us and, in the second quarter of 2025, began reporting Platform WAU instead of WAU (previously defined as a Nextdoor user who opens our application, logs onto our website or engages with an email with monetizable content). In addition, we continue to present ARPU (now referred to as Platform ARPU), with the denominator based on the average number of Platform WAU instead of WAU. If these changes make it more difficult for investors or analysts to compare our performance over time or to other companies, or if investors perceive any changes to our key business metrics disclosures negatively, our business, operating results, and financial condition could be adversely affected.</w:t>
      </w:r>
    </w:p>
    <w:p>
      <w:pPr>
        <w:spacing w:after="0" w:line="13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experienced significant net losses each year since we began operations in 2007, including net losses of $54.2 million, $98.1 million and $147.8 million for the years ended December 31, 2025, 2024 and 2023, respectively. We have an accumulated deficit of $918.3 million as of December 31, 2025.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reductions in 2023, 2024, and 2025,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22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U.S. federal net operating loss (“NOL”) carryforwards of approximately $583.9 million and state NOL carryforwards of approximately $365.5 million, which if not utilized, will begin to expire beginning in 2028 and 2026, respectively. To the extent that we continue to generate taxable losses, unused losses will carry forward to offset future taxable income, if any. Under the 2017 Tax Cuts and Jobs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Section 382 of the Code,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may experience an ownership change in the future as a result of subsequent shifts in our stock ownership, some of which may be outside our control. Therefore, it is possible that an ownership change could limit the amount of NOLs we can use to offset future taxable income. Any NOL carryforwards of companies we have acquired, may be subject to limitations, thereby increasing our overall tax liability. Our NOL carryforwards may also be limited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3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operating results, which are reported in U.S. dollars, could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if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greater than anticipated tax liabilities, which could harm our business, revenue and financial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number of tax jurisdictions globally, including in the United States at the federal, state and local levels, and in foreign countries, and may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On February 21, 2024, our Board of Directors authorized and approved an increase of $150.0 million to the Share Repurchase Program and extended the expiration date to March 31, 2026. As of December 31, 2025, we had $78.4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as a result of content or information that is published or made available on our platform.</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Lawmakers in the United States and in other countries may introduce new regulatory regimes that increase potential liability for content available on our platform. There are a number of new laws and legislative proposals in the United States and globally aimed at limiting the scope of protections available to online services and/or that further impose new obligations affecting our business, such as liability for copyright infringement, illegal or harmful content moderation, distributing targeted and other advertisements to teens, and other forms of unlawful content and/or online harm. These legislative and/or regulatory requirements may increase our costs of operations, our liability for content posted by users on our platform, our litigation costs, and/or may expose us to regulatory sanctions such as fines or penalties. If these or other additional statutory or regulatory changes reduce liability protections for content published on our platform, we may be required to make significant changes to our business model, including increasing our content moderation operations and building in additional product features or tools that may not be favorable to our business, add payment obligations or compliance costs. In addition, the integration of third-party news or alert content, introduced as part of the new Nextdoor initiative, may increase our exposure to inaccurate, misleading, or objectionable content, and may create additional challenges for content moderation. If we fail to adequately moderate or address problematic content, we could face reputational, legal, or regulatory risk. We may also receive statutory or regulatory scrutiny for our policies governing content and advertising on our platform. Responding to such scrutiny could require significant resources and any required changes to our operations may impact our business.</w:t>
      </w:r>
    </w:p>
    <w:p>
      <w:pPr>
        <w:spacing w:after="0" w:line="2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and as we continue to roll out our new Nextdoor initiative, which we expect to utilize third-party content.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rely on a variety of statutory and common-law frameworks and defenses, including those provided by the DMCA, the CDA, the fair-use doctrine in the United States and the E-Commerce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2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3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regulations and industry standards that involve matters central to our business, including laws and regulations that involve data privacy, security and protection, online safety (including children’s online safety), intellectual property (including trademark, copyright, and patent laws), content, rights of publicity, advertising, marketing, health and safety, competition, protection of minors, age verification, consumer protection, taxation, telecommunications, anti-bribery, anti-censorship, anti-money laundering and corruption, telecommunications, AI and ML, and securities. These laws and regulations are constantly evolving and may be interpreted, implemented, applied, created, suspended, or amended, in a manner that could require burdensome or inconsistent compliance efforts, introduce legal or regulatory liability, or otherwise harm our business. In addition, the introduction of new products, expansion of our activities in certain jurisdictions, or other actions that we may take may subject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additional laws, regulations, or other governmental scrutiny</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Nextdoor platform, including the DMCA, the CDA and the fair-use doctrine in the United States, and the E-Commerce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see such protections lessened either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harms resulting from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significantly harm our business. In addition, the Federal Trade Commission has launched a public inquiry seeking information on technology platforms’ censorship efforts (including denial or degradation of services) based on the content of users’ speech or their affiliations, and how this conduct may have violated current law. We could incur significant costs investigating, defending, or otherwise responding to such claims and inquiries, and, if we are found liable, we may be subject to significant damages or the suspension of services or operations.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Digital Services Act (the “DSA”), signed into law in the European Union on October 19, 2022, is a package of legislation intended to update the liability and safety rules for digital platforms, products, and services. The DSA, which started to apply to our business in February 2024,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On October 26, 2023, similarly, the United Kingdom’s Online Safety Act (the “OSA”) became law. The OSA creates requirements around content moderation and handling harmful content and will require us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expend resources to try to comply with the new regulations or incur liability. Additionally, Australia’s Online Safety Act 2021, which went into effect in January 2022, and its accompanying Social Media Services Code, which went into effect in December 2023, may impose new obligations and liabilities on platforms with respect to certain types of harmful content. In addition, several U.S. states and foreign countries have passed age verification laws to protect minors from harmful online content, especially adult material. These laws generally require websites and platforms to verify users' ages before allowing access to certain content. Many of these U.S. state laws are currently subject to legal challenge. Consequently, we may now be required in some U.S. states and are now required in some foreign countries to include mandatory age verification in its user onboarding process, which may impede user growth or increase attrition. These new and proposed laws, together with any changes to the existing laws and regulations within the jurisdictions in which we operate, could require us to expend additional resources to maintain compliance with new or evolving regulations. As a result, we may incur additional liability, and our business, operating results, and financial condition could be harmed.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collect, store, use, share, and otherwise process data, some of which contains personal information about individuals including, but not limited to, our neighbors, employees and partners including contact details, demographic network details, and location data. We are therefore subject to U.S. (federal, state, local) and foreign laws and regulations regarding data privacy, security and protection, which encompass the processing of personal information. The regulatory frameworks for data privacy, security, and protection worldwide and interpretations of existing laws and regulations is likely to continue to be uncertain, as current or future legislation or regulations in the United States and other jurisdictions, or new interpretations of existing laws and regulations, could significantly restrict or impose conditions on our ability to process data, for example through more burdensome notice or consent requirements that impact our use of advertising technologies.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internal and publicly posted policies, statements and notices regarding our collection, processing, use, disclosure, deletion and security of personal and non-personal information, and in the event that a court or regulator finds these statements to be deceptive, unfair, inaccurate, inadequate, or misrepresentative of our actual practices, we could be exposed to legal or regulatory liability. Any such proceedings or violations could force us to spend money in investigation, mitigation, defense, or settlement, result in the imposition of monetary liability or demands for injunctive relief, divert management's time and attention, increase our costs of doing business, and adversely affect our reputation. Furthermore, the uncertain and shifting regulatory environment and trust climate may cause concerns regarding privacy and data protection and may cause our customers to resist providing the data necessary to allow them to use our services effectively. Although we endeavor to comply with our public statements and policies, we may at times fail to do so or be accused of having failed to do so. The publication of our privacy policies and notices that provide commitments about data privacy, security, and protection can subject us to potential actions if they are found to be deceptive, unfair, or otherwise misrepresent our actual practices, which could materially and adversely affect our business, operating results, and financial condition.</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United States, we are subject to numerous federal, state and local data privacy, security, and protection laws and regulations governing the processing of information about individuals, including more than twenty U.S. states that have enacted comprehensive consumer privacy laws. For example, the CCPA establishes certain transparency obligations and creates data privacy rights for users, including rights to access and delete their personal information as well as opt-out of certain sales or transfers of their personal information. Additionally, California’s Opt Me Out Act, effective January 1, 2027, requires all browsers operating in California to include built-in functionality that enables users to send opt-out preference signals to websites, communicating their preferences not to sell or share personal information. This law may substantially increase the volume of opt-out requests we receive, which may impact our advertising revenue and data collection capabilities for targeted marketing and personalized advertising. Furthermore, the California Privacy Protection Agency, which administers and enforces the CCPA, is starting to impose several new obligations on covered businesses over the next several years, including independent cybersecurity audits, comprehensive risk assessments for certain personal information processing activities and requirements for the use of automated decision making technologies (“ADMT”) for significant decisions. The CCPA also prohibits covered businesses from discriminating against consumers for exercising any rights established under the CCPA — prohibiting, for example, unjustified increased fees for individuals who opt out of the sale of their personal information). The CCPA imposes statutory damages for certain violations of the law as well as a private right of action for certain data breaches that result in the loss of personal information, which increases the likelihood of, and risks associated with, data breach litigation. Over a third of other U.S. states have also passed comparable legislation, with several such state laws imposing unique privacy and data security compliance requirements relevant to our business. We anticipate that additional state privacy laws will go into effect in the coming years,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and there have been numerous attempts to introduce privacy legislation at the federal level. Compliance with these laws, any newly enacted privacy, security, and data protection laws or regulations, browser-level opt out requirements, cybersecurity audit obligations, risk assessment mandates, and ADMT requirements may be challenging and cost- and time-intensive, and may require us to modify our data processing practices and policies, incur substantial costs and potential liability, and make significant modifications to our advertising technologies and business model in an effort to comply with such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Of further concern in the United States, regulatory attention to AI systems, including generative AI, continues to increase. More than half of U.S. states have introduced or enacted legislation addressing the development and use of AI. For example, the Colorado Artificial Intelligence Act, which becomes effective on June 30, 2026, focuses on the regulation of high-risk AI systems in certain critical sectors and imposes general disclosure requirements. In addition, the Texas Responsible AI Governance Act, which became effective January 1, 2026, prohibits the use of AI systems for specified purposes, such as incitement of violence, self-harm, or criminality, unlawful discrimination, and violation of constitutional rights. Further, California has enacted several laws, some of which are currently being challenged, requiring transparency in the development of AI systems or addressing potential harms from AI technologies, such as the creation and distribution of deepfakes. As these laws are proposed, enacted, challenged, interpreted, and implemented, compliance with AI laws and regulations may be challenging and cost- and time-intensive, or such compliance efforts may require us to modify our data processing practices and policies, or impact our access to and permitted uses of large language models, training data, or other AI technologies, and to incur substantial costs and potential liability in an effort to comply with such legislation.</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we are subject to an increasing number of laws, regulations and industry standards that apply to data privacy and security. In Canada, we are subject to PIPEDA, which governs the collection, use and disclosure of Canadian residents’ personal information in the course of commercial activities. Further, Canada’s legislature recently proposed amendments to PIPEDA, and with the election of a new Canadian government in April 2025, the future of such legislation is currently uncertain. In Australia, we are also subject to, among other laws, Australia’s Privacy Act 1988 and the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The Australian Parliament is currently considering further privacy reforms and is anticipated to pass additional amendments in the coming months. In the European Union, we are subject to the EU GDPR, and in the United Kingdom we are subject to the UK GDPR. The GDPR imposes a strict data protection compliance regime, grants new rights for data subjects in regard to their personal data (including the right to be “forgotten” and the right to data portability) and enhances current rights (e.g., data subject access requests).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GDPR prohibit transfers of personal information from the European Economic Area (“EEA”) or United Kingdom to countries not formally deemed adequate by the European Commission or the UK Information Commission Office, respectively, including the United States, unless a particular compliance mechanism (and, if necessary, certain safeguards) is implemented. The mechanisms that we and many other companies rely upon for EEA and United Kingdom data transfers (for example, standard contractual clauses or the EU-US Data Privacy Framework) are subject to legal challenge, regulatory interpretation, and judicial decisions. While the United States and the European Union reached agreement on the EU-US Data Privacy Framework (and similar agreements were reached with respect to the United Kingdom and Switzerland), and we currently self-certify to both the EU-US Data Privacy Framework and the UK Extension to the EU-US Data Privacy Framework, there are legal challenges to this data transfer mechanism as well, which could affect the manner in which we provide our services, the geographical location or segregation of our relevant systems and operations and could adversely affect our financial results.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expansion of artificial intelligence laws has the potential to restrict or impose supplementary obligations on our utilization of this technology. For example, the EU AI Act, which entered into force on August 1, 2024, establishes obligations for entities engaged in the development and deployment of AI systems, the majority of which will apply two years later. The legislation employs a risk-based methodology, prohibits specified high-risk AI practices, and mandates requirements for the deployment of general purpose AI with respect to transparency, data governance, and human oversight. Such compliance efforts may require us to modify our use of AI technologies, and to incur substantial costs and potential liability in an effort to comply with such legislation.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evolving laws on cookies and e-marketing. In the European Union and the United Kingdom, informed consent is required for the placement of certain cookies or similar technologies on a user’s device as well as for direct electronic marketing communications. Further, under the GDPR, valid consent is tightly defined, including a prohibition on pre-checked consents, and the European Union and United Kingdom require organizations to obtain separate consents for each type of cookie or similar technology, or for particularized uses of personal data. U.S. regulators are also increasingly focused on the use of cookies for targeted advertising. If regulators start to enforce strict approaches regarding the use of cookies,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neighbors.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put in efforts to comply with these regulations, the uncertainty surrounding enforcement and changing privacy landscapes could change our compliance status. Similarly, there are a number of legislative proposals in the jurisdictions where we operate that could impose new obligations or limitations in areas affecting our business.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with greater resources. Even though we communicate with lawmakers and regulators in countries and regions in which we conduct business, and despite having a dedicated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21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in the future may be, involved in legal disputes that are expensive and time consuming, and, if resolved adversely, could harm our business, operating results, and financial condition.</w:t>
      </w:r>
    </w:p>
    <w:p>
      <w:pPr>
        <w:spacing w:after="0" w:line="9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our use of AI,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 See Note 7 - Commitments and Contingencies, to the consolidated financial statements elsewhere in this report for a description of certain litigation matters that we are involved in.</w:t>
      </w:r>
    </w:p>
    <w:p>
      <w:pPr>
        <w:spacing w:after="0" w:line="2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incur and expect to continue to incur significant accounting, legal and various other expenses.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will continue to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increase, our legal and financial compliance costs, make some activities more difficult, time-consuming or costly and increase demand on our systems and resources. As a public company, we have and will continue to, among other things:</w:t>
      </w:r>
    </w:p>
    <w:p>
      <w:pPr>
        <w:spacing w:after="0" w:line="108"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and other stockholder communications in compliance with our obligations under the federal securities laws;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expand the roles and duties of our Board of Directors and committees of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and maintain comprehensive financial reporting and disclosure compliance functions;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and enhance existing internal policies, including those relating to disclosure controls and procedures.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actions and the additional involvement of accountants and legal advisors, requires a significant commitment of our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we have incurred significant costs with respect to our directors’ and officers’ insurance coverage.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Being a public company requires significant resources and management oversight. As a result, management’s attention may be diverted from other business concerns, which could harm our business, operating results, and financial condition.</w:t>
      </w:r>
    </w:p>
    <w:p>
      <w:pPr>
        <w:spacing w:after="0" w:line="10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systems of internal controls and disclosure controls could have a material adverse effect on our business, operating results, and financial condition.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maintain, protect or enforce our intellectual property and proprietary rights could enable others to copy or use aspects of our platform without compensating us, which could harm our brand, business, and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As such, policing unauthorized use of our technology or platform is difficult.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proprietary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 As such, we cannot guarantee that the steps taken by us will prevent infringement, violation or misappropriation of our technology.</w:t>
      </w:r>
    </w:p>
    <w:p>
      <w:pPr>
        <w:spacing w:after="0" w:line="13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Furthermore,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the number of such claims to increase as the functionality of our platform overlaps with that of other products and services, and as the volume of issued software patents and patent applications continues to increase.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Some open source software may include generative AI software or other software that incorporates or relies on generative AI. The use of such software may expose us to risks as the intellectual property ownership and license rights, including copyright, of generative AI software and tools have not been fully interpreted by U.S. courts or addressed by federal or state regulations. Authors of open source software we use may also update the terms of open source licenses governing such software to commercial license terms that may require us to pay fees in order to continue using such software.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Such use, under certain circumstances, could materially adversely affect our business, operating results, financial condition and future prospects, as well as our reputation, including if we are required to take remedial action that may divert resources away from our development efforts.</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 As such,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could harm our intellectual property position and have a material adverse effect on our business, results of operations, financial condition and prospects.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as source code for modifications or derivative works we create based upon our use and distribution of the open source software. If we combine and distribute our proprietary software with open source software in a certain manner, we could, under certain open source licenses, be required to release the combined source code of our proprietary software to the public, including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This would allow our competitors to create similar offerings with lower development effort and time and ultimately could result in a loss of sales for us.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occasion, companies that use open source software have faced claims challenging their use of open source software or compliance with open source license terms. There is evolving legal precedent for interpreting the terms of certain open source licenses, including the determination of which works are subject to the terms of such licenses. 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for the development of our products, and our inability to maintain those licenses could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Any impairment of the technologies or of our relationship with these third parties could harm our business, operating results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been and may continue to be volatile.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2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user growth, retention, engagement, revenue, or other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being sold into the market by us or our existing stockholders, or the anticipation of such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Class A common stock available for public sale;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estimates by third parties of actual or anticipated changes in the size of our user base or the level of user engagement;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technology companies in our industry, including our partners and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technology company stocks;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1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recessions, the implementation of tariffs by the United States, China, or other governments, inflation, changing interest rates, local and national elections, actual or perceived instability in the global banking system, international currency fluctuations, corruption, political instability, acts of war or terrorism, and general global conflicts.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12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December 31, 2025.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may cause the market price of our securities to drop significantly, even if our business is doing well.</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December 31, 2025, we had 262,446,175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spacing w:after="0" w:line="20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3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of directors with staggered three-year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 and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Certificate of Incorporation and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Bylaws;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a comprehensive, cross-functional approach that is designed to assess, identify, and manage material cybersecurity risks, ensuring the confidentiality, security, and availability of our information systems and data. Our cybersecurity strategy is guided by applicable laws and regulations, industry standards, and best practices. We have established robust policies, standards, and processes to proactively safeguard our digital assets, mitigate risks, and respond effectively to cybersecurity incidents.</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cyber risk management framework includes: (1) enterprise risk management to identify top cybersecurity risks; (2) vulnerability management to identify software vulnerabilities and infrastructure risks; (3) vendor risk management to identify risks related to third parties and business partners, which includes pre-engagement due diligence, use of contractual security provisions, and continued monitoring through risk-based periodic audits, as applicable;</w:t>
      </w:r>
    </w:p>
    <w:p>
      <w:pPr>
        <w:spacing w:after="0" w:line="1" w:lineRule="exact"/>
        <w:rPr>
          <w:sz w:val="20"/>
          <w:szCs w:val="20"/>
          <w:color w:val="auto"/>
        </w:rPr>
      </w:pPr>
    </w:p>
    <w:p>
      <w:pPr>
        <w:jc w:val="both"/>
        <w:ind w:firstLine="8"/>
        <w:spacing w:after="0" w:line="253" w:lineRule="auto"/>
        <w:tabs>
          <w:tab w:leader="none" w:pos="2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risk management to ensure regulatory compliance and proactively manage privacy risks across our products and platforms; (5) security monitoring to analyze and assess threat activity in real time; and (6) security incident response protocols to investigate, contain, and mitigate cybersecurity threats. To strengthen our defenses, we regularly engage third party experts to assess vulnerabilities, provide threat intelligence, and assist in triaging and responding to cyber incidents. We also conduct employee training on cybersecurity awareness, data protection, and threat response to reinforce our security culture.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 For more information regarding cybersecurity risks that we face and potential impacts on our business related thereto, see the section entitled </w:t>
      </w:r>
      <w:r>
        <w:rPr>
          <w:rFonts w:ascii="Times New Roman" w:cs="Times New Roman" w:eastAsia="Times New Roman" w:hAnsi="Times New Roman"/>
          <w:sz w:val="18"/>
          <w:szCs w:val="18"/>
          <w:i w:val="1"/>
          <w:iCs w:val="1"/>
          <w:color w:val="auto"/>
        </w:rPr>
        <w:t>“Risk Factors — Security breaches, including improper access to or disclosure of our data 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neighbors’ data, or other hacking and phishing attacks on our or third-party systems, could harm our reputation, adversely affect our business, and result in legal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as a whole and at a committee level, maintains oversight of cybersecurity risk management, with primary responsibility assigned to our Audit &amp; Risk Committee. Comprising solely independent directors, our Audit &amp; Risk Committee receives regular updates from our Chief Information Security Officer (“CISO”) and is responsible for ensuring that management has processes in place to identify, assess, and mitigate cybersecurity risks. The Audit &amp; Risk Committee collaborates with management to oversee the implementation of security measures, incident response plans, and ongoing risk management strategies.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CISO, who reports directly to the President of Products, has over 15 years of experience in technology and cybersecurity matters, with expertise spanning IT leadership, incident response, enterprise security, and business technology. Our CISO holds multiple cloud and IT certifications and is an active thought leader in the cybersecurity space. Prior to joining Nextdoor, our CISO led Business Technology, IT and Cybersecurity at Workato, Inc. and held key roles at Peloton Interactive, Inc. and KPMG LLP, where they built and implemented business continuity and cyber resilience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headquartered in San Francisco, California. As of December 31, 2025, we maintained offices in various locations in the United States and internationally, including approximately 115,770 square feet for our corporate headquarters of which we occupy approximately 51,000 square feet following the June 2024 partial abandonment. All of our facilities are leased. We believe that our current facilities are adequate to meet our current needs and that, should it be needed, suitable additional or alternative space will be available to accommodate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more information regarding legal proceedings and other claims in which we are involved, see Note 7 - Commitments and Contingencies, to our unaudited condensed consolidated financial statements, included in Part II, Item 8 of this Annual Report on Form 10-K,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and traded on the New York Stock Exchange under the trading symbol “NXDR”. Effective July 21, 2025, our trading symbol was changed from “KIND” to “NXDR”. Prior to July 21, 2025, our common stock had been listed and traded on the New York Stock Exchange under the former symbol. Prior to November 8, 2021, there was no public trading market for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B common stock is not listed or traded on any public market.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13, 2026, there were 53 stockholders of record of our Class A common stock and 253 stockholders of record of our Class B common stock. The actual number of holders of our Class A and Class B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nor paid any cash dividends on our capital stock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our ability to pay dividends may be limited by covenants of any future indebtedness we incur.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(the “Proxy Statement”) for the 2026 Annual Meeting of Stockholders, to be filed with the SEC within 120 days of the year ended December 31, 2025,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for the three months ended December 31, 2025:</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October 1, 2025 to October 31, 2025</w:t>
      </w:r>
    </w:p>
    <w:p>
      <w:pPr>
        <w:spacing w:after="0" w:line="10" w:lineRule="exact"/>
        <w:rPr>
          <w:sz w:val="20"/>
          <w:szCs w:val="20"/>
          <w:color w:val="auto"/>
        </w:rPr>
      </w:pPr>
    </w:p>
    <w:p>
      <w:pPr>
        <w:ind w:left="20" w:right="440"/>
        <w:spacing w:after="0" w:line="237" w:lineRule="auto"/>
        <w:rPr>
          <w:sz w:val="20"/>
          <w:szCs w:val="20"/>
          <w:color w:val="auto"/>
        </w:rPr>
      </w:pPr>
      <w:r>
        <w:rPr>
          <w:rFonts w:ascii="Times New Roman" w:cs="Times New Roman" w:eastAsia="Times New Roman" w:hAnsi="Times New Roman"/>
          <w:sz w:val="18"/>
          <w:szCs w:val="18"/>
          <w:color w:val="auto"/>
        </w:rPr>
        <w:t>November 1, 2025 to November 30, 2025</w:t>
      </w:r>
    </w:p>
    <w:p>
      <w:pPr>
        <w:spacing w:after="0" w:line="10" w:lineRule="exact"/>
        <w:rPr>
          <w:sz w:val="20"/>
          <w:szCs w:val="20"/>
          <w:color w:val="auto"/>
        </w:rPr>
      </w:pPr>
    </w:p>
    <w:p>
      <w:pPr>
        <w:ind w:left="20" w:right="460"/>
        <w:spacing w:after="0" w:line="237" w:lineRule="auto"/>
        <w:rPr>
          <w:sz w:val="20"/>
          <w:szCs w:val="20"/>
          <w:color w:val="auto"/>
        </w:rPr>
      </w:pPr>
      <w:r>
        <w:rPr>
          <w:rFonts w:ascii="Times New Roman" w:cs="Times New Roman" w:eastAsia="Times New Roman" w:hAnsi="Times New Roman"/>
          <w:sz w:val="18"/>
          <w:szCs w:val="18"/>
          <w:color w:val="auto"/>
        </w:rPr>
        <w:t>December 1, 2025 to December 31,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8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5"/>
        </w:trPr>
        <w:tc>
          <w:tcPr>
            <w:tcW w:w="2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 Part of the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tcPr>
          <w:p>
            <w:pPr>
              <w:jc w:val="right"/>
              <w:ind w:right="49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69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(2)</w:t>
            </w:r>
          </w:p>
        </w:tc>
        <w:tc>
          <w:tcPr>
            <w:tcW w:w="8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412"/>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82,766</w:t>
            </w:r>
          </w:p>
        </w:tc>
        <w:tc>
          <w:tcPr>
            <w:tcW w:w="0" w:type="dxa"/>
            <w:vAlign w:val="bottom"/>
          </w:tcPr>
          <w:p>
            <w:pPr>
              <w:spacing w:after="0"/>
              <w:rPr>
                <w:sz w:val="1"/>
                <w:szCs w:val="1"/>
                <w:color w:val="auto"/>
              </w:rPr>
            </w:pPr>
          </w:p>
        </w:tc>
      </w:tr>
      <w:tr>
        <w:trPr>
          <w:trHeight w:val="419"/>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1,353,386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1,353,386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80,465</w:t>
            </w:r>
          </w:p>
        </w:tc>
        <w:tc>
          <w:tcPr>
            <w:tcW w:w="0" w:type="dxa"/>
            <w:vAlign w:val="bottom"/>
          </w:tcPr>
          <w:p>
            <w:pPr>
              <w:spacing w:after="0"/>
              <w:rPr>
                <w:sz w:val="1"/>
                <w:szCs w:val="1"/>
                <w:color w:val="auto"/>
              </w:rPr>
            </w:pPr>
          </w:p>
        </w:tc>
      </w:tr>
      <w:tr>
        <w:trPr>
          <w:trHeight w:val="418"/>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1,112,252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1,112,252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78,403</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2,465,638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2,465,638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-454025</wp:posOffset>
            </wp:positionV>
            <wp:extent cx="7132320" cy="266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-993775</wp:posOffset>
            </wp:positionV>
            <wp:extent cx="713232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160"/>
            <w:col w:w="908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8"/>
        <w:spacing w:after="0" w:line="239" w:lineRule="auto"/>
        <w:tabs>
          <w:tab w:leader="none" w:pos="157"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31, 2022, our Board of Directors authorized and approved the Share Repurchase Program to repurchase up to $100.0 million in aggregate of our Class A common stock, with the authorization to expire on June 30, 2024. On February 21, 2024, our Board of Directors authorized and approved an increase of $150.0 million to the Share Repurchase Program and extended the expiration date to March 31, 2026.</w:t>
      </w:r>
    </w:p>
    <w:p>
      <w:pPr>
        <w:spacing w:after="0" w:line="136"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Average price paid per share includes costs associated with the repurchases, excluding the 1% excise tax as a result of the Inflation Reduction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Nextdoor Holdings, Inc. under the Securities Act of 1933, as amended (the “Securities Act”), or the Exchange Act.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shows a comparison of the cumulative total return for our Class A common stock, the Standard &amp; Poor's 500 Stock Index (“S&amp;P 500 Index”) and the Dow Jones Internet Composite Index (“DJ Internet Composite”). An investment of $100 and reinvestment of all dividends is assumed to have been made in our Class A common stock and in each index on November 8, 2021, the date our Class A common stock began trading on the New York Stock Exchange, and its relative performance is tracked through December 31, 2025.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93980</wp:posOffset>
            </wp:positionV>
            <wp:extent cx="5923280" cy="3257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2328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consolidated financial statements and related notes that are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Annual Report.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Discussions regarding our financial condition and results of operations for the year ended December 31, 2025 compared to the year ended December 31, 2024 are presented below. Discussions regarding our financial condition and results of operations for the year ended December 31, 2024 compared to the year ended December 31, 2023 are located in Part II, Item 7, “Management’s Discussion and Analysis of Financial Condition and Results of Operations” of our Annual Report on Form 10-K for the year ended December 31, 2024, filed with the SEC on February 27,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Nextdoor is the essential neighborhood network connecting over 105 million Verified Neighbors to the people, places, and information that matter most in their local communities. Operating in over 350,000 neighborhoods across 11 countries, Nextdoor fosters trusted, real-world utility through locally relevant content and services, including news, real-time safety alerts, neighbor recommendations, for sale and free listings, and events. This focus on practical local value drives genuine, high-intent local engagement and supports a diverse ecosystem of neighbors and partners seeking to connect with neighbors.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business metrics for the three months ended December 31, 2025 are as follows:</w:t>
      </w:r>
    </w:p>
    <w:p>
      <w:pPr>
        <w:spacing w:after="0" w:line="17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weekly active users (“Platform WAU”) was 21.0 million, a decrease of 5% compared to the three months ended December 31, 2024.</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platform weekly active user (“Platform ARPU”) was $3.31, an increase of 13% compared to the three months ended December 31,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Results as of and for the year ended December 31, 2025 are as follows:</w:t>
      </w:r>
    </w:p>
    <w:p>
      <w:pPr>
        <w:spacing w:after="0" w:line="17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$257.6 million, an increase of 4% compared to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were $329.6 million, a decrease of 11% compared to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45% to $54.2 million in 2025, compared to $98.1 million in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positive $0.6 million in 2025, compared to a loss of $18.2 million in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were $404.8 million.</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Non-GAAP Financial Measure</w:t>
      </w:r>
      <w:r>
        <w:rPr>
          <w:rFonts w:ascii="Times New Roman" w:cs="Times New Roman" w:eastAsia="Times New Roman" w:hAnsi="Times New Roman"/>
          <w:sz w:val="18"/>
          <w:szCs w:val="18"/>
          <w:color w:val="auto"/>
        </w:rPr>
        <w:t>” below for more information and for a reconciliation of net loss, the most directly comparable financial measure calculated and presented in accordance with U.S. generally accepted accounting principles (“GAAP”), to Adjusted EBITDA.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August 2025, we announced a cost reduction plan intended to right size the business and align the workforce and other expenses with our business priorities. The execution of the cost reduction plan was substantially complete by the end of the third quarter of 2025.</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year ended December 31, 2025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tc>
        <w:tc>
          <w:tcPr>
            <w:tcW w:w="560" w:type="dxa"/>
            <w:vAlign w:val="bottom"/>
          </w:tcPr>
          <w:p>
            <w:pPr>
              <w:spacing w:after="0"/>
              <w:rPr>
                <w:sz w:val="16"/>
                <w:szCs w:val="16"/>
                <w:color w:val="auto"/>
              </w:rPr>
            </w:pPr>
          </w:p>
        </w:tc>
        <w:tc>
          <w:tcPr>
            <w:tcW w:w="1760" w:type="dxa"/>
            <w:vAlign w:val="bottom"/>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we performed a restructuring intended to refocus the Company for future growth. The plan impacted 38 of our full-time employees. We incurred one-time charges of $2.8 million in connection with the plan, consisting primarily of cash expenditures for severance payments, employee benefits and related costs. The execution of the plan was substantially complete by the end of the second quarter of 2024. In addition, in June 2024 we ceased occupying and abandoned certain floors of our leased headquarters in San Francisco in order to adjust our office space footprint to better align with the needs of our work model. As a result, we recorded impairment charges of $22.8 million for the related operating lease right-of-use assets, leasehold improvements and furniture and fixtures.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year ended December 31, 2024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Office Space Reductions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8"/>
                <w:szCs w:val="18"/>
                <w:color w:val="auto"/>
              </w:rPr>
            </w:pP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580" w:type="dxa"/>
            <w:vAlign w:val="bottom"/>
          </w:tcPr>
          <w:p>
            <w:pPr>
              <w:spacing w:after="0"/>
              <w:rPr>
                <w:sz w:val="18"/>
                <w:szCs w:val="18"/>
                <w:color w:val="auto"/>
              </w:rPr>
            </w:pPr>
          </w:p>
        </w:tc>
        <w:tc>
          <w:tcPr>
            <w:tcW w:w="18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25,578</w:t>
            </w:r>
          </w:p>
        </w:tc>
      </w:tr>
      <w:tr>
        <w:trPr>
          <w:trHeight w:val="20"/>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Office space reductions are primarily non-cash and include impairment charges related to operating lease right-of-use assets, leasehold improvements and furniture and fixtures.</w:t>
      </w:r>
    </w:p>
    <w:p>
      <w:pPr>
        <w:spacing w:after="0" w:line="1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2023, we announced a cost reduction plan intended to right-size the business and align the workforce and other expenses with our near term revenue expectations and long term business priorities. The cost reduction plan included a reduction of full-time employee headcount by approximately 25%. The execution of the cost reduction plan was substantially complete by the end of the fourth quarter of 2023.</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year ended 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tc>
        <w:tc>
          <w:tcPr>
            <w:tcW w:w="580" w:type="dxa"/>
            <w:vAlign w:val="bottom"/>
          </w:tcPr>
          <w:p>
            <w:pPr>
              <w:spacing w:after="0"/>
              <w:rPr>
                <w:sz w:val="16"/>
                <w:szCs w:val="16"/>
                <w:color w:val="auto"/>
              </w:rPr>
            </w:pPr>
          </w:p>
        </w:tc>
        <w:tc>
          <w:tcPr>
            <w:tcW w:w="18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11,099</w:t>
            </w: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to our consolidated financial statements for further information on our restructuring charges.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business metrics to evaluate our business, measure our performance, develop financial forecasts,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Weekly Active Users (Platform WAU)</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define a Platform WAU as a Nextdoor user who opens our application or logs on to our website at least once during a defined 7-day period. We calculate average Platform WAU for a particular period by calculating the count of unique users, on a rolling basis for the past seven days, for each day of that period, and dividing that sum by the number of days in that period. We assess the health of our business by measuring Platform WAU because we believe that weekly usage best captures the cadence at which we expect a healthy user base to engage with and derive the most utility from our platform, and by extension their neighborhood.</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WAU for the three months ended December 31, 2025 and 2024 was 21.0 million and 22.2 million, respectively, which represents a 5% decrease period over period.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Average Platform Weekly Active Users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122555</wp:posOffset>
            </wp:positionV>
            <wp:extent cx="4543425" cy="2828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4342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Platform Weekly Active User (Platform ARPU)</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advertising. We measure monetization of our platform through our Platform ARPU metric. We define Platform ARPU as our total revenue during a period divided by the average of the number of Platform WAU during the same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ARPU for the years ended December 31, 2025 and 2024 was $11.94 and $11.36, respectively.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Platform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122555</wp:posOffset>
            </wp:positionV>
            <wp:extent cx="4543425" cy="2828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4342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3" w:lineRule="exact"/>
        <w:rPr>
          <w:sz w:val="20"/>
          <w:szCs w:val="20"/>
          <w:color w:val="auto"/>
        </w:rPr>
      </w:pPr>
    </w:p>
    <w:p>
      <w:pPr>
        <w:ind w:right="4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Macroeconomic conditions, whether in the advertising industry in general, among specific types of advertisers or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geographies, including but not limited to health epidemics or pandemics, actual or perceived instability in the global banking system, labor shortages, supply chain disruptions, the implementation of tariffs by the United States, China, or other governments, a potential recession, inflation, changing interest rates and fluctuations in foreign currency exchange rates, competition from other platforms and other risks and uncertainties have impacted, and all or some of these factors may continue to impact, advertiser demand, user growth, user engagement, and our business, operations and financial results. See "Risk Factors" and "Special Note Regarding Forward-Looking Statements” for additional details.</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Growth in and Engagement of Users. </w:t>
      </w:r>
      <w:r>
        <w:rPr>
          <w:rFonts w:ascii="Times New Roman" w:cs="Times New Roman" w:eastAsia="Times New Roman" w:hAnsi="Times New Roman"/>
          <w:sz w:val="18"/>
          <w:szCs w:val="18"/>
          <w:color w:val="auto"/>
        </w:rPr>
        <w:t>We measure growth in, and engagement of, users by tracking Platform WAU. As the size and engagement of our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grows, we believe the potential to increase our revenue grows.</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face challenges increasing the size and engagement of our user base due to a number of factors including competition, challenges in acquiring and engaging users, or changes in regulations.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Growth in Monetization</w:t>
      </w:r>
      <w:r>
        <w:rPr>
          <w:rFonts w:ascii="Times New Roman" w:cs="Times New Roman" w:eastAsia="Times New Roman" w:hAnsi="Times New Roman"/>
          <w:sz w:val="18"/>
          <w:szCs w:val="18"/>
          <w:color w:val="auto"/>
        </w:rPr>
        <w:t>. Monetization trends, which are reflected in our Platform ARPU, are a key factor that affects our revenue and financial results.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monetization, we are focused on catering to businesses of all sizes, from small local businesses to large global brands across both self-serve and managed campaigns through our go-to-market approach. This approach combines the scale and efficiency of our proprietary ad stack with the expertise of a dedicated global sales team. We are also focused on increasing our user base and engagement in the United States and internationally, which will increase the opportunities for businesses to advertise on Nextdoor.</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many variables that impact Platform ARPU, including the number of ad impressions shown on our platform and the price per ad, which depends on a number of factors including the engagement of our user base, the number and diversity of our customers, seasonality of advertising spend, our customers’ advertising objectives, advertising performance, the effectiveness of our advertising services, our ability to measure that effectiveness for our customer, and the effect of geographic differences on each of these factors.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continue to view international monetization as a long-term growth opportunity, our focus is on improving our product experience and aligning our operations to best serve users and advertisers in existing markets, primarily in the United States. Due to our decision to focus our earliest monetization efforts in the United States, we have less experience monetizing international markets and therefore may experience challenges scaling and monetizing these markets. The international advertising market is also less mature than the U.S. digital advertising market.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for Growth. </w:t>
      </w:r>
      <w:r>
        <w:rPr>
          <w:rFonts w:ascii="Times New Roman" w:cs="Times New Roman" w:eastAsia="Times New Roman" w:hAnsi="Times New Roman"/>
          <w:sz w:val="18"/>
          <w:szCs w:val="18"/>
          <w:color w:val="auto"/>
        </w:rPr>
        <w:t>We continually invest in technology to enhance our offerings for neighbors, businesses, and public agencies. At the core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is the use of AI and ML, which powers personalized content distribution and optimizes ad reach and performance. By leveraging our unique data set, we have developed AI-powered features to increase relevance, engagement, and utility for neighbors. We continue investing in our proprietary ad platform to deliver greater advertiser value, reduce advertiser effort, and enable businesses of all sizes to succeed on Nextdoor.</w:t>
      </w:r>
    </w:p>
    <w:p>
      <w:pPr>
        <w:spacing w:after="0" w:line="87" w:lineRule="exact"/>
        <w:rPr>
          <w:sz w:val="20"/>
          <w:szCs w:val="20"/>
          <w:color w:val="auto"/>
        </w:rPr>
      </w:pPr>
    </w:p>
    <w:p>
      <w:pPr>
        <w:ind w:right="80"/>
        <w:spacing w:after="0" w:line="226" w:lineRule="exact"/>
        <w:rPr>
          <w:sz w:val="20"/>
          <w:szCs w:val="20"/>
          <w:color w:val="auto"/>
        </w:rPr>
      </w:pPr>
      <w:r>
        <w:rPr>
          <w:rFonts w:ascii="Times New Roman" w:cs="Times New Roman" w:eastAsia="Times New Roman" w:hAnsi="Times New Roman"/>
          <w:sz w:val="18"/>
          <w:szCs w:val="18"/>
          <w:i w:val="1"/>
          <w:iCs w:val="1"/>
          <w:color w:val="auto"/>
        </w:rPr>
        <w:t>Investments in Platform</w:t>
      </w:r>
      <w:r>
        <w:rPr>
          <w:rFonts w:ascii="Times New Roman" w:cs="Times New Roman" w:eastAsia="Times New Roman" w:hAnsi="Times New Roman"/>
          <w:sz w:val="18"/>
          <w:szCs w:val="18"/>
          <w:color w:val="auto"/>
        </w:rPr>
        <w:t>. In 2025, we launched the new Nextdoor initiative, the first phase of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phase product transformation designed to create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experiences for neighbors and partners and deliver enhanced value for advertisers. This evolution expands the platform beyond primarily neighbor-generated content to a dynamic feed enriched with timely, locally relevant information, including news and alerts, with AI and ML used to help surface and personalize content for neighbors. We have made and expect to continue to make investments in new products or enhancements to our platform. The success of the new Nextdoor initiative, and the return on our investments associated with the new Nextdoor initiative, will depend on the ability of these platform changes to drive additional users and user engagement on our platform and to provide value to advertisers.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International Expansion. </w:t>
      </w:r>
      <w:r>
        <w:rPr>
          <w:rFonts w:ascii="Times New Roman" w:cs="Times New Roman" w:eastAsia="Times New Roman" w:hAnsi="Times New Roman"/>
          <w:sz w:val="18"/>
          <w:szCs w:val="18"/>
          <w:color w:val="auto"/>
        </w:rPr>
        <w:t>We continue to assess opportunities to grow our international user base and expand monetization outside of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we believe that increased international monetization presents an important opportunity for long-term growth, our primary focus remains on improving our product experience and aligning our operations to best serve users and advertisers in our existing markets. We are taking a strategic and measured approach to international expansion, prioritizing investments in markets where we see the strongest potential for sustainable growth. Over time, we believe that international operations can expand meaningfully, and we see opportunities to increase monetization and Platform ARPU in these markets. Our investments in international expansion are targeted and align with our broader strategic priorities. The success of these initiatives will depend on our ability to drive engagement and monetization in international markets.</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We typically observe seasonal improvements in advertising spend beginning in the second quarter, with those demand trends remaining stable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fourth quarter. Periods of significant growth and changes in the macroeconomic environment have partially masked these trends in some historical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a majority of our revenue from the delivery of advertising services. We recognize revenue only after transferring control of promised goods or services to the customer. Advertising services are typically sold on a cost per thousand (“CPM”) basis, a cost per click (“CPC”) basis, or on a subscription basis according to the service period. The majority of our revenue is generated in the United States.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services and credit card transaction fees related to processing customer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benefits, restructuring costs,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and other costs which include salaries, commissions, benefits, restructuring costs, and stock-based compensation for employees engaged in sales and marketing activities as well as other costs including third-party consulting, public relations, and allocated overhead costs. Sales and marketing expenses also include brand and performance marketing for both user and local business acquisition, and neighbor services, which includes personnel-related costs for our neighbor support team, our outsourced neighbor support function, and verification costs.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marketing costs related to local business acquisition largely consists of digital advertising and, to a lesser extent, direct mail campaigns. Performance marketing costs related to user acquisition largely consist of digital advertising.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marketable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unrealized gains and losses from the re-measurement of monetary assets and liabilities denominated in non-functional currencies, and gains and losses on marketable securities and foreign currency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our consolidated financial statements and related notes thereto included elsewhere in this Annual Report. The following table sets forth our consolidated results of operations for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218,309</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and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41,613</w:t>
            </w: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329,588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390,593</w:t>
            </w:r>
          </w:p>
        </w:tc>
        <w:tc>
          <w:tcPr>
            <w:tcW w:w="0" w:type="dxa"/>
            <w:vAlign w:val="bottom"/>
          </w:tcPr>
          <w:p>
            <w:pPr>
              <w:spacing w:after="0"/>
              <w:rPr>
                <w:sz w:val="1"/>
                <w:szCs w:val="1"/>
                <w:color w:val="auto"/>
              </w:rPr>
            </w:pPr>
          </w:p>
        </w:tc>
      </w:tr>
      <w:tr>
        <w:trPr>
          <w:trHeight w:val="223"/>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(147,009)</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43,619</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23,657</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statements of operations as a percentage of revenue for each of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(as a percentage of total revenue)</w:t>
            </w:r>
          </w:p>
        </w:tc>
        <w:tc>
          <w:tcPr>
            <w:tcW w:w="3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7"/>
              </w:rPr>
              <w:t>(40)%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24"/>
                <w:szCs w:val="24"/>
                <w:color w:val="auto"/>
              </w:rPr>
            </w:pPr>
          </w:p>
        </w:tc>
        <w:tc>
          <w:tcPr>
            <w:tcW w:w="154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257,646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247,276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by $10.4 million, or 4%, for the year ended December 31, 2025 compared to the year ended December 31, 2024. The increase was primarily due to increased advertiser spending, partially offset by a decrease in the number of active users, as measured by a 5% decrease in 2025 Platform WAU.</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c>
          <w:tcPr>
            <w:tcW w:w="10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40,987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$0.9 million, or 2%, for the year ended December 31, 2025 compared to the year ended December 31, 2024. The decrease was primarily due to a $1.1 million decrease in third-party costs associated with delivering and supporting our advertising services, a $1.0 million decrease in third-party hosting costs, partially offset by a $0.9 million increase in allocated personnel-related costs, and a $0.7 million increase in merchant processing fees.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11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135,205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127,939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$7.3 million, or 6%, for the year ended December 31, 2025 compared to the year ended December 31, 2024. The increase was primarily due to a $4.8 million increase in personnel-related costs, driven by restructuring costs partially offset by a decrease in average headcount, a $1.5 million increase in third-party software costs, and a $1.3 million increase in professional service fees.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Personnel-related and other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and performance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Neighbor services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and marketing</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$15.9 million, or 15%, for the year ended December 31, 2025 compared to the year ended December 31, 2024. The decrease was primarily due to a $9.4 million decrease in personnel-related costs, inclusive of restructuring costs, which was driven by a decrease in average headcount, a $3.7 million decrease in performance marketing costs for user acquisition, a $2.0 million decrease in performance marketing costs to attract local businesses, and a $0.8 million decrease in neighbor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62,367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$29.8 million, or 32%, for the year ended December 31, 2025 compared to the year ended December 31, 2024. The decrease was primarily due to $22.8 million of impairment costs related to office space reductions in 2024 and an $8.0 million decrease in personnel-related costs, inclusive of restructuring costs, which was driven by a decrease in average headcount, partially offset by a $2.7 million increase in professional service fees.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18,758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by $5.6 million, or 23%, for the year ended December 31, 2025 compared to the year ended December 31, 2024. The decrease was primarily driven by lower returns on marketable securities as a result of lower invested balances and lower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38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vMerge w:val="continue"/>
          </w:tcPr>
          <w:p>
            <w:pPr>
              <w:spacing w:after="0"/>
              <w:rPr>
                <w:sz w:val="16"/>
                <w:szCs w:val="16"/>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5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by $0.7 million for the year ended December 31, 2025 compared to the year ended December 31, 2024. The increase was primarily due to the periodic re-measurement of monetary assets and liabilities denominated in non-functional currencies and gains and losses on marketable securities and foreign currency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3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60" w:type="dxa"/>
            <w:vAlign w:val="bottom"/>
            <w:vMerge w:val="continue"/>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 for income taxes increased by $0.9 million, or 130%, for the year ended December 31, 2025 compared to the year ended December 31, 2024. The increase was primarily due to an increase in foreign income tax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inception with the exception of the year ended December 31, 2025,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generated losses from our operations, as reflected in our accumulated deficit of $918.3 million as of December 31, 2025.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had $404.8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and our ability to obtain equity or debt financing. Moreover, any actual or perceived instability in the U.S. or international banking systems may impact liquidity both in the short term and long term.</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The Share Repurchase Program does not obligate us to repurchase any dollar amount or number of shares, and the program may be extended, modified, suspended, or discontinued at any time. On February 21, 2024, our Board of Directors authorized and approved an increase of $150.0 million to the Share Repurchase Program and extended the expiration date to March 31, 2026. During the year ended December 31, 2025, we repurchased and retired 10,874,916 shares of our Class A common stock at an average purchase price of $1.73 per share for an aggregate repurchase price of $18.8 million. As of December 31, 2025, we had $78.4 million available for future share repurchases under the Share Repurchase Program.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rPr>
              <w:t>(20,202)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(59,273)</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86,426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rPr>
              <w:t>(81,035)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during the year ended December 31, 2025 was $6.5 million which resulted from a net loss of $54.2 million, adjusted for non-cash charges of $64.8 million and net cash outflows of $4.2 million from changes in operating assets and liabilities. Non-cash charges primarily consisted of $65.3 million of stock-based compensation expense, $1.9 million of depreciation and amortization expense, partially offset by $2.3 million of accretion on investments. The net cash outflows from changes in operating assets and liabilities were primarily due to an $8.5 million decrease in operating lease liabilities due to lease payments and a $3.2 million increase in accounts receivable. These amounts were partially offset by a $2.9 million decrease in operating lease right-of-use assets due to normal amortization, a $2.2 million increase in accounts payable, a $1.3 million increase in accrued expenses and other liabilities, and a $1.2 million increase in prepaid expenses and other assets.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2024 was $20.2 million which resulted from a net loss of $98.1 million, adjusted for non-cash charges of $95.9 million and net cash outflows of $18.0 million from changes in operating assets and liabilities. Non-cash charges primarily consisted of $74.1 million of stock-based compensation expense, $22.8 million of non-cash impairment charges related to lease abandonment, and $3.9 million of depreciation and amortization expense, partially offset by $5.5 million of accretion on investments. The net cash outflows from changes in operating assets and liabilities were primarily due to a $8.1 million decrease in accrued expenses and other liabilities, a $6.9 million decrease in operating lease liabilities due to lease payments, a $5.1 million increase in accounts receivable, and a $1.6 million decrease in accounts payable. These amounts were partially offset by a $3.7 million decrease in operating lease right-of-use assets due to normal amortization.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2025 was $42.6 million, which consisted of proceeds from maturities of marketable securities of $193.4 million and proceeds from sales of marketable securities of $141.9 million. This was partially offset by purchases of marketable securities of $292.2 million and purchases of property and equipment of $0.6 million.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2024 was $86.4 million, which consisted of proceeds from maturities of marketable securities of $198.5 million and proceeds from sales of marketable securities of $185.6 million. This was partially offset by purchases of marketable securities of $289.8 million and a loan to Opportunity Finance Network of $7.5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2025 was $34.0 million, which consisted of tax withholdings on release of restricted stock units of $19.1 million and repurchases of common stock of $18.9 million, partially offset by proceeds from the issuance of common stock upon exercise of stock options of $2.6 million and proceeds from the issuance of common stock under the employee stock purchase plan of $1.3 million.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2024 was $81.0 million, which consisted of repurchases of common stock of $75.5 million and $19.9 million of tax withholdings from stock-based awards, partially offset by $13.3 million of proceeds from the exercise of stock options and $1.1 million of proceeds from the issuance of common stock under the employee stock purchase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is a non-GAAP financial measure that represents our net loss adjusted for depreciation and amortization, stock-based compensation, net interest income, provision for income taxes, and any restructuring charges or acquisition-related costs.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the most comparable GAAP measure, to Adjusted EBITDA: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(147,765)</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83,025</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Preparing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critical accounting policies requiring estimates, assumptions, and judgments that we believe have the most significant impact on our consolidated financial statements are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to our consolidated financial statements for further information on our other significant accounting policies.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 a majority of our revenue from the delivery of advertising services. We recognize advertising revenue after satisfying our contractual performance obligation, which, for the majority of our advertising arrangements, is when an advertising impression is displayed to users. None of our arrangements contain minimum impression guarantees. We typically bill advertisers on a monthly basis and our payment terms vary by customer type and location. We have other advertising arrangements which are typically fixed-fee arrangements and revenue is recognized on a straight-line basis over the non-cancellable contractual term of the agreement, generally beginning on the date our service is made available to the customer. In certain advertising arrangements we require payment upfront from our customers. We record deferred revenue when we collect cash from customers in advance of revenue recognition.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our contracts we determine if the contract is or contains a lease. A contract is or contains a lease if it conveys the right to control the use of an identified asset for a period of time in exchange for consideration. Operating leases consist of real estate leases and are included in operating lease right-of-use assets and operating lease liabilities on our consolidated balance sheets at commencement date based on the present value of remaining fixed lease payments.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discount rate implicit in the lease cannot be readily determined, we use the applicable incremental borrowing rate at lease commencement in order to discount lease payments to present value for purposes of performing lease classification tests and measuring the lease liability. The incremental borrowing rate is a hypothetical rate based on the rate of interest we would have to pay to borrow on a collateralized basis over a similar term and amount equal to the lease payments in a similar economic environment.</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2 to our consolidated financial statements included elsewhere in this Annual Report for more information regarding recently issued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$63.3 million and marketable securities of $341.4 million. Our cash and cash equivalents consist of cash held in banks, demand deposits, money market funds,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consolidated financial statements for the periods presented. To date, we have not had a formal hedging program with respect to foreign currency, but we may do so in the future if our exposure to foreign currency should become more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300" w:type="dxa"/>
            <w:vAlign w:val="bottom"/>
            <w:gridSpan w:val="7"/>
            <w:vMerge w:val="restart"/>
          </w:tcPr>
          <w:p>
            <w:pPr>
              <w:spacing w:after="0" w:line="193" w:lineRule="exact"/>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(PCAOB ID: 42)</w:t>
            </w: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300" w:type="dxa"/>
            <w:vAlign w:val="bottom"/>
            <w:tcBorders>
              <w:bottom w:val="single" w:sz="8" w:color="0000FF"/>
            </w:tcBorders>
            <w:gridSpan w:val="7"/>
            <w:vMerge w:val="continue"/>
          </w:tcPr>
          <w:p>
            <w:pPr>
              <w:spacing w:after="0"/>
              <w:rPr>
                <w:sz w:val="15"/>
                <w:szCs w:val="15"/>
                <w:color w:val="auto"/>
              </w:rPr>
            </w:pPr>
          </w:p>
        </w:tc>
        <w:tc>
          <w:tcPr>
            <w:tcW w:w="5740" w:type="dxa"/>
            <w:vAlign w:val="bottom"/>
            <w:tcBorders>
              <w:bottom w:val="single" w:sz="8" w:color="0000FF"/>
            </w:tcBorders>
            <w:vMerge w:val="continue"/>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FF"/>
                <w:w w:val="99"/>
              </w:rPr>
              <w:t>60</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94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2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68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color w:val="0000FF"/>
                <w:w w:val="99"/>
              </w:rPr>
              <w:t>65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4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16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662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360" w:firstLine="3364"/>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Nextdoor Holdings,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Nextdoor Holdings, Inc. (the Company) as of December 31, 2025 and 2024, the related consolidated statements of operations,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18, 2026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ectPr>
          <w:pgSz w:w="11900" w:h="16838" w:orient="portrait"/>
          <w:cols w:equalWidth="0" w:num="1">
            <w:col w:w="11220"/>
          </w:cols>
          <w:pgMar w:left="320" w:top="121" w:right="35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generates revenue by delivering ads on the Nextdoor Holdings, Inc. website and mobile application. Revenue is recognized after transferring control of the</w:t>
      </w:r>
    </w:p>
    <w:p>
      <w:pPr>
        <w:spacing w:after="0" w:line="1" w:lineRule="exact"/>
        <w:rPr>
          <w:sz w:val="20"/>
          <w:szCs w:val="20"/>
          <w:color w:val="auto"/>
        </w:rPr>
      </w:pPr>
    </w:p>
    <w:p>
      <w:pPr>
        <w:sectPr>
          <w:pgSz w:w="11900" w:h="16838" w:orient="portrait"/>
          <w:cols w:equalWidth="0" w:num="2">
            <w:col w:w="1860" w:space="640"/>
            <w:col w:w="8720"/>
          </w:cols>
          <w:pgMar w:left="320" w:top="121" w:right="359" w:bottom="1440" w:gutter="0" w:footer="0" w:header="0"/>
          <w:type w:val="continuous"/>
        </w:sectPr>
      </w:pPr>
    </w:p>
    <w:p>
      <w:pPr>
        <w:ind w:left="2500" w:right="40"/>
        <w:spacing w:after="0" w:line="211" w:lineRule="auto"/>
        <w:rPr>
          <w:sz w:val="20"/>
          <w:szCs w:val="20"/>
          <w:color w:val="auto"/>
        </w:rPr>
      </w:pPr>
      <w:r>
        <w:rPr>
          <w:rFonts w:ascii="Times New Roman" w:cs="Times New Roman" w:eastAsia="Times New Roman" w:hAnsi="Times New Roman"/>
          <w:sz w:val="18"/>
          <w:szCs w:val="18"/>
          <w:color w:val="auto"/>
        </w:rPr>
        <w:t>promised goods or services to customers, which for the majority of advertising arrangements occurs when an advertising impression is displayed to users.</w:t>
      </w:r>
    </w:p>
    <w:p>
      <w:pPr>
        <w:spacing w:after="0" w:line="18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The Company’s revenue recognition process utilizes multiple systems and tools for the initiation, processing, and</w:t>
      </w:r>
    </w:p>
    <w:p>
      <w:pPr>
        <w:spacing w:after="0" w:line="2" w:lineRule="exact"/>
        <w:rPr>
          <w:sz w:val="20"/>
          <w:szCs w:val="20"/>
          <w:color w:val="auto"/>
        </w:rPr>
      </w:pPr>
    </w:p>
    <w:p>
      <w:pPr>
        <w:ind w:left="2500" w:right="180"/>
        <w:spacing w:after="0" w:line="226" w:lineRule="auto"/>
        <w:rPr>
          <w:sz w:val="20"/>
          <w:szCs w:val="20"/>
          <w:color w:val="auto"/>
        </w:rPr>
      </w:pPr>
      <w:r>
        <w:rPr>
          <w:rFonts w:ascii="Times New Roman" w:cs="Times New Roman" w:eastAsia="Times New Roman" w:hAnsi="Times New Roman"/>
          <w:sz w:val="18"/>
          <w:szCs w:val="18"/>
          <w:color w:val="auto"/>
        </w:rPr>
        <w:t>recording of a high volume of individually low monetary value transactions. This process is dependent on the effective design and operation of multiple systems, tools and related controls which require significant audit effort.</w:t>
      </w:r>
    </w:p>
    <w:p>
      <w:pPr>
        <w:sectPr>
          <w:pgSz w:w="11900" w:h="16838" w:orient="portrait"/>
          <w:cols w:equalWidth="0" w:num="1">
            <w:col w:w="11220"/>
          </w:cols>
          <w:pgMar w:left="320" w:top="121" w:right="359" w:bottom="1440" w:gutter="0" w:footer="0" w:header="0"/>
          <w:type w:val="continuous"/>
        </w:sectPr>
      </w:pPr>
    </w:p>
    <w:p>
      <w:pPr>
        <w:spacing w:after="0" w:line="263"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With the support of our information technology professionals, we obtained an understanding of the initiation, processing, and recording of revenue transactions and tested the relevant systems, tools and related controls. For example, we tested</w:t>
      </w:r>
    </w:p>
    <w:p>
      <w:pPr>
        <w:spacing w:after="0" w:line="1" w:lineRule="exact"/>
        <w:rPr>
          <w:sz w:val="20"/>
          <w:szCs w:val="20"/>
          <w:color w:val="auto"/>
        </w:rPr>
      </w:pPr>
    </w:p>
    <w:p>
      <w:pPr>
        <w:sectPr>
          <w:pgSz w:w="11900" w:h="16838" w:orient="portrait"/>
          <w:cols w:equalWidth="0" w:num="2">
            <w:col w:w="2400" w:space="100"/>
            <w:col w:w="8720"/>
          </w:cols>
          <w:pgMar w:left="320" w:top="121" w:right="359" w:bottom="1440" w:gutter="0" w:footer="0" w:header="0"/>
          <w:type w:val="continuous"/>
        </w:sectPr>
      </w:pPr>
    </w:p>
    <w:p>
      <w:pPr>
        <w:ind w:left="2500"/>
        <w:spacing w:after="0" w:line="220" w:lineRule="auto"/>
        <w:rPr>
          <w:sz w:val="20"/>
          <w:szCs w:val="20"/>
          <w:color w:val="auto"/>
        </w:rPr>
      </w:pPr>
      <w:r>
        <w:rPr>
          <w:rFonts w:ascii="Times New Roman" w:cs="Times New Roman" w:eastAsia="Times New Roman" w:hAnsi="Times New Roman"/>
          <w:sz w:val="18"/>
          <w:szCs w:val="18"/>
          <w:color w:val="auto"/>
        </w:rPr>
        <w:t>controls addressing the accurate recording of delivered advertisements.</w:t>
      </w:r>
    </w:p>
    <w:p>
      <w:pPr>
        <w:spacing w:after="0" w:line="184" w:lineRule="exact"/>
        <w:rPr>
          <w:sz w:val="20"/>
          <w:szCs w:val="20"/>
          <w:color w:val="auto"/>
        </w:rPr>
      </w:pPr>
    </w:p>
    <w:p>
      <w:pPr>
        <w:ind w:left="2500" w:right="640"/>
        <w:spacing w:after="0" w:line="237" w:lineRule="auto"/>
        <w:rPr>
          <w:sz w:val="20"/>
          <w:szCs w:val="20"/>
          <w:color w:val="auto"/>
        </w:rPr>
      </w:pPr>
      <w:r>
        <w:rPr>
          <w:rFonts w:ascii="Times New Roman" w:cs="Times New Roman" w:eastAsia="Times New Roman" w:hAnsi="Times New Roman"/>
          <w:sz w:val="18"/>
          <w:szCs w:val="18"/>
          <w:color w:val="auto"/>
        </w:rPr>
        <w:t>To test the Company’s recognition of revenue, our audit procedures included, among others, testing that revenue recognized reconciles to accounts receivables and corresponding cash receipts.</w:t>
      </w:r>
    </w:p>
    <w:p>
      <w:pPr>
        <w:sectPr>
          <w:pgSz w:w="11900" w:h="16838" w:orient="portrait"/>
          <w:cols w:equalWidth="0" w:num="1">
            <w:col w:w="11220"/>
          </w:cols>
          <w:pgMar w:left="320" w:top="121" w:right="359" w:bottom="1440" w:gutter="0" w:footer="0" w:header="0"/>
          <w:type w:val="continuous"/>
        </w:sect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360" w:firstLine="3364"/>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Nextdoor Holdings,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Nextdoor Holdings, Inc.’s internal control over financial reporting as of December 31, 2025, based on criteria established in Internal Control—Integrated Framework issued by the Committee of Sponsoring Organizations of the Treadway Commission (2013 framework) (the COSO criteria). In our opinion, Nextdoor Holdings, Inc. (the Company) maintained, in all material respects, effective internal control over financial reporting as of December 31, 2025, based on the COSO criteria.</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stockholders' equity and cash flows for each of the three years in the period ended December 31, 2025, and the related notes and our report dated February 18, 2026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45,550</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381,429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of $491 and $451 as of December 31, 2025 and 2024, respectively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31,173</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466,692</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513,953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27,944</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60,465</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50,000 shares authorized; no shares issued or outstanding as of December 31,</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2025 and 2024</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4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 shares authorized; 262,446 and 224,488 shares issued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 shares authorized; 127,681 and 158,134 shares issued and</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1,316,616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(918,287)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(864,083)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431,283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453,488</w:t>
            </w:r>
          </w:p>
        </w:tc>
        <w:tc>
          <w:tcPr>
            <w:tcW w:w="0" w:type="dxa"/>
            <w:vAlign w:val="bottom"/>
          </w:tcPr>
          <w:p>
            <w:pPr>
              <w:spacing w:after="0"/>
              <w:rPr>
                <w:sz w:val="1"/>
                <w:szCs w:val="1"/>
                <w:color w:val="auto"/>
              </w:rPr>
            </w:pPr>
          </w:p>
        </w:tc>
      </w:tr>
      <w:tr>
        <w:trPr>
          <w:trHeight w:val="223"/>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486,803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513,953</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218,309</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41,613</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122,925</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329,588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390,593</w:t>
            </w:r>
          </w:p>
        </w:tc>
        <w:tc>
          <w:tcPr>
            <w:tcW w:w="0" w:type="dxa"/>
            <w:vAlign w:val="bottom"/>
          </w:tcPr>
          <w:p>
            <w:pPr>
              <w:spacing w:after="0"/>
              <w:rPr>
                <w:sz w:val="1"/>
                <w:szCs w:val="1"/>
                <w:color w:val="auto"/>
              </w:rPr>
            </w:pPr>
          </w:p>
        </w:tc>
      </w:tr>
      <w:tr>
        <w:trPr>
          <w:trHeight w:val="223"/>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(147,009)</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 basic and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8"/>
                <w:szCs w:val="18"/>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8"/>
                <w:szCs w:val="18"/>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189"/>
        </w:trPr>
        <w:tc>
          <w:tcPr>
            <w:tcW w:w="69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shares used in computing net loss per share attributable to Class A and Class</w:t>
            </w:r>
          </w:p>
        </w:tc>
        <w:tc>
          <w:tcPr>
            <w:tcW w:w="3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379,254</w:t>
            </w: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 common stockholders,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(147,765)</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unrealized gain (loss) on available-for-sale marketable securities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23"/>
        </w:trPr>
        <w:tc>
          <w:tcPr>
            <w:tcW w:w="6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23"/>
        </w:trPr>
        <w:tc>
          <w:tcPr>
            <w:tcW w:w="6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(144,626)</w:t>
            </w:r>
          </w:p>
        </w:tc>
      </w:tr>
      <w:tr>
        <w:trPr>
          <w:trHeight w:val="21"/>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7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40" w:type="dxa"/>
            <w:vAlign w:val="bottom"/>
          </w:tcPr>
          <w:p>
            <w:pPr>
              <w:spacing w:after="0"/>
              <w:rPr>
                <w:sz w:val="15"/>
                <w:szCs w:val="15"/>
                <w:color w:val="auto"/>
              </w:rPr>
            </w:pPr>
          </w:p>
        </w:tc>
        <w:tc>
          <w:tcPr>
            <w:tcW w:w="1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6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600" w:type="dxa"/>
            <w:vAlign w:val="bottom"/>
          </w:tcPr>
          <w:p>
            <w:pPr>
              <w:spacing w:after="0"/>
              <w:rPr>
                <w:sz w:val="2"/>
                <w:szCs w:val="2"/>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
                <w:szCs w:val="2"/>
                <w:color w:val="auto"/>
              </w:rPr>
            </w:pP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
                <w:szCs w:val="2"/>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
                <w:szCs w:val="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6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as of 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218,029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$ 1,231,482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611,068</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Release of restricted stock units, net of tax</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withholdings</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withholdings on restricted stock units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options</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13"/>
        </w:trPr>
        <w:tc>
          <w:tcPr>
            <w:tcW w:w="3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purchase plan</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83,025</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(147,765)</w:t>
            </w: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as of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201,960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$ 1,323,595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558,557</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Release of restricted stock units, net of tax</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withholdings</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withholdings on restricted stock units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(19,916)</w:t>
            </w: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(75,530)</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stock</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13,335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13,336</w:t>
            </w:r>
          </w:p>
        </w:tc>
        <w:tc>
          <w:tcPr>
            <w:tcW w:w="0" w:type="dxa"/>
            <w:vAlign w:val="bottom"/>
          </w:tcPr>
          <w:p>
            <w:pPr>
              <w:spacing w:after="0"/>
              <w:rPr>
                <w:sz w:val="1"/>
                <w:szCs w:val="1"/>
                <w:color w:val="auto"/>
              </w:rPr>
            </w:pPr>
          </w:p>
        </w:tc>
      </w:tr>
      <w:tr>
        <w:trPr>
          <w:trHeight w:val="213"/>
        </w:trPr>
        <w:tc>
          <w:tcPr>
            <w:tcW w:w="3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options</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purchase plan</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74,055</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(98,063)</w:t>
            </w: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as of December 31,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158,134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$ 1,316,616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(864,083)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453,488</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Release of restricted stock units, net of tax</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withholdings</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withholdings on restricted stock units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(19,065)</w:t>
            </w: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(18,891)</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stock</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0" w:type="dxa"/>
            <w:vAlign w:val="bottom"/>
          </w:tcPr>
          <w:p>
            <w:pPr>
              <w:spacing w:after="0"/>
              <w:rPr>
                <w:sz w:val="1"/>
                <w:szCs w:val="1"/>
                <w:color w:val="auto"/>
              </w:rPr>
            </w:pPr>
          </w:p>
        </w:tc>
      </w:tr>
      <w:tr>
        <w:trPr>
          <w:trHeight w:val="213"/>
        </w:trPr>
        <w:tc>
          <w:tcPr>
            <w:tcW w:w="3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options</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purchase plan</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3"/>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(54,204)</w:t>
            </w: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as of December 31, 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$ 1,347,968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(918,287)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431,283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6"/>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(98,063)</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(147,765)</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83,025</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impairment charges related to lease abandonment</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investments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(59,273)</w:t>
            </w:r>
          </w:p>
        </w:tc>
        <w:tc>
          <w:tcPr>
            <w:tcW w:w="0" w:type="dxa"/>
            <w:vAlign w:val="bottom"/>
          </w:tcPr>
          <w:p>
            <w:pPr>
              <w:spacing w:after="0"/>
              <w:rPr>
                <w:sz w:val="1"/>
                <w:szCs w:val="1"/>
                <w:color w:val="auto"/>
              </w:rPr>
            </w:pPr>
          </w:p>
        </w:tc>
      </w:tr>
      <w:tr>
        <w:trPr>
          <w:trHeight w:val="19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(590,610)</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155,418</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504,449</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Loan to Opportunity Finance Network</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2"/>
        </w:trPr>
        <w:tc>
          <w:tcPr>
            <w:tcW w:w="6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86,426</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66,490</w:t>
            </w:r>
          </w:p>
        </w:tc>
        <w:tc>
          <w:tcPr>
            <w:tcW w:w="0" w:type="dxa"/>
            <w:vAlign w:val="bottom"/>
          </w:tcPr>
          <w:p>
            <w:pPr>
              <w:spacing w:after="0"/>
              <w:rPr>
                <w:sz w:val="1"/>
                <w:szCs w:val="1"/>
                <w:color w:val="auto"/>
              </w:rPr>
            </w:pPr>
          </w:p>
        </w:tc>
      </w:tr>
      <w:tr>
        <w:trPr>
          <w:trHeight w:val="19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withholdings on release of restricted stock units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(81,035)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8,916</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16,168</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55,236</w:t>
            </w: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60,233</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taxes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Vesting of restricted stock and early exercised stock options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10,665</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Remeasurement of operating lease liability and right-of-use asset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Nextdoor Holdings, Inc. (“Nextdoor” or the “Company”) is headquartered in San Francisco, California. Nextdoor is the essential neighborhood network connecting over 105 million Verified Neighbors to the people, places, and information that matter most in their local communities. The Company reports its financial results based on a single reportable segment, which aligns with how the chief operating decision maker (“CODM”), who is its Chief Executive Officer (“CEO”), reviews financial information for purposes of making operating decisions, assessing financial performance, and allocating resources. See Note 12 - Segment and Geographical Information for further detail.</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Estimates include, but are not limited to, valuation of financial instruments,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subsidiaries is generally their local currency. The financial statements of these subsidiaries are translated into U.S. dollars using month-end exchange rates for assets and liabilities, historical exchange rates for equity, and average exchange rates for revenue and expenses. Translation gains and losses are recorded in accumulated other comprehensive income (loss) as a component of stockholders’ equity (deficit). Unrealized foreign exchange gains and losses due to the re-measurement of monetary assets and liabilities denominated in non-functional currencies and realized foreign exchange gains and losses on foreign exchange transactions are recorded in other income (expense), net in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insignificant interest rate risk and original maturities of three months or less at the time of purchase. Cash and cash equivalents include cash held in banks, demand deposits, money market funds, corporate bonds, and commercial paper. Interest is accrued as earned. Cash and cash equivalents are recorded at cost, which approximates fair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are comprised of certificates of deposit, commercial paper, corporate bonds, U.S. Treasury securities, U.S. agency bonds, and asset-backed securities. The Company determines the appropriate classification of its investments at the time of purchase and reevaluates such designation at each balance sheet date. The Company has classified and accounted for its investments as available-for-sale securities as the Company may sell these securities at any time for use in its current operations or for other purposes, even prior to maturity. As a result, the Company classifies its investments, including securities with stated maturities beyond 12 months, within current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Available-for-sale securities are recorded at fair value each reporting period. Unrealized gains and losses on these investments are reported as a separate component of accumulated other comprehensive income (loss) on the consolidated balance sheets until realized. Interest income is reported within interest income in the consolidated statements of operations. The Company periodically evaluates its marketable securities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the financial condition and near-term prospects of the investee. Realized gains and losses are determined based on the specific identification method and are reported in other income (expense), net in the consolidated statements of operations. If the Company determines that the decline in an investment’s fair value is other than temporary, the difference is recognized as an impairment loss in the consolidated statements of operations. The Company did not consider any of its investments to be other-than-temporarily impaired for the years ended December 31, 2025 and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which is the expected exchange price that would be received for an asset or an exit price paid to transfer a liability in an orderly transaction between market participants on the measurement date. Assets and liabilities measured at fair value are classified into the following categories based on the degree to which the inputs the Company uses to measure the fair values are observable in active markets. The Company uses the most observable inputs available when measuring fair value.</w:t>
      </w:r>
    </w:p>
    <w:p>
      <w:pPr>
        <w:spacing w:after="0" w:line="3"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unadjusted quoted prices for identical assets or liabilities in active markets;</w:t>
      </w:r>
    </w:p>
    <w:p>
      <w:pPr>
        <w:spacing w:after="0" w:line="1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such as quoted prices for similar assets or liabilities in active markets, quoted prices for identical assets or liabilities in inactive markets, or inputs that are derived principally from or corroborated by observable market data or other means;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are significant to the fair value of the assets or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accounts receivable at the original invoiced amount. The Company maintains an allowance for doubtful accounts for any receivables it may be unable to collect and reduces the allowance when it determines that it will be unable to collect specific receivables. The Company determines the allowance based on its receivables’ age, the customers’ credit quality, and current economic conditions, among other factors that may affect the customers’ ability to pay.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restricted cash balance is invested in a savings account and pledged as collateral for standby letters of credit as security deposits for the Company’s office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and amortization are computed using the straight-line method over the estimated useful lives of the assets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94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830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175"/>
        </w:trPr>
        <w:tc>
          <w:tcPr>
            <w:tcW w:w="8300" w:type="dxa"/>
            <w:vAlign w:val="bottom"/>
            <w:shd w:val="clear" w:color="auto" w:fill="CCEEFF"/>
          </w:tcPr>
          <w:p>
            <w:pPr>
              <w:spacing w:after="0"/>
              <w:rPr>
                <w:sz w:val="15"/>
                <w:szCs w:val="15"/>
                <w:color w:val="auto"/>
              </w:rPr>
            </w:pPr>
          </w:p>
        </w:tc>
        <w:tc>
          <w:tcPr>
            <w:tcW w:w="2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Shorter of the estimated useful life of 5</w:t>
            </w:r>
          </w:p>
        </w:tc>
      </w:tr>
      <w:tr>
        <w:trPr>
          <w:trHeight w:val="24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years or the lease term</w:t>
            </w:r>
          </w:p>
        </w:tc>
      </w:tr>
      <w:tr>
        <w:trPr>
          <w:trHeight w:val="418"/>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repair costs are expensed as incurred.</w:t>
            </w:r>
          </w:p>
        </w:tc>
        <w:tc>
          <w:tcPr>
            <w:tcW w:w="2940" w:type="dxa"/>
            <w:vAlign w:val="bottom"/>
          </w:tcPr>
          <w:p>
            <w:pPr>
              <w:spacing w:after="0"/>
              <w:rPr>
                <w:sz w:val="24"/>
                <w:szCs w:val="24"/>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internal-use software costs when preliminary development efforts are successfully completed, management has authorized and committed project funding, and it is probable that the project will be completed, and the software will be used as intended. Costs related to preliminary project activities and post-implementation activities are expensed as incurred and costs related to the application development stage are capitalized. Capitalized costs are recorded as part of property and equipment, net.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costs related to internal-use software are amortized on a straight-line basis over an estimated useful life of two to three years. Management evaluates the useful lives of these assets on an annual basis and tests for impairment whenever events or changes in circumstances occur that could impact the recoverability of these assets. The Company did not capitalize any internal-use software costs for the years ended December 31, 2025 and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Acquired Intangible Assets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connection with business combinations accounted for using the acquisition method of accounting. Goodwill is not amortized, but is tested for impairment at least annually, in the fourth quarter, or whenever events or changes in circumstances indicate that goodwill might be impaired. For all periods presented the Company had one reporting unit. The Company’s test for goodwill impairment starts with a qualitative assessment to determine whether it is necessary to perform the quantitative goodwill impairment test. If the Company determines, based on the qualitative factors, that the fair value of the reporting unit is more likely than not to be less than the carrying amount, then a quantitative goodwill impairment test is required. There was no impairment of goodwill recorded for the periods presented.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identifiable intangible assets, including customer relationships and developed technology, resulting from the Company’s acquisitions. Acquired intangible assets are recorded at cost, net of accumulated amortization. Intangible assets are amortized on a straight-line basis over their estimated useful lives. Amortization costs are recorded in sales and marketing in the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and other long-lived assets, such as finite-lived intangible assets, subject to amortization,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impairment is indicated, an impairment loss is recognized as the amount by which the carrying amount exceeds the fair value. No impairment was recorded for long-lived assets for the year ended December 31, 2025. The Company recorded $2.9 million of impairment charges for property and equipment for the year ended December 31, 2024. For additional information, please see Note 13 - Restructuring.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various lease agreements related to real estate that are all classified as operating leases. At the inception of the Company’s contracts it determines if the contract is or contains a lease. A contract is or contains a lease if it conveys the right to control the use of an identified asset for a period of time in exchange for consideration. The Company has elected not to separate the lease and non-lease components within the contract. For leases that have greater than a 12-month lease term, right-of-use (“ROU”) assets and operating lease liabilities are recognized on the consolidated balance sheets at commencement date based on the present value of remaining fixed lease payments.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the lease, with renewal terms that can extend the lease term from one month to five years. If the Company is reasonably certain to exercise an option to extend a lease, the extension period is included as part of the ROU asset and the operating lease liability.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discount rate implicit in the lease cannot be readily determined, the Company uses its incremental borrowing rate at lease commencement in order to discount lease payments to present value for purposes of performing lease classification tests and measuring the lease liability. The Company’s incremental borrowing rate represents the rate of interest the Company would have to pay to borrow, on a collateralized basis, over a similar term an amount equal to the lease payments in a similar economic environment.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lease ROU asset also includes accrued lease expense resulting from the straight-line accounting under prior accounting methods, which is now being amortized over the remaining life of the lease.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lease payments are largely fixed. Variable lease payments exist in circumstances such as payments for property tax, insurance, and common area maintenance. Variable lease payments are recognized in operating expense in the period in which the obligation for those payments are incurred. Certain of the Company’s leases include an option to early terminate the lease. The Company’s leases may contain early termination options which may result in an early termination fee. The Company has a significant lease for its headquarters in San Francisco, California, which does not include an option to early terminate.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Company’s leases, it has elected to not apply the recognition requirements to leases of twelve months or less. These leases are expensed on a straight-line basis and no ROU asset or operating lease liability is recorded.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and Customer Risks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are exposed to concentrations of credit risk consist principally of cash and cash equivalents, marketable securities and accounts receivable. The Company maintains cash and cash equivalents and marketable securities with domestic and foreign financial institutions and at times may exceed federally insured limits. The Company performs periodic evaluations of the relative credit standing of these institutions. The Company maintains investments in U.S. government debt and agency securities, corporate debt securities, and commercial paper that carry high credit ratings and accordingly, minimal credit risk exists with respect to these balances.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customer accounted for 10% or more of the Company’s accounts receivable as of December 31, 2025. One customer accounted for 14% of the Company’s accounts receivable as of December 31, 2024. No customer accounted for 10% or more of the Company’s total revenue for the years ended December 31, 2025, 2024 and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a majority of its revenue from the delivery of advertising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71"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advertising revenue after satisfying its contractual performance obligation, which, for the majority of its advertising arrangements, is when an advertising impression is displayed to users. None of the Company’s arrangements contain minimum impression guarantees. The Company typically bills advertisers on a monthly basis and the payment terms vary by customer type and location. The Company has other advertising arrangements which are typically fixed-fee arrangements and revenue is recognized on a straight-line basis over the non-cancellable contractual term of the agreement, generally beginning on the date its service is made available to the customer.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advertising arrangements the Company requires payment upfront from its customers. The Company records deferred revenue when it collects cash from customers in advance of revenue recognition. As of December 31, 2025 and 2024, deferred revenue was $8.0 million and $6.8 million, respectively, and included within accrued expenses and other current liabilities on the consolidated balance sheets. For the years ended December 31, 2025 and 2024, revenue recognized from deferred revenue at the beginning of each year was $3.6 million and $5.9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expenses sales commissions as incurred because the expected period of benefit is less than one year. These costs are recorded within sales and marketing expenses in the consolidated statements of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delivery of the Company’s revenue generating activities, including the third-party cost of hosting its platform and allocated personnel-related costs, which include salaries, benefits, and stock-based compensation for employees engaged in development of its revenue generating products. Cost of revenue also includes third-party costs associated with delivering and supporting its advertising services and credit card transaction fees related to processing customer transactions.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benefits, restructuring costs, and stock-based compensation for its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costs and other costs which include salaries, commissions, benefits, restructuring costs, and stock-based compensation for employees engaged in sales and marketing activities as well as other costs including third-party consulting, public relations, and allocated overhead costs. Sales and marketing expenses also include brand and performance marketing for both user and local business acquisition, and neighbor services, which includes personnel-related costs for the Company's neighbor support team, its outsourced neighbor support function, and verification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which consist primarily of brand and performance marketing are expensed as incurred and are included in sales and marketing expense in the consolidated statements of operations. Total advertising costs incurred were $13.1 million, $18.9 million, and $18.1 million for the years ended December 31, 2025,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income taxes are recognized for tax carryforwards and differences between financial reporting and tax bases of assets and liabilities at the enacted statutory tax rates in effect for the years in which the temporary differences are expected to reverse.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U.S. net deferred tax assets have been fully offset by a valuation allowance.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operates in various tax jurisdictions which are subject to audit by various tax authorities. The Company recognizes a tax benefit from an uncertain tax position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cumulative likelihood of being realized upon settlement. The Company recognizes interest and penalties related to unrecognized tax benefits in the income tax provision in the consolidated statements of operations and income tax liabilities on the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presents net loss per share attributable to common stockholders in conformity with the two-class method required for multiple classes of common stock and participating securities. Under the two-class method, net loss is attributed to common stockholders and participating securities based on their participation rights. The rights, including the liquidation and dividend rights, of the Class A common stock and Class B common stock are substantially identical, other than voting rights. Accordingly, the Class A common stock and Class B common stock share proportionately in the Company’s net losses. The Company considers its unvested restricted stock to be participating securities and contractually entitles the holders of such shares to participate in dividends but does not contractually obligate the holders of such shares to participate in the Company’s losses. As such, net losses for the periods presented were not allocated to these securities.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basic net loss per share attributable to common stockholders by dividing the net loss attributable to common stockholders by the weighted average number of shares of common stock outstanding during the period, adjusted for outstanding shares that are subject to repurchase. Diluted net loss per share attributable to common stockholders is computed by giving effect to all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potentially dilutive securities outstanding for the period. For periods in which the Company reports net losses, diluted net loss per share attributable to common stockholders is the same as basic net loss per share attributable to common stockholders, because all potentially dilutive securities are anti-dilutive.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Stock-based compensation expense for stock-based awards granted to employees and non-employees is measured based on the grant date fair value of the awards and recognized in the consolidated statements of operations on a straight-line basis over the period during which services are provided in exchange for the award, generally, the vesting period of the award. The grant date fair value of stock options granted is estimated using the Black-Scholes option pricing model. The grant date fair value of awards with a market condition is estimated using a Monte Carlo simulation valuation model. Forfeitures are accounted for as they occur.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expands income tax disclosures primarily related to an entity’s rate reconciliation and information on income taxes paid. The Company adopted this standard during the year ended December 31, 2025 and the guidance was applied prospectively, resulting in additional disclosures related to the Company’s income taxes. See Note 11 - Income Taxes for further detail. The adoption of this ASU did not have an impact on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incremental disclosures to disaggregate income statement expense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annual periods beginning after December 15, 2026, and interim periods within fiscal years beginning after December 15, 2027 with early adoption permitted. The Company is currently evaluating the impact of this standard on its consolidated financial statements and related disclosures.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Cash Equivalents and Marketable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costs, unrealized gains and losses, and estimated fair values of the Company’s cash equivalents and marketable securities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29,023</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w:t>
            </w: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287,586</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44,319</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340,187</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341,429</w:t>
            </w: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370,452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42,382</w:t>
            </w: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380,886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400,078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400,621</w:t>
            </w:r>
          </w:p>
        </w:tc>
      </w:tr>
      <w:tr>
        <w:trPr>
          <w:trHeight w:val="21"/>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marketable securities are designated as available-for-sale securities as of December 31, 2025 and 2024.</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 continuous unrealized loss position.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6"/>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6"/>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6"/>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3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6"/>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6"/>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124,668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130,678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contractual maturities of the Company’s marketable securities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14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1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114,172</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to three years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227,257</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340,187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2"/>
        </w:trPr>
        <w:tc>
          <w:tcPr>
            <w:tcW w:w="8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8"/>
                <w:szCs w:val="18"/>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1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2"/>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171,990</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172,333</w:t>
            </w:r>
          </w:p>
        </w:tc>
      </w:tr>
      <w:tr>
        <w:trPr>
          <w:trHeight w:val="189"/>
        </w:trPr>
        <w:tc>
          <w:tcPr>
            <w:tcW w:w="8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to three years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209,096</w:t>
            </w:r>
          </w:p>
        </w:tc>
      </w:tr>
      <w:tr>
        <w:trPr>
          <w:trHeight w:val="189"/>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3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380,886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r>
      <w:tr>
        <w:trPr>
          <w:trHeight w:val="214"/>
        </w:trPr>
        <w:tc>
          <w:tcPr>
            <w:tcW w:w="8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are classified by level within the fair value hierarchy. There were no financial assets or liabilities measured using Level 3 inputs as of December 31, 2025 and 2024. The following tables present information about the Company’s financial assets that are measured at fair value on a recurring basis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29,023</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287,586</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44,319</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341,429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341,429</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370,452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23"/>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42,382</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383,423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400,621</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years ended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Assets, and Liabilities Not Recorded at Fair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Opportunity Finance Network Loan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2022, the Company entered into a credit agreement with Opportunity Finance Network (“OFN”) to lend up to an aggregate of $15.0 million, unsecured, over the course of 24 months. As of December 31, 2025, the note receivable from OFN totaled $15.0 million and is recorded under other assets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of assets not recorded at fair value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20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4"/>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receivable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14,181</w:t>
            </w:r>
          </w:p>
        </w:tc>
      </w:tr>
      <w:tr>
        <w:trPr>
          <w:trHeight w:val="458"/>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3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20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4"/>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receivable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there were no other financial instruments or liabilities that were not recorded at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$1.7 million, $2.9 million and $4.0 million for the years ended December 31, 2025,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various non-cancellable office facility leases in various locations with original lease periods expiring between 2020 and 2029, with its primary office location in San Francisco, California. The Company entered into a lease consisting of multiple floors for its San Francisco headquarters in 2019, with a lease term through 2029. On January 30, 2023, the Company entered into a lease amendment for its headquarters lease. The lease amendment extended the lease term through April 30, 2032, and resulted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an increase to right-of-use assets and operating lease liabilities. During the second quarter of 2024, the Company determined it was no longer reasonably certain that the optional renewal period would be exercised resulting in a reduction in the lease term and a decrease to its right-of-use assets and operating lease liabilities. In addition, as part of a restructuring plan, the Company decided to vacate and abandon certain floors of its leased headquarters in San Francisco in order to streamline operations and optimize its office space. The Company ceased occupying the floors in June 2024 and, as a result, the Company recorded impairment charges for the related operating lease right-of-use assets, leasehold improvements and furniture and fixtures in the second quarter of 2024. See Note 13 - Restructuring for further details. The Company's lease agreements generally do not contain any material residual value guarantees or material restrictive covenants.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8"/>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5,354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10,480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12,488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0" w:type="dxa"/>
            <w:vAlign w:val="bottom"/>
          </w:tcPr>
          <w:p>
            <w:pPr>
              <w:spacing w:after="0"/>
              <w:rPr>
                <w:sz w:val="1"/>
                <w:szCs w:val="1"/>
                <w:color w:val="auto"/>
              </w:rPr>
            </w:pPr>
          </w:p>
        </w:tc>
      </w:tr>
      <w:tr>
        <w:trPr>
          <w:trHeight w:val="21"/>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was as follows (in thousands):</w:t>
            </w: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8"/>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10,977</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operating lease liability and right-of-use asset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(18,915)</w:t>
            </w:r>
          </w:p>
        </w:tc>
        <w:tc>
          <w:tcPr>
            <w:tcW w:w="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4"/>
        </w:trPr>
        <w:tc>
          <w:tcPr>
            <w:tcW w:w="8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weighted average remaining lease term (years) and discount rate related to operating leases were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468"/>
        </w:trPr>
        <w:tc>
          <w:tcPr>
            <w:tcW w:w="8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December 31, 2025, future minimum lease payments under operating leases were as follows (in thousands):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operating lease liabilities</w:t>
            </w: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does not include lease payments that were not fixed at commencement or lease modification.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non-cancellable purchase commitments with certain service providers primarily related to the provision of cloud computing services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31,885</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litigation discussed below, 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such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December 31, 2025.</w:t>
      </w:r>
    </w:p>
    <w:p>
      <w:pPr>
        <w:spacing w:after="0" w:line="135" w:lineRule="exact"/>
        <w:rPr>
          <w:sz w:val="20"/>
          <w:szCs w:val="20"/>
          <w:color w:val="auto"/>
        </w:rPr>
      </w:pPr>
    </w:p>
    <w:p>
      <w:pPr>
        <w:ind w:right="1380"/>
        <w:spacing w:after="0" w:line="438" w:lineRule="auto"/>
        <w:rPr>
          <w:sz w:val="20"/>
          <w:szCs w:val="20"/>
          <w:color w:val="auto"/>
        </w:rPr>
      </w:pPr>
      <w:r>
        <w:rPr>
          <w:rFonts w:ascii="Times New Roman" w:cs="Times New Roman" w:eastAsia="Times New Roman" w:hAnsi="Times New Roman"/>
          <w:sz w:val="18"/>
          <w:szCs w:val="18"/>
          <w:color w:val="auto"/>
        </w:rPr>
        <w:t xml:space="preserve">The matters discussed below summarize the Company’s current significant ongoing pending legal proceedings as of December 31, 2025. </w:t>
      </w:r>
      <w:r>
        <w:rPr>
          <w:rFonts w:ascii="Times New Roman" w:cs="Times New Roman" w:eastAsia="Times New Roman" w:hAnsi="Times New Roman"/>
          <w:sz w:val="18"/>
          <w:szCs w:val="18"/>
          <w:i w:val="1"/>
          <w:iCs w:val="1"/>
          <w:color w:val="auto"/>
        </w:rPr>
        <w:t>Securities and Derivative Litigation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28, 2024, a securities class action complaint was filed against the Company and certain of its former executive officers (collectively, the “Defendants”) in the U.S. District Court for the Northern District of California. The lawsuit alleges that Defendants violated the Securities Exchange Act of 1934, as amended, by making materially false and misleading statements about the Company’s business and prospects for future growth in the period between July 6, 2021 and November 8, 2022. Motions for the lead plaintiff were filed on April 29, 2024 and the court appointed a lead plaintiff on July 12, 2024. The lead plaintiff filed the amended complaint on September 10, 2024. The Company filed a Motion to Dismiss on November 12, 2024. On May 19, 2025, the court granted the Motion to Dismiss in its entirety, but also granted the lead plaintiff leave to amend the complaint. On June 16, 2025, the lead plaintiff filed a second amended complaint that (i) brought claims solely against the Company and Sarah Friar, (ii) limited the challenged statements to a single statement, and (iii) narrowed the putative class period to May 10, 2022 through November 7, 2022. The Company’s Motion to Dismiss the second amended complaint was filed on July 31, 2025, and the lead plaintiff filed its opposition to the motion on September 15, 2025. The Company filed its reply brief on October 15, 2025. On November 20, 2025, the court granted the Company’s motion to dismiss with prejudice and entered judgment in favor of Defendants. The lead plaintiff did not appeal the order.</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26, 2024, a purported shareholder derivative complaint was filed in the U.S. District Court for the Northern District of California. The complaint named as defendants certain of the Company’s former and current officers and directors, as well as the Company as nominal defendant, and asserted state and federal claims based on some of the same alleged misstatements as the securities class action complaint described above. The complaint sought unspecified damages, attorneys’ fees, and other costs. On January 7, 2026, the lawsuit was dismissed.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Litigation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28, 2024 and October 29, 2024, two class action complaints were filed in the Delaware Court of Chancery against the Company, certain of the Company’s former officers, certain of the former officers and directors of the special purpose acquisition company KVSB into which the Company merged on November 5, 2021, the sponsor of the Company’s special purpose acquisition merger Khosla Ventures SPAC Sponsor II LLC (the “Sponsor”), and certain entities allegedly related to the Sponsor. The two complaints were consolidated on December 6, 2024 and the plaintiffs filed a consolidated complaint on December 26, 2024. The consolidated complaint is brought on behalf of a class of KVSB stockholders who could have, but did not, choose to redeem their KVSB shares in connection with the November 5, 2021 merger between KVSB and the Company. The consolidated complaint alleges that defendants breached various duties to KVSB stockholders by making false or misleading statements and/or aided and abetted such breaches. The consolidated complaint also alleges claims for unjust enrichment. The consolidated complaint seeks damages, disgorgement, attorneys’ fees, and other costs. Defendants answered the consolidated complaint on February 10, 2025, following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which discovery commenced. Defendants’ motion for judgment on the pleadings is currently pending before the Court. 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years ended December 31, 2025, 2024 and 2023, the Company did not incur material costs to defend lawsuits or settle claims related to these indemnifications. The Company believes the fair value of these liabilities is not material and accordingly has no liabilities recorded for these agreements as of December 31, 2025 and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50,000,000 shares of preferred stock with a par value of $0.0001 per share with such designations, voting, and other rights and preferences as may be determined from time to time by the Company's Board of Directors. As of December 31, 2025 and 2024, there were no shares of preferred stock issued or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authorized to issue 2,500,000,000 shares of Class A common stock and 500,000,000 shares of Class B common stock as of December 31, 2025 and 2024. The rights, including the liquidation and dividend rights, of the Class A common stock and Class B common stock are substantially identical, other than voting and conversion rights. The holder of each share of Class A common stock is entitled to one vote per share and the holder of each share of Class B common stock is entitled to ten votes per share. Shares of Class B common stock are convertible into an equivalent number of shares of Class A common stock at the option of the holder or upon certain events upon the terms and conditions described in the Company’s amended and restated certificate of incorporation. Class A common stock and Class B common stock are referred to, collectively, as common stock throughout the notes to these consolidated financial statements, unless otherwise indicated. Shares of common stock reserved for future issuance on an as-converted basis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8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12,914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(RSUs)</w:t>
            </w:r>
          </w:p>
        </w:tc>
        <w:tc>
          <w:tcPr>
            <w:tcW w:w="1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47,101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future award issuances</w:t>
            </w:r>
          </w:p>
        </w:tc>
        <w:tc>
          <w:tcPr>
            <w:tcW w:w="13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35,424</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95,439</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103,632</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RSUs.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subject to awards granted under the 2018 Plan prior to the Closing that, after the Closing, otherwise terminate without such shares being issued, and</w:t>
      </w:r>
    </w:p>
    <w:p>
      <w:pPr>
        <w:spacing w:after="0" w:line="27" w:lineRule="exact"/>
        <w:rPr>
          <w:sz w:val="20"/>
          <w:szCs w:val="20"/>
          <w:color w:val="auto"/>
        </w:rPr>
      </w:pPr>
    </w:p>
    <w:p>
      <w:pPr>
        <w:jc w:val="both"/>
        <w:ind w:firstLine="8"/>
        <w:spacing w:after="0" w:line="253"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years ended December 31, 2025 and 2024, 798,985 and 709,637 shares of Class A common stock were purchased under the 2021 ESPP,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Share Repurchase Program does not obligate the Company to repurchase any dollar amount or number of shares, and the program may be extended, modified, suspended, or discontinued at any time. On February 21, 2024, the Company’s Board of Directors authorized and approved an increase of $150.0 million to the Share Repurchase Program and extended the expiration date to March 31, 2026.</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and retired 10,874,916 shares of Class A common stock at an average purchase price of $1.73 per share for an aggregate repurchase price of $18.8 million. During the year ended December 31, 2024, the Company repurchased and retired 30,969,572 shares of Class A common stock at an average purchase price of $2.44 per share for an aggregate repurchase price of $75.5 million. As of December 31, 2025, the Company had $78.4 million available for future share repurchases under the Share Repurchase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RSUs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for the year ended December 31, 2025 and related information is as follows (in thousands, except per share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5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194"/>
        </w:trPr>
        <w:tc>
          <w:tcPr>
            <w:tcW w:w="5540" w:type="dxa"/>
            <w:vAlign w:val="bottom"/>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December 31,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exercise price of the underlying common stock option award and the fair value of the Company’s common stock as of the respective balance sheet date. No options were granted during the year ended December 31, 2025. The weighted average grant date fair value of options granted was $1.23 per share and $1.32 per share during the years ended December 31, 2024 and 2023, respectively.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intrinsic value of the options exercised was $0.6 million, $10.8 million and $2.2 million for the years ended December 31, 2025, 2024 and 2023, respectively.</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 summary of the Company’s RSU activity for the year ended December 31, 2025 and related information is as follows (in thousands, except per share data):</w:t>
      </w:r>
    </w:p>
    <w:tbl>
      <w:tblPr>
        <w:tblLayout w:type="fixed"/>
        <w:tblInd w:w="0" w:type="dxa"/>
        <w:tblCellMar>
          <w:top w:w="0" w:type="dxa"/>
          <w:left w:w="0" w:type="dxa"/>
          <w:bottom w:w="0" w:type="dxa"/>
          <w:right w:w="0" w:type="dxa"/>
        </w:tblCellMar>
      </w:tblPr>
      <w:tr>
        <w:trPr>
          <w:trHeight w:val="147"/>
        </w:trPr>
        <w:tc>
          <w:tcPr>
            <w:tcW w:w="8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7"/>
        </w:trPr>
        <w:tc>
          <w:tcPr>
            <w:tcW w:w="8440" w:type="dxa"/>
            <w:vAlign w:val="bottom"/>
          </w:tcPr>
          <w:p>
            <w:pPr>
              <w:spacing w:after="0"/>
              <w:rPr>
                <w:sz w:val="11"/>
                <w:szCs w:val="11"/>
                <w:color w:val="auto"/>
              </w:rPr>
            </w:pPr>
          </w:p>
        </w:tc>
        <w:tc>
          <w:tcPr>
            <w:tcW w:w="13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360" w:type="dxa"/>
            <w:vAlign w:val="bottom"/>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rPr>
              <w:t>42,891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36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rPr>
              <w:t>45,418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vested</w:t>
            </w:r>
          </w:p>
        </w:tc>
        <w:tc>
          <w:tcPr>
            <w:tcW w:w="13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7"/>
              </w:rPr>
              <w:t>(25,973)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360" w:type="dxa"/>
            <w:vAlign w:val="bottom"/>
            <w:tcBorders>
              <w:bottom w:val="single" w:sz="8" w:color="auto"/>
            </w:tcBorders>
          </w:tcPr>
          <w:p>
            <w:pPr>
              <w:jc w:val="center"/>
              <w:ind w:left="593"/>
              <w:spacing w:after="0"/>
              <w:rPr>
                <w:sz w:val="20"/>
                <w:szCs w:val="20"/>
                <w:color w:val="auto"/>
              </w:rPr>
            </w:pPr>
            <w:r>
              <w:rPr>
                <w:rFonts w:ascii="Times New Roman" w:cs="Times New Roman" w:eastAsia="Times New Roman" w:hAnsi="Times New Roman"/>
                <w:sz w:val="18"/>
                <w:szCs w:val="18"/>
                <w:color w:val="auto"/>
                <w:w w:val="97"/>
              </w:rPr>
              <w:t>(15,235)</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360" w:type="dxa"/>
            <w:vAlign w:val="bottom"/>
            <w:tcBorders>
              <w:bottom w:val="single" w:sz="8" w:color="auto"/>
            </w:tcBorders>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rPr>
              <w:t>47,101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PSUs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2024, the Company granted its Chief Executive Officer a market-based performance stock unit (“PSU”) award of 5,010,020 shares of the Company’s Class A common stock. In March 2025, the Company granted its Chief Executive Officer a similar market-based PSU award of 722,005 shares. In August 2025, the Company granted another market-based PSU award of 947,867 shares to an executive officer with the same performance metrics and vesting conditions as the March 2025 PSU. For all awards, the PSUs will vest based on stock price targets achieved over a four-year period, and any PSUs that have not vested at the end of the applicable performance period will be forfeited. Vesting is subject to the grantees’ continuous employment with the Company, as well as other customary provisions pursuant to the Company’s 2021 Plan. The aggregate grant date fair value of the 2025 and 2024 PSUs was $2.6 million and $9.3 million, respectively, calculated using a Monte Carlo simulation model and recognized over the respective derived service periods using the graded-vesting method. Compensation cost is not adjusted in future periods for subsequent changes in the expected outcome of market-related conditions. For the year ended December 31, 2025, the Company recognized $4.1 million of stock-based compensation expense in connection with these awards.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market-based PSUs made during the following periods: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46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- 66.7%</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66.8%</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- 4.9</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- 4.1%</w:t>
            </w: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consolidated statements of operations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43,619</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23,657</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65,343</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$72.3 million of unrecognized stock-based compensation expense, which is expected to be recognized over a weighted average period of 2.0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 Attributable to Common Stockholders</w:t>
      </w:r>
    </w:p>
    <w:p>
      <w:pPr>
        <w:spacing w:after="0" w:line="1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per share data):</w:t>
      </w: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color w:val="auto"/>
              </w:rPr>
              <w:t>Class B</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(33,464)</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(47,066)</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(65,975)</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(81,790)</w:t>
            </w:r>
          </w:p>
        </w:tc>
        <w:tc>
          <w:tcPr>
            <w:tcW w:w="0" w:type="dxa"/>
            <w:vAlign w:val="bottom"/>
          </w:tcPr>
          <w:p>
            <w:pPr>
              <w:spacing w:after="0"/>
              <w:rPr>
                <w:sz w:val="1"/>
                <w:szCs w:val="1"/>
                <w:color w:val="auto"/>
              </w:rPr>
            </w:pPr>
          </w:p>
        </w:tc>
      </w:tr>
      <w:tr>
        <w:trPr>
          <w:trHeight w:val="184"/>
        </w:trPr>
        <w:tc>
          <w:tcPr>
            <w:tcW w:w="3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shares used in computing</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net loss per share attributable to Class A</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and Class B common stockholders, basic</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200,277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209,923</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loss per share attributable to Class A and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Class B common stockholders, basic and</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34"/>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net loss per share because such securities have an anti-dilutive impact due to losses reported (in thousands):</w:t>
      </w: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13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21,011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rPr>
              <w:t>47,858</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w:t>
            </w:r>
          </w:p>
        </w:tc>
        <w:tc>
          <w:tcPr>
            <w:tcW w:w="1500" w:type="dxa"/>
            <w:vAlign w:val="bottom"/>
            <w:gridSpan w:val="3"/>
          </w:tcPr>
          <w:p>
            <w:pPr>
              <w:jc w:val="center"/>
              <w:ind w:left="879"/>
              <w:spacing w:after="0"/>
              <w:rPr>
                <w:sz w:val="20"/>
                <w:szCs w:val="20"/>
                <w:color w:val="auto"/>
              </w:rPr>
            </w:pPr>
            <w:r>
              <w:rPr>
                <w:rFonts w:ascii="Times New Roman" w:cs="Times New Roman" w:eastAsia="Times New Roman" w:hAnsi="Times New Roman"/>
                <w:sz w:val="18"/>
                <w:szCs w:val="18"/>
                <w:color w:val="auto"/>
              </w:rPr>
              <w:t>42,891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33,515</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employee stock purchase plan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500" w:type="dxa"/>
            <w:vAlign w:val="bottom"/>
            <w:gridSpan w:val="3"/>
            <w:shd w:val="clear" w:color="auto" w:fill="CCEEFF"/>
          </w:tcPr>
          <w:p>
            <w:pPr>
              <w:jc w:val="center"/>
              <w:ind w:left="859"/>
              <w:spacing w:after="0"/>
              <w:rPr>
                <w:sz w:val="20"/>
                <w:szCs w:val="20"/>
                <w:color w:val="auto"/>
              </w:rPr>
            </w:pPr>
            <w:r>
              <w:rPr>
                <w:rFonts w:ascii="Times New Roman" w:cs="Times New Roman" w:eastAsia="Times New Roman" w:hAnsi="Times New Roman"/>
                <w:sz w:val="18"/>
                <w:szCs w:val="18"/>
                <w:color w:val="auto"/>
                <w:w w:val="98"/>
              </w:rPr>
              <w:t>1,368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8"/>
              </w:rPr>
              <w:t>1,828</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65,270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left="454"/>
              <w:spacing w:after="0"/>
              <w:rPr>
                <w:sz w:val="20"/>
                <w:szCs w:val="20"/>
                <w:color w:val="auto"/>
              </w:rPr>
            </w:pPr>
            <w:r>
              <w:rPr>
                <w:rFonts w:ascii="Times New Roman" w:cs="Times New Roman" w:eastAsia="Times New Roman" w:hAnsi="Times New Roman"/>
                <w:sz w:val="18"/>
                <w:szCs w:val="18"/>
                <w:color w:val="auto"/>
              </w:rPr>
              <w:t>83,201</w:t>
            </w:r>
          </w:p>
        </w:tc>
      </w:tr>
      <w:tr>
        <w:trPr>
          <w:trHeight w:val="20"/>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401(k) plan (the “401(k) Plan”) covering all eligible employees in the United States. The Company is allowed to make discretionary profit sharing and qualified non-elective contributions as defined by the 401(k) Plan and as approved by the Board of Directors. The Company matches a portion of eligible participants’ 401(k) contributions. The Company’s match totaled $1.4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million, $1.2 million and $1.7 million for the years ended December 31, 2025, 2024 and 2023, respectively. No discretionary profit-sharing contributions have been made to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 was as follows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6"/>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provides the updated requirements of ASU 2023-09 for the year ended December 31, 2025. See </w:t>
      </w:r>
      <w:r>
        <w:rPr>
          <w:rFonts w:ascii="Times New Roman" w:cs="Times New Roman" w:eastAsia="Times New Roman" w:hAnsi="Times New Roman"/>
          <w:sz w:val="18"/>
          <w:szCs w:val="18"/>
          <w:i w:val="1"/>
          <w:iCs w:val="1"/>
          <w:color w:val="auto"/>
        </w:rPr>
        <w:t>Note 2.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Policies—Recent accounting pronouncements </w:t>
      </w:r>
      <w:r>
        <w:rPr>
          <w:rFonts w:ascii="Times New Roman" w:cs="Times New Roman" w:eastAsia="Times New Roman" w:hAnsi="Times New Roman"/>
          <w:sz w:val="18"/>
          <w:szCs w:val="18"/>
          <w:color w:val="auto"/>
        </w:rPr>
        <w:t>for additional details on the adoption of ASU 2023-09.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differed from the amount computed by applying the federal statutory income tax rate to pretax loss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as a result of the following (in thousands,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 at U.S. Federal statutory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8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and local income tax, net of federal benefit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80" w:type="dxa"/>
            <w:vAlign w:val="bottom"/>
          </w:tcPr>
          <w:p>
            <w:pPr>
              <w:spacing w:after="0"/>
              <w:rPr>
                <w:sz w:val="19"/>
                <w:szCs w:val="19"/>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and equity compensation</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Unrecognized tax benefit and related items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tax provision and effective tax rate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State taxes in Texas made up the majority of this category.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effective tax rate of 3.1% for the year ended December 31, 2025 was primarily driven by the full valuation allowance, stock-based compensation, research and development credits, and foreign tax effects.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effective income tax rate differs from the statutory Federal income tax rate as follows:</w:t>
      </w: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5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1"/>
        </w:trPr>
        <w:tc>
          <w:tcPr>
            <w:tcW w:w="8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were 0.7% and 0.5% for the years ended December 31, 2024 and 2023, respectively. The effective tax rates for these periods were primarily driven by the full valuation allowance, stock-based compensation, research and development credits, and foreign tax effects.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effects of significant items comprising the Company’s deferred taxes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144,432</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128,783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carryforwards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0" w:type="dxa"/>
            <w:vAlign w:val="bottom"/>
          </w:tcPr>
          <w:p>
            <w:pPr>
              <w:spacing w:after="0"/>
              <w:rPr>
                <w:sz w:val="1"/>
                <w:szCs w:val="1"/>
                <w:color w:val="auto"/>
              </w:rPr>
            </w:pPr>
          </w:p>
        </w:tc>
      </w:tr>
      <w:tr>
        <w:trPr>
          <w:trHeight w:val="24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w:t>
            </w:r>
          </w:p>
        </w:tc>
        <w:tc>
          <w:tcPr>
            <w:tcW w:w="0" w:type="dxa"/>
            <w:vAlign w:val="bottom"/>
          </w:tcPr>
          <w:p>
            <w:pPr>
              <w:spacing w:after="0"/>
              <w:rPr>
                <w:sz w:val="1"/>
                <w:szCs w:val="1"/>
                <w:color w:val="auto"/>
              </w:rPr>
            </w:pPr>
          </w:p>
        </w:tc>
      </w:tr>
      <w:tr>
        <w:trPr>
          <w:trHeight w:val="189"/>
        </w:trPr>
        <w:tc>
          <w:tcPr>
            <w:tcW w:w="8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0" w:type="dxa"/>
            <w:vAlign w:val="bottom"/>
          </w:tcPr>
          <w:p>
            <w:pPr>
              <w:spacing w:after="0"/>
              <w:rPr>
                <w:sz w:val="1"/>
                <w:szCs w:val="1"/>
                <w:color w:val="auto"/>
              </w:rPr>
            </w:pPr>
          </w:p>
        </w:tc>
      </w:tr>
      <w:tr>
        <w:trPr>
          <w:trHeight w:val="189"/>
        </w:trPr>
        <w:tc>
          <w:tcPr>
            <w:tcW w:w="8440" w:type="dxa"/>
            <w:vAlign w:val="bottom"/>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201,367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191,890</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(187,437)</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ROU asset basis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23"/>
        </w:trPr>
        <w:tc>
          <w:tcPr>
            <w:tcW w:w="8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available objective evidence, it is more likely than not that the U.S. net deferred tax assets will not be realized. Accordingly, the Company has established a full valuation allowance for its U.S. net deferred tax assets. The valuation allowance increased by $10.9 million and $5.6 million, respectively, during 2025 and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valuation allowance considered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150,294</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Charged to expenses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31,590</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198,364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181,884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carryforwards of $583.9 million, which begin to expire in 2028, and state net operating loss carryforwards of $365.5 million, which begin to expire in 2026. Of the $583.9 million U.S. federal net operating losses $404.8 million is carried forward indefinitely but is limited to 80% of current year taxable income. As of December 31, 2025, the Company had federal tax credits of $18.5 million, which begin to expire in 2028, and state tax credits of $10.2 million, which do not expire. The Internal Revenue Code (“IRC”) limits the amount of net operating loss carryforwards that a company may use in a given year in the event of certain cumulative changes in ownership over a three-year period as described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382 of the IRC. Utilization of net operating loss carryforwards and credits may be subject to annual limitation due to the ownership change limitations provided by the IRC, as amended, and similar state provisions. The annual limitation may result in the expiration of net operating losses and credits before utilization.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uncertainty in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Tax positions are evaluated in a two-step process, whereby the Company first determines whether it is more likely than not that a tax position will be sustained upon examination by the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unrecognized tax benefit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 beginning of year</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 end of year</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the Company's unrecognized tax benefits that would affect the Company's effective tax rate, if recognized, is $0.4 million.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net operating losses in the United States federal and various state jurisdictions for which the tax years beginning in 2007 are open to examination by applicable taxing authorities.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during the year ended December 31, 2025 were $0.5 million, consisting primarily of foreign and state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and Geographical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one reportable and operating segment. The Company’s CODM is its CEO, who reviews financial information presented on a consolidated basis for purposes of making operating decisions, assessing financial performance, and allocating resources. Net loss is the Company’s primary measure of profit or loss. Cost of revenue, research and development, sales and marketing, and general and administrative expenses are considered significant segment expenses and are reflected in the consolidated statement of operations. Other segment items included in consolidated net loss are interest income, other income (expense), net and the provision for income taxes, which are also reflected in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geography based on the customers’ location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206,484</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257,646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Restructuring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2025, the Company announced a cost reduction plan intended to right size the business and align the workforce and other expenses with Nextdoor’s business priorities. The execution of the cost reduction plan was substantially complete by the end of the third quarter of 2025.</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year ended December 31, 2025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tc>
        <w:tc>
          <w:tcPr>
            <w:tcW w:w="580" w:type="dxa"/>
            <w:vAlign w:val="bottom"/>
          </w:tcPr>
          <w:p>
            <w:pPr>
              <w:spacing w:after="0"/>
              <w:rPr>
                <w:sz w:val="16"/>
                <w:szCs w:val="16"/>
                <w:color w:val="auto"/>
              </w:rPr>
            </w:pPr>
          </w:p>
        </w:tc>
        <w:tc>
          <w:tcPr>
            <w:tcW w:w="18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and remaining charges under the Company’s cost reduction plan were immaterial as of December 31, 2025, and were included in accrued expenses and other current liabilities on the consolidated balance sheets.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the Company performed a restructuring intended to refocus the Company for future growth. The plan impacted 38 of the Company’s full-time employees. The Company incurred one-time charges of $2.8 million in connection with the plan, consisting primarily of cash expenditures for severance payments, employee benefits, and related costs. The execution of the plan was substantially complete by the end of the second quarter of 2024. In addition, in June 2024 the Company ceased occupying and abandoned certain floors of its leased headquarters in San Francisco in order to adjust its office space footprint to better align with the needs of its work model. As a result, the Company recorded impairment charges of $22.8 million for the related operating lease right-of-use assets, leasehold improvements and furniture and fixtures.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year ended December 31, 2024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Office Space Reductions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8"/>
                <w:szCs w:val="18"/>
                <w:color w:val="auto"/>
              </w:rPr>
            </w:pP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580" w:type="dxa"/>
            <w:vAlign w:val="bottom"/>
          </w:tcPr>
          <w:p>
            <w:pPr>
              <w:spacing w:after="0"/>
              <w:rPr>
                <w:sz w:val="18"/>
                <w:szCs w:val="18"/>
                <w:color w:val="auto"/>
              </w:rPr>
            </w:pPr>
          </w:p>
        </w:tc>
        <w:tc>
          <w:tcPr>
            <w:tcW w:w="18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25,578</w:t>
            </w:r>
          </w:p>
        </w:tc>
      </w:tr>
      <w:tr>
        <w:trPr>
          <w:trHeight w:val="20"/>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Office space reductions are primarily non-cash and include impairment charges related to operating lease right-of-use assets, leasehold improvements and furniture and fixtures.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2023, the Company announced a cost reduction plan intended to right-size the business and align the workforce and other expenses with Nextdoor’s near term revenue expectations and long term business priorities. The cost reduction plan included a reduction of the Company’s full-time employee headcount by approximately 25%. The execution of the cost reduction plan was substantially complete by the end of the fourth quarter of 2023.</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year ended 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tc>
        <w:tc>
          <w:tcPr>
            <w:tcW w:w="580" w:type="dxa"/>
            <w:vAlign w:val="bottom"/>
          </w:tcPr>
          <w:p>
            <w:pPr>
              <w:spacing w:after="0"/>
              <w:rPr>
                <w:sz w:val="16"/>
                <w:szCs w:val="16"/>
                <w:color w:val="auto"/>
              </w:rPr>
            </w:pPr>
          </w:p>
        </w:tc>
        <w:tc>
          <w:tcPr>
            <w:tcW w:w="18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11,099</w:t>
            </w: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Annual Report, and have concluded that, based on such evaluation, our disclosure controls and procedures were effective as of December 31, 2025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the assessment, management has concluded that its internal control over financial reporting was effective as of December 31, 2025 to provide reasonable assurance regarding the reliability of financial reporting and the preparation of financial statements in accordance with U.S. GAAP. Our independent registered public accounting firm, Ernst &amp; Young LLP, has issued an audit report with respect to our internal control over financial reporting, which appears in Part II, Item 8 of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Annual Report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Disclosure Controls and Procedures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officers (as defined in Rule 16a-1(f) under the Exchange Act) (“Section 16 officers”) are only permitted to trade in our securities pursuant to a prearranged trading plan intended to satisfy the affirmative defense of Rule 10b5-1(c) under the Exchange Act (a “Rule 10b5-1 Plan”). During the three months ended December 31, 2025, none of our Section 16 officers or our directors adopted or terminated a Rule 10b5-1 Plan.</w:t>
      </w:r>
    </w:p>
    <w:p>
      <w:pPr>
        <w:spacing w:after="0" w:line="118" w:lineRule="exact"/>
        <w:rPr>
          <w:sz w:val="20"/>
          <w:szCs w:val="20"/>
          <w:color w:val="auto"/>
        </w:rPr>
      </w:pPr>
    </w:p>
    <w:p>
      <w:pPr>
        <w:ind w:right="528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will be included in our Proxy Statement for the 2026 Annual Meeting of Stockholders, to be filed with the SEC within 120 days of the fiscal year ended December 31, 2025,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other dispositions of our securities by directors, officers and employees. Our Insider Trading Policy also provides that we will not transact in any of our own securities unless in compliance with U.S. securities laws. We believe that our Insider Trading Policy is reasonably designed to promote compliance with insider trading laws, rules and regulations, and the NYSE listing standards applicable to us. A copy of our Insider Trading Policy is filed as Exhibit 19.1 to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2026 Annual Meeting of Stockholders, to be filed with the SEC within 120 days of the fiscal year ended December 31, 2025,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2026 Annual Meeting of Stockholders, to be filed with the SEC within 120 days of the fiscal year ended December 31, 2025,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2026 Annual Meeting of Stockholders, to be filed with the SEC within 120 days of the fiscal year ended December 31, 2025,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2026 Annual Meeting of Stockholders, to be filed with the SEC within 120 days of the fiscal year ended December 31, 2025,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0" w:lineRule="exact"/>
        <w:rPr>
          <w:sz w:val="20"/>
          <w:szCs w:val="20"/>
          <w:color w:val="auto"/>
        </w:rPr>
      </w:pPr>
    </w:p>
    <w:p>
      <w:pPr>
        <w:spacing w:after="0" w:line="367" w:lineRule="exact"/>
        <w:rPr>
          <w:sz w:val="20"/>
          <w:szCs w:val="20"/>
          <w:color w:val="auto"/>
        </w:rPr>
      </w:pPr>
    </w:p>
    <w:p>
      <w:pPr>
        <w:ind w:right="6960" w:firstLine="8"/>
        <w:spacing w:after="0" w:line="516"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 1.Financial Statements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Financial Statements under Part II, Item 8 of this Annual Report.</w:t>
      </w:r>
    </w:p>
    <w:p>
      <w:pPr>
        <w:spacing w:after="0" w:line="2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2.Financial Statement Schedules</w:t>
      </w:r>
    </w:p>
    <w:p>
      <w:pPr>
        <w:spacing w:after="0" w:line="238" w:lineRule="exact"/>
        <w:rPr>
          <w:rFonts w:ascii="Times New Roman" w:cs="Times New Roman" w:eastAsia="Times New Roman" w:hAnsi="Times New Roman"/>
          <w:sz w:val="18"/>
          <w:szCs w:val="18"/>
          <w:color w:val="auto"/>
        </w:rPr>
      </w:pPr>
    </w:p>
    <w:p>
      <w:pPr>
        <w:ind w:right="1040"/>
        <w:spacing w:after="0" w:line="5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not listed above have been omitted because they are not required, not applicable, or the required information is otherwise included. 3.Exhibits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below are filed as part of this Annual Report or are incorporated herein by reference as indicated.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360" w:type="dxa"/>
            <w:vAlign w:val="bottom"/>
            <w:gridSpan w:val="19"/>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19"/>
            <w:vMerge w:val="continue"/>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600" w:type="dxa"/>
            <w:vAlign w:val="bottom"/>
            <w:tcBorders>
              <w:top w:val="single" w:sz="8" w:color="auto"/>
            </w:tcBorders>
            <w:gridSpan w:val="25"/>
          </w:tcPr>
          <w:p>
            <w:pPr>
              <w:spacing w:after="0" w:line="18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Certificate of Incorporation of Nextdoor Holdings,</w:t>
              </w:r>
            </w:hyperlink>
          </w:p>
        </w:tc>
        <w:tc>
          <w:tcPr>
            <w:tcW w:w="8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21, 2024</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Inc.</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Amended and Restated Bylaws of Nextdoor Holdings, Inc.</w:t>
              </w:r>
            </w:hyperlink>
          </w:p>
        </w:tc>
        <w:tc>
          <w:tcPr>
            <w:tcW w:w="1420" w:type="dxa"/>
            <w:vAlign w:val="bottom"/>
            <w:gridSpan w:val="14"/>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2022</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Specimen Class A Common Stock Certificate of Nextdoor Holdings, Inc.</w:t>
              </w:r>
            </w:hyperlink>
          </w:p>
        </w:tc>
        <w:tc>
          <w:tcPr>
            <w:tcW w:w="380" w:type="dxa"/>
            <w:vAlign w:val="bottom"/>
            <w:gridSpan w:val="8"/>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Description of Registrant’s Securities</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Amended and Restated Registration Rights Agreement, dated November 5,</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2021, by and among Nextdoor Holdings, Inc. and the other parties thereto</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Borders>
              <w:top w:val="single" w:sz="8" w:color="0000FF"/>
            </w:tcBorders>
            <w:gridSpan w:val="19"/>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2008 Equity Incentive Plan of Nextdoor, Inc.</w:t>
              </w:r>
            </w:hyperlink>
          </w:p>
        </w:tc>
        <w:tc>
          <w:tcPr>
            <w:tcW w:w="360" w:type="dxa"/>
            <w:vAlign w:val="bottom"/>
            <w:gridSpan w:val="7"/>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Early Exercise Stock Option Grant under the 2008 Equity Incentive</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Plan</w:t>
              </w:r>
            </w:hyperlink>
          </w:p>
        </w:tc>
        <w:tc>
          <w:tcPr>
            <w:tcW w:w="16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Stock Option Grant under the 2008 Equity Incentive Plan of</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Nextdoor, Inc.</w:t>
              </w:r>
            </w:hyperlink>
          </w:p>
        </w:tc>
        <w:tc>
          <w:tcPr>
            <w:tcW w:w="3920" w:type="dxa"/>
            <w:vAlign w:val="bottom"/>
            <w:tcBorders>
              <w:top w:val="single" w:sz="8" w:color="0000FF"/>
            </w:tcBorders>
            <w:gridSpan w:val="10"/>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2018 Equity Incentive Plan of Nextdoor, Inc.</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Early Exercise Stock Option Grant under the 2018 Equity Incentive</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Plan of Nextdoor, Inc.</w:t>
              </w:r>
            </w:hyperlink>
          </w:p>
        </w:tc>
        <w:tc>
          <w:tcPr>
            <w:tcW w:w="16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Stock Option Grant under the 2018 Equity Incentive Plan of</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Nextdoor, Inc.</w:t>
              </w:r>
            </w:hyperlink>
          </w:p>
        </w:tc>
        <w:tc>
          <w:tcPr>
            <w:tcW w:w="3920" w:type="dxa"/>
            <w:vAlign w:val="bottom"/>
            <w:tcBorders>
              <w:top w:val="single" w:sz="8" w:color="0000FF"/>
            </w:tcBorders>
            <w:gridSpan w:val="10"/>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Restricted Stock Unit Award Agreement under the 2018 Equity</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Incentive Plan of Nextdoor, Inc.</w:t>
              </w:r>
            </w:hyperlink>
          </w:p>
        </w:tc>
        <w:tc>
          <w:tcPr>
            <w:tcW w:w="288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Nextdoor Holdings, Inc. 2021 Equity Incentive Plan</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Stock Option Agreement under Nextdoor Holdings, Inc. Equity</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Incentive Plan</w:t>
              </w:r>
            </w:hyperlink>
          </w:p>
        </w:tc>
        <w:tc>
          <w:tcPr>
            <w:tcW w:w="4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Restricted Stock Unit Award Agreement under Nextdoor Holdings,</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Inc. Equity Incentive Plan</w:t>
              </w:r>
            </w:hyperlink>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Nextdoor Holdings, Inc. 2021 Employee Stock Purchase Plan</w:t>
              </w:r>
            </w:hyperlink>
          </w:p>
        </w:tc>
        <w:tc>
          <w:tcPr>
            <w:tcW w:w="1220" w:type="dxa"/>
            <w:vAlign w:val="bottom"/>
            <w:gridSpan w:val="13"/>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Offer Letter, dated October 31, 2025, by and between Indrajit Ponnambalam</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Executive Offer Letter of Matt Anderson</w:t>
              </w:r>
            </w:hyperlink>
          </w:p>
        </w:tc>
        <w:tc>
          <w:tcPr>
            <w:tcW w:w="2540" w:type="dxa"/>
            <w:vAlign w:val="bottom"/>
            <w:tcBorders>
              <w:top w:val="single" w:sz="8" w:color="0000FF"/>
            </w:tcBorders>
            <w:gridSpan w:val="14"/>
          </w:tcPr>
          <w:p>
            <w:pPr>
              <w:spacing w:after="0"/>
              <w:rPr>
                <w:sz w:val="18"/>
                <w:szCs w:val="18"/>
                <w:color w:val="auto"/>
              </w:rPr>
            </w:pPr>
          </w:p>
        </w:tc>
        <w:tc>
          <w:tcPr>
            <w:tcW w:w="180" w:type="dxa"/>
            <w:vAlign w:val="bottom"/>
            <w:gridSpan w:val="3"/>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Advisor Agreement, dated September 1, 2025, by and between Nextdoor</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5, 2025</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Holdings, Inc. and Matthew Anderson</w:t>
              </w:r>
            </w:hyperlink>
          </w:p>
        </w:tc>
        <w:tc>
          <w:tcPr>
            <w:tcW w:w="420" w:type="dxa"/>
            <w:vAlign w:val="bottom"/>
            <w:gridSpan w:val="9"/>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Offer Letter, dated January 12, 2019, by and between Nextdoor Holdings,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Inc. and Craig Lisowski</w:t>
            </w:r>
          </w:p>
        </w:tc>
        <w:tc>
          <w:tcPr>
            <w:tcW w:w="36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Offer Letter, dated May 1, 2024, by and between Nextdoor Holdings, Inc.</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and Sophia Contreras Schwartz</w:t>
            </w:r>
          </w:p>
        </w:tc>
        <w:tc>
          <w:tcPr>
            <w:tcW w:w="304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820" w:type="dxa"/>
            <w:vAlign w:val="bottom"/>
            <w:gridSpan w:val="23"/>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Offer Letter, dated February 26, 2024, by and between Nextdoor Holdings,</w:t>
              </w:r>
            </w:hyperlink>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7, 2024</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Inc. and Nirav Tolia</w:t>
              </w:r>
            </w:hyperlink>
          </w:p>
        </w:tc>
        <w:tc>
          <w:tcPr>
            <w:tcW w:w="39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Offer Letter, dated December 20, 2024, by and between Nextdoor Holdings,</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50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Inc. and Michael Kiernan</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820" w:type="dxa"/>
            <w:vAlign w:val="bottom"/>
            <w:gridSpan w:val="23"/>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Indemnity Agreement</w:t>
              </w:r>
            </w:hyperlink>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820" w:type="dxa"/>
            <w:vAlign w:val="bottom"/>
            <w:gridSpan w:val="23"/>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Change in Control and Severance Agreement</w:t>
              </w:r>
            </w:hyperlink>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S-4</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10.23</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90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Insider Trading Policy</w:t>
              </w:r>
            </w:hyperlink>
          </w:p>
        </w:tc>
        <w:tc>
          <w:tcPr>
            <w:tcW w:w="1920" w:type="dxa"/>
            <w:vAlign w:val="bottom"/>
            <w:gridSpan w:val="13"/>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19.1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62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List of Subsidiaries</w:t>
              </w:r>
            </w:hyperlink>
          </w:p>
        </w:tc>
        <w:tc>
          <w:tcPr>
            <w:tcW w:w="4200" w:type="dxa"/>
            <w:vAlign w:val="bottom"/>
            <w:gridSpan w:val="19"/>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21.1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6"/>
              </w:rPr>
              <w:t>firm</w:t>
            </w:r>
          </w:p>
        </w:tc>
        <w:tc>
          <w:tcPr>
            <w:tcW w:w="50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Power of Attorney (reference is made to the signature page thereto)</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4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w:t>
            </w:r>
          </w:p>
        </w:tc>
        <w:tc>
          <w:tcPr>
            <w:tcW w:w="380" w:type="dxa"/>
            <w:vAlign w:val="bottom"/>
            <w:gridSpan w:val="4"/>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5820" w:type="dxa"/>
            <w:vAlign w:val="bottom"/>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15d-14(a) under the Exchange Act, as adopted pursuant to Section 302 of the</w:t>
            </w: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556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40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15d-14(a) under the Exchange Act, as adopted pursuant to Section 302 of</w:t>
            </w:r>
          </w:p>
        </w:tc>
        <w:tc>
          <w:tcPr>
            <w:tcW w:w="42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the</w:t>
            </w: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556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vMerge w:val="continue"/>
          </w:tcPr>
          <w:p>
            <w:pPr>
              <w:spacing w:after="0"/>
              <w:rPr>
                <w:sz w:val="18"/>
                <w:szCs w:val="18"/>
                <w:color w:val="auto"/>
              </w:rPr>
            </w:pPr>
          </w:p>
        </w:tc>
        <w:tc>
          <w:tcPr>
            <w:tcW w:w="5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460" w:type="dxa"/>
            <w:vAlign w:val="bottom"/>
            <w:gridSpan w:val="8"/>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820" w:type="dxa"/>
            <w:vAlign w:val="bottom"/>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 2002</w:t>
            </w: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52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w:t>
            </w:r>
          </w:p>
        </w:tc>
        <w:tc>
          <w:tcPr>
            <w:tcW w:w="200" w:type="dxa"/>
            <w:vAlign w:val="bottom"/>
            <w:tcBorders>
              <w:top w:val="single" w:sz="8" w:color="0000FF"/>
            </w:tcBorders>
            <w:gridSpan w:val="8"/>
          </w:tcPr>
          <w:p>
            <w:pPr>
              <w:spacing w:after="0"/>
              <w:rPr>
                <w:sz w:val="19"/>
                <w:szCs w:val="19"/>
                <w:color w:val="auto"/>
              </w:rPr>
            </w:pPr>
          </w:p>
        </w:tc>
        <w:tc>
          <w:tcPr>
            <w:tcW w:w="340" w:type="dxa"/>
            <w:vAlign w:val="bottom"/>
            <w:gridSpan w:val="3"/>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820" w:type="dxa"/>
            <w:vAlign w:val="bottom"/>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 2002</w:t>
            </w: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548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Compensation Recovery Policy</w:t>
              </w:r>
            </w:hyperlink>
          </w:p>
        </w:tc>
        <w:tc>
          <w:tcPr>
            <w:tcW w:w="340" w:type="dxa"/>
            <w:vAlign w:val="bottom"/>
            <w:gridSpan w:val="3"/>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97.1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2/27/2024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80" w:type="dxa"/>
            <w:vAlign w:val="bottom"/>
            <w:gridSpan w:val="9"/>
            <w:shd w:val="clear" w:color="auto" w:fill="0000FF"/>
          </w:tcPr>
          <w:p>
            <w:pPr>
              <w:spacing w:after="0" w:line="20" w:lineRule="exact"/>
              <w:rPr>
                <w:sz w:val="1"/>
                <w:szCs w:val="1"/>
                <w:color w:val="auto"/>
              </w:rPr>
            </w:pPr>
          </w:p>
        </w:tc>
        <w:tc>
          <w:tcPr>
            <w:tcW w:w="354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Date File (formatted in iXBRL and contained in</w:t>
            </w: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5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17" w:lineRule="exact"/>
        <w:rPr>
          <w:sz w:val="20"/>
          <w:szCs w:val="20"/>
          <w:color w:val="auto"/>
        </w:rPr>
      </w:pPr>
    </w:p>
    <w:p>
      <w:pPr>
        <w:ind w:right="6100" w:firstLine="8"/>
        <w:spacing w:after="0" w:line="259" w:lineRule="auto"/>
        <w:tabs>
          <w:tab w:leader="none" w:pos="29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contract or arrangement. * Filed herewith.</w:t>
      </w:r>
    </w:p>
    <w:p>
      <w:pPr>
        <w:ind w:left="340" w:right="20" w:hanging="324"/>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690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NEXTDOOR HOLDINGS, INC.</w:t>
            </w:r>
          </w:p>
        </w:tc>
      </w:tr>
      <w:tr>
        <w:trPr>
          <w:trHeight w:val="45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29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Nirav Tolia</w:t>
            </w:r>
          </w:p>
        </w:tc>
      </w:tr>
      <w:tr>
        <w:trPr>
          <w:trHeight w:val="218"/>
        </w:trPr>
        <w:tc>
          <w:tcPr>
            <w:tcW w:w="4180" w:type="dxa"/>
            <w:vAlign w:val="bottom"/>
          </w:tcPr>
          <w:p>
            <w:pPr>
              <w:spacing w:after="0"/>
              <w:rPr>
                <w:sz w:val="18"/>
                <w:szCs w:val="18"/>
                <w:color w:val="auto"/>
              </w:rPr>
            </w:pPr>
          </w:p>
        </w:tc>
        <w:tc>
          <w:tcPr>
            <w:tcW w:w="29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Nirav Tolia</w:t>
            </w:r>
          </w:p>
        </w:tc>
      </w:tr>
      <w:tr>
        <w:trPr>
          <w:trHeight w:val="180"/>
        </w:trPr>
        <w:tc>
          <w:tcPr>
            <w:tcW w:w="4180" w:type="dxa"/>
            <w:vAlign w:val="bottom"/>
          </w:tcPr>
          <w:p>
            <w:pPr>
              <w:spacing w:after="0"/>
              <w:rPr>
                <w:sz w:val="15"/>
                <w:szCs w:val="15"/>
                <w:color w:val="auto"/>
              </w:rPr>
            </w:pPr>
          </w:p>
        </w:tc>
        <w:tc>
          <w:tcPr>
            <w:tcW w:w="2940" w:type="dxa"/>
            <w:vAlign w:val="bottom"/>
          </w:tcPr>
          <w:p>
            <w:pPr>
              <w:ind w:left="22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Chief Executive Officer, President and Chairperson of</w:t>
            </w:r>
          </w:p>
        </w:tc>
      </w:tr>
      <w:tr>
        <w:trPr>
          <w:trHeight w:val="234"/>
        </w:trPr>
        <w:tc>
          <w:tcPr>
            <w:tcW w:w="41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Directors</w:t>
            </w: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Nirav Tolia and Indrajit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Ponnambalam, and each of them, as his or her true and lawful attorneys-in-fact, proxies and agents, each with full power of substitution and resubstitution, for him or her and in his or her name, place and stead, in any and all capacities, to sign any and all amendments to this report and to file the same, with any exhibits thereto and other documents in connection therewith, with the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in the capacities and on the dates indicated:</w:t>
      </w:r>
    </w:p>
    <w:p>
      <w:pPr>
        <w:sectPr>
          <w:pgSz w:w="11900" w:h="16838" w:orient="portrait"/>
          <w:cols w:equalWidth="0" w:num="1">
            <w:col w:w="11240"/>
          </w:cols>
          <w:pgMar w:left="320" w:top="121" w:right="339" w:bottom="1440" w:gutter="0" w:footer="0" w:header="0"/>
        </w:sectPr>
      </w:pPr>
    </w:p>
    <w:p>
      <w:pPr>
        <w:spacing w:after="0" w:line="142"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399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3"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 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399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Nirav Tolia</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7"/>
          <w:szCs w:val="17"/>
          <w:color w:val="auto"/>
        </w:rPr>
        <w:t>/s/ Indrajit Ponnambalam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399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8"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Indrajit Ponnambalam</w:t>
      </w:r>
    </w:p>
    <w:p>
      <w:pPr>
        <w:spacing w:after="0" w:line="171"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 Antoinette 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Antoinette How</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 Dana Evan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Dana Evan</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 J. William Gurley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J. William Gurley</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 Robert Hohman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Robert Hohman</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 Jason Pressman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Jason Pressman</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 Niraj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Niraj Shah</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 Elisa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Elisa Steele</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 David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David Sze</w:t>
      </w:r>
    </w:p>
    <w:p>
      <w:pPr>
        <w:spacing w:after="0" w:line="1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/s/ Chris Varelas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Chris Varelas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33655</wp:posOffset>
            </wp:positionV>
            <wp:extent cx="23488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President and</w:t>
      </w:r>
    </w:p>
    <w:p>
      <w:pPr>
        <w:ind w:left="20"/>
        <w:spacing w:after="0" w:line="219" w:lineRule="auto"/>
        <w:rPr>
          <w:sz w:val="20"/>
          <w:szCs w:val="20"/>
          <w:color w:val="auto"/>
        </w:rPr>
      </w:pPr>
      <w:r>
        <w:rPr>
          <w:rFonts w:ascii="Times New Roman" w:cs="Times New Roman" w:eastAsia="Times New Roman" w:hAnsi="Times New Roman"/>
          <w:sz w:val="18"/>
          <w:szCs w:val="18"/>
          <w:color w:val="auto"/>
        </w:rPr>
        <w:t>Chairperson of the Board of Directors</w:t>
      </w:r>
    </w:p>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jc w:val="center"/>
        <w:ind w:right="1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8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Chief Accounting Officer</w:t>
      </w:r>
    </w:p>
    <w:p>
      <w:pPr>
        <w:jc w:val="center"/>
        <w:ind w:right="10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5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33655</wp:posOffset>
            </wp:positionV>
            <wp:extent cx="23399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346" w:lineRule="exact"/>
        <w:rPr>
          <w:sz w:val="20"/>
          <w:szCs w:val="20"/>
          <w:color w:val="auto"/>
        </w:rPr>
      </w:pPr>
    </w:p>
    <w:p>
      <w:pPr>
        <w:sectPr>
          <w:pgSz w:w="11900" w:h="16838" w:orient="portrait"/>
          <w:cols w:equalWidth="0" w:num="3">
            <w:col w:w="3520" w:space="720"/>
            <w:col w:w="3780" w:space="720"/>
            <w:col w:w="25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21" w:right="3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616585</wp:posOffset>
            </wp:positionV>
            <wp:extent cx="2048510"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20485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Amresh Indrajit Ponnambalam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iponnambalam@gmail.com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Indrajit:</w:t>
      </w:r>
    </w:p>
    <w:p>
      <w:pPr>
        <w:spacing w:after="0" w:line="203"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20"/>
          <w:szCs w:val="20"/>
          <w:color w:val="auto"/>
        </w:rPr>
        <w:t>This letter agreement confirms our offer to you for the role of Chief Financial Officer and Treasurer (the “</w:t>
      </w: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of Nextdoor,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effective December 1, 2025. In your role as Chief Financial Officer and Treasurer of the Company you will report to the Company’s Chief Executive Officer.</w:t>
      </w:r>
    </w:p>
    <w:p>
      <w:pPr>
        <w:spacing w:after="0" w:line="200" w:lineRule="exact"/>
        <w:rPr>
          <w:sz w:val="20"/>
          <w:szCs w:val="20"/>
          <w:color w:val="auto"/>
        </w:rPr>
      </w:pPr>
    </w:p>
    <w:p>
      <w:pPr>
        <w:jc w:val="both"/>
        <w:ind w:firstLine="332"/>
        <w:spacing w:after="0" w:line="263" w:lineRule="auto"/>
        <w:tabs>
          <w:tab w:leader="none" w:pos="648" w:val="left"/>
        </w:tabs>
        <w:numPr>
          <w:ilvl w:val="0"/>
          <w:numId w:val="4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Cash Compensation</w:t>
      </w:r>
      <w:r>
        <w:rPr>
          <w:rFonts w:ascii="Times New Roman" w:cs="Times New Roman" w:eastAsia="Times New Roman" w:hAnsi="Times New Roman"/>
          <w:sz w:val="20"/>
          <w:szCs w:val="20"/>
          <w:color w:val="auto"/>
        </w:rPr>
        <w:t>. In this position, the Company will pay you an annual base salary of $550,000, subject to all applicable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withholdings, payable in accordance with the Company’s standard payroll schedule. Your pay will be periodically reviewed as a part of the Company’s regular reviews of compensation.</w:t>
      </w:r>
    </w:p>
    <w:p>
      <w:pPr>
        <w:spacing w:after="0" w:line="161" w:lineRule="exact"/>
        <w:rPr>
          <w:rFonts w:ascii="Times New Roman" w:cs="Times New Roman" w:eastAsia="Times New Roman" w:hAnsi="Times New Roman"/>
          <w:sz w:val="20"/>
          <w:szCs w:val="20"/>
          <w:b w:val="1"/>
          <w:bCs w:val="1"/>
          <w:color w:val="010000"/>
        </w:rPr>
      </w:pPr>
    </w:p>
    <w:p>
      <w:pPr>
        <w:jc w:val="both"/>
        <w:ind w:firstLine="332"/>
        <w:spacing w:after="0" w:line="270" w:lineRule="auto"/>
        <w:tabs>
          <w:tab w:leader="none" w:pos="648" w:val="left"/>
        </w:tabs>
        <w:numPr>
          <w:ilvl w:val="0"/>
          <w:numId w:val="4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Equity Awards</w:t>
      </w:r>
      <w:r>
        <w:rPr>
          <w:rFonts w:ascii="Times New Roman" w:cs="Times New Roman" w:eastAsia="Times New Roman" w:hAnsi="Times New Roman"/>
          <w:sz w:val="20"/>
          <w:szCs w:val="20"/>
          <w:color w:val="auto"/>
        </w:rPr>
        <w:t>. In connection with your appointment, you will be granted the following equity awards following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commencement of employment; provided that your PSU Award (defined below) will be granted concurrently with grants of PSU awards to the other members of the executive team in Q1 2026:</w:t>
      </w:r>
    </w:p>
    <w:p>
      <w:pPr>
        <w:spacing w:after="0" w:line="182" w:lineRule="exact"/>
        <w:rPr>
          <w:rFonts w:ascii="Times New Roman" w:cs="Times New Roman" w:eastAsia="Times New Roman" w:hAnsi="Times New Roman"/>
          <w:sz w:val="20"/>
          <w:szCs w:val="20"/>
          <w:b w:val="1"/>
          <w:bCs w:val="1"/>
          <w:color w:val="010000"/>
        </w:rPr>
      </w:pPr>
    </w:p>
    <w:p>
      <w:pPr>
        <w:jc w:val="both"/>
        <w:ind w:firstLine="656"/>
        <w:spacing w:after="0" w:line="250" w:lineRule="auto"/>
        <w:tabs>
          <w:tab w:leader="none" w:pos="1284"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b w:val="1"/>
          <w:bCs w:val="1"/>
          <w:color w:val="auto"/>
        </w:rPr>
        <w:t>RSU Award</w:t>
      </w:r>
      <w:r>
        <w:rPr>
          <w:rFonts w:ascii="Times New Roman" w:cs="Times New Roman" w:eastAsia="Times New Roman" w:hAnsi="Times New Roman"/>
          <w:sz w:val="20"/>
          <w:szCs w:val="20"/>
          <w:color w:val="auto"/>
        </w:rPr>
        <w:t>. You will be granted an award of restricted stock units with an aggregate value of $3,187,500 (the “</w:t>
      </w:r>
      <w:r>
        <w:rPr>
          <w:rFonts w:ascii="Times New Roman" w:cs="Times New Roman" w:eastAsia="Times New Roman" w:hAnsi="Times New Roman"/>
          <w:sz w:val="20"/>
          <w:szCs w:val="20"/>
          <w:b w:val="1"/>
          <w:bCs w:val="1"/>
          <w:color w:val="auto"/>
        </w:rPr>
        <w:t>RSU Award</w:t>
      </w:r>
      <w:r>
        <w:rPr>
          <w:rFonts w:ascii="Times New Roman" w:cs="Times New Roman" w:eastAsia="Times New Roman" w:hAnsi="Times New Roman"/>
          <w:sz w:val="20"/>
          <w:szCs w:val="20"/>
          <w:color w:val="auto"/>
        </w:rPr>
        <w:t>”) under the Company’s 2021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and the Company’s standard form of RSU award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RSU Award will vest pursuant to the following schedule: (i) 1/16th of the RSU Award will vest on the next Quarterly Vesting Date (as defined below) following the Quarterly Vest Date that is nearest to your employment start date with the Company and (ii) an additional 1/16th of the RSU Award will vest on each Quarterly Vesting Date thereafter, in each case subject to your continued service with the Company, such that the entire RSU Award will be fully vested approximately 4 years after your start date with the Company. “</w:t>
      </w: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Vesting Date</w:t>
      </w:r>
      <w:r>
        <w:rPr>
          <w:rFonts w:ascii="Times New Roman" w:cs="Times New Roman" w:eastAsia="Times New Roman" w:hAnsi="Times New Roman"/>
          <w:sz w:val="20"/>
          <w:szCs w:val="20"/>
          <w:color w:val="auto"/>
        </w:rPr>
        <w:t>” means each of January 15, April 15, July 15, and October 15 of any given calendar year.</w:t>
      </w:r>
    </w:p>
    <w:p>
      <w:pPr>
        <w:spacing w:after="0" w:line="202" w:lineRule="exact"/>
        <w:rPr>
          <w:rFonts w:ascii="Times New Roman" w:cs="Times New Roman" w:eastAsia="Times New Roman" w:hAnsi="Times New Roman"/>
          <w:sz w:val="22"/>
          <w:szCs w:val="22"/>
          <w:color w:val="010000"/>
        </w:rPr>
      </w:pPr>
    </w:p>
    <w:p>
      <w:pPr>
        <w:jc w:val="both"/>
        <w:ind w:firstLine="656"/>
        <w:spacing w:after="0" w:line="251" w:lineRule="auto"/>
        <w:tabs>
          <w:tab w:leader="none" w:pos="1296"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b w:val="1"/>
          <w:bCs w:val="1"/>
          <w:color w:val="auto"/>
        </w:rPr>
        <w:t>PSU Award</w:t>
      </w:r>
      <w:r>
        <w:rPr>
          <w:rFonts w:ascii="Times New Roman" w:cs="Times New Roman" w:eastAsia="Times New Roman" w:hAnsi="Times New Roman"/>
          <w:sz w:val="20"/>
          <w:szCs w:val="20"/>
          <w:color w:val="auto"/>
        </w:rPr>
        <w:t>. You will also be granted an award of performance stock units (“</w:t>
      </w:r>
      <w:r>
        <w:rPr>
          <w:rFonts w:ascii="Times New Roman" w:cs="Times New Roman" w:eastAsia="Times New Roman" w:hAnsi="Times New Roman"/>
          <w:sz w:val="20"/>
          <w:szCs w:val="20"/>
          <w:b w:val="1"/>
          <w:bCs w:val="1"/>
          <w:color w:val="auto"/>
        </w:rPr>
        <w:t>PSUs</w:t>
      </w:r>
      <w:r>
        <w:rPr>
          <w:rFonts w:ascii="Times New Roman" w:cs="Times New Roman" w:eastAsia="Times New Roman" w:hAnsi="Times New Roman"/>
          <w:sz w:val="20"/>
          <w:szCs w:val="20"/>
          <w:color w:val="auto"/>
        </w:rPr>
        <w:t>”) with an aggregate value of $3,000,000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PSU Award</w:t>
      </w:r>
      <w:r>
        <w:rPr>
          <w:rFonts w:ascii="Times New Roman" w:cs="Times New Roman" w:eastAsia="Times New Roman" w:hAnsi="Times New Roman"/>
          <w:sz w:val="20"/>
          <w:szCs w:val="20"/>
          <w:color w:val="auto"/>
        </w:rPr>
        <w:t>”) under the Plan and the Company’s standard form of PSU award agreement. The PSU Award will be subject to performance-based vesting pursuant to terms set by the Company’s compensation committee, consistent with the terms applicable to other members of the executive team.</w:t>
      </w:r>
    </w:p>
    <w:p>
      <w:pPr>
        <w:spacing w:after="0" w:line="215"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84"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b w:val="1"/>
          <w:bCs w:val="1"/>
          <w:color w:val="auto"/>
        </w:rPr>
        <w:t xml:space="preserve">Conversion Price. </w:t>
      </w:r>
      <w:r>
        <w:rPr>
          <w:rFonts w:ascii="Times New Roman" w:cs="Times New Roman" w:eastAsia="Times New Roman" w:hAnsi="Times New Roman"/>
          <w:sz w:val="20"/>
          <w:szCs w:val="20"/>
          <w:color w:val="auto"/>
        </w:rPr>
        <w:t>The (i) number of PSUs subject to the PSU Award and (ii) the number of RSUs subject to the RSU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respectively, will be determined by dividing the applicable target value by the average of the closing sale price for one share of Class A common stock as quoted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59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2" w:lineRule="exact"/>
        <w:rPr>
          <w:sz w:val="20"/>
          <w:szCs w:val="20"/>
          <w:color w:val="auto"/>
        </w:rPr>
      </w:pPr>
    </w:p>
    <w:p>
      <w:pPr>
        <w:ind w:left="120" w:hanging="112"/>
        <w:spacing w:after="0"/>
        <w:tabs>
          <w:tab w:leader="none" w:pos="1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Any reference to the Company will be understood to include any parent of the Company that employs you, including Nextdoor Holdings, Inc.</w:t>
      </w:r>
    </w:p>
    <w:p>
      <w:pPr>
        <w:sectPr>
          <w:pgSz w:w="11900" w:h="16838" w:orient="portrait"/>
          <w:cols w:equalWidth="0" w:num="1">
            <w:col w:w="11240"/>
          </w:cols>
          <w:pgMar w:left="320" w:top="612" w:right="339" w:bottom="1440" w:gutter="0" w:footer="0" w:header="0"/>
        </w:sectPr>
      </w:pPr>
    </w:p>
    <w:bookmarkStart w:id="94" w:name="page95"/>
    <w:bookmarkEnd w:id="94"/>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Nextdoor Holdings, Inc.’s public stock market for the calendar month immediately preceding the first of the month in which you commence employment with the Company and the calendar month in which you commence employment with the Company, rounded down to the nearest whole share.</w:t>
      </w:r>
    </w:p>
    <w:p>
      <w:pPr>
        <w:spacing w:after="0" w:line="204" w:lineRule="exact"/>
        <w:rPr>
          <w:sz w:val="20"/>
          <w:szCs w:val="20"/>
          <w:color w:val="auto"/>
        </w:rPr>
      </w:pPr>
    </w:p>
    <w:p>
      <w:pPr>
        <w:ind w:firstLine="656"/>
        <w:spacing w:after="0" w:line="249" w:lineRule="auto"/>
        <w:tabs>
          <w:tab w:leader="none" w:pos="1296"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b w:val="1"/>
          <w:bCs w:val="1"/>
          <w:color w:val="auto"/>
        </w:rPr>
        <w:t>Subsequent Awards</w:t>
      </w:r>
      <w:r>
        <w:rPr>
          <w:rFonts w:ascii="Times New Roman" w:cs="Times New Roman" w:eastAsia="Times New Roman" w:hAnsi="Times New Roman"/>
          <w:sz w:val="20"/>
          <w:szCs w:val="20"/>
          <w:color w:val="auto"/>
        </w:rPr>
        <w:t>. You will be eligible to receive additional equity awards on or after the first anniversary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(with any subsequent awards determined by the Board in its sole discretion based on your performance).</w:t>
      </w:r>
    </w:p>
    <w:p>
      <w:pPr>
        <w:spacing w:after="0" w:line="187" w:lineRule="exact"/>
        <w:rPr>
          <w:rFonts w:ascii="Times New Roman" w:cs="Times New Roman" w:eastAsia="Times New Roman" w:hAnsi="Times New Roman"/>
          <w:sz w:val="22"/>
          <w:szCs w:val="22"/>
          <w:color w:val="010000"/>
        </w:rPr>
      </w:pPr>
    </w:p>
    <w:p>
      <w:pPr>
        <w:jc w:val="both"/>
        <w:ind w:firstLine="332"/>
        <w:spacing w:after="0" w:line="260" w:lineRule="auto"/>
        <w:tabs>
          <w:tab w:leader="none" w:pos="648" w:val="left"/>
        </w:tabs>
        <w:numPr>
          <w:ilvl w:val="0"/>
          <w:numId w:val="4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Employee Benefits</w:t>
      </w:r>
      <w:r>
        <w:rPr>
          <w:rFonts w:ascii="Times New Roman" w:cs="Times New Roman" w:eastAsia="Times New Roman" w:hAnsi="Times New Roman"/>
          <w:sz w:val="20"/>
          <w:szCs w:val="20"/>
          <w:color w:val="auto"/>
        </w:rPr>
        <w:t>. You will be eligible to participate in a number of Company-sponsored benefits to the extent that you comply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spacing w:after="0" w:line="164" w:lineRule="exact"/>
        <w:rPr>
          <w:rFonts w:ascii="Times New Roman" w:cs="Times New Roman" w:eastAsia="Times New Roman" w:hAnsi="Times New Roman"/>
          <w:sz w:val="20"/>
          <w:szCs w:val="20"/>
          <w:b w:val="1"/>
          <w:bCs w:val="1"/>
          <w:color w:val="010000"/>
        </w:rPr>
      </w:pPr>
    </w:p>
    <w:p>
      <w:pPr>
        <w:jc w:val="both"/>
        <w:ind w:firstLine="332"/>
        <w:spacing w:after="0" w:line="260" w:lineRule="auto"/>
        <w:tabs>
          <w:tab w:leader="none" w:pos="648" w:val="left"/>
        </w:tabs>
        <w:numPr>
          <w:ilvl w:val="0"/>
          <w:numId w:val="4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Termination Benefits</w:t>
      </w:r>
      <w:r>
        <w:rPr>
          <w:rFonts w:ascii="Times New Roman" w:cs="Times New Roman" w:eastAsia="Times New Roman" w:hAnsi="Times New Roman"/>
          <w:sz w:val="20"/>
          <w:szCs w:val="20"/>
          <w:color w:val="auto"/>
        </w:rPr>
        <w:t>. In connection with your position, you will be eligible to receive certain change in control and severance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and benefits pursuant to a Change in Control and Severance Agreement (the “</w:t>
      </w:r>
      <w:r>
        <w:rPr>
          <w:rFonts w:ascii="Times New Roman" w:cs="Times New Roman" w:eastAsia="Times New Roman" w:hAnsi="Times New Roman"/>
          <w:sz w:val="20"/>
          <w:szCs w:val="20"/>
          <w:b w:val="1"/>
          <w:bCs w:val="1"/>
          <w:color w:val="auto"/>
        </w:rPr>
        <w:t>Severance Agreement</w:t>
      </w:r>
      <w:r>
        <w:rPr>
          <w:rFonts w:ascii="Times New Roman" w:cs="Times New Roman" w:eastAsia="Times New Roman" w:hAnsi="Times New Roman"/>
          <w:sz w:val="20"/>
          <w:szCs w:val="20"/>
          <w:color w:val="auto"/>
        </w:rPr>
        <w:t xml:space="preserve">”) to be entered into between you and the Company at substantially the same time as the date of this offer letter, pursuant to the form attached to this offer letter as </w:t>
      </w:r>
      <w:r>
        <w:rPr>
          <w:rFonts w:ascii="Times New Roman" w:cs="Times New Roman" w:eastAsia="Times New Roman" w:hAnsi="Times New Roman"/>
          <w:sz w:val="20"/>
          <w:szCs w:val="20"/>
          <w:b w:val="1"/>
          <w:bCs w:val="1"/>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b w:val="1"/>
          <w:bCs w:val="1"/>
          <w:color w:val="010000"/>
        </w:rPr>
      </w:pPr>
    </w:p>
    <w:p>
      <w:pPr>
        <w:jc w:val="both"/>
        <w:ind w:firstLine="332"/>
        <w:spacing w:after="0" w:line="255" w:lineRule="auto"/>
        <w:tabs>
          <w:tab w:leader="none" w:pos="648" w:val="left"/>
        </w:tabs>
        <w:numPr>
          <w:ilvl w:val="0"/>
          <w:numId w:val="4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Confidentiality Agreement</w:t>
      </w:r>
      <w:r>
        <w:rPr>
          <w:rFonts w:ascii="Times New Roman" w:cs="Times New Roman" w:eastAsia="Times New Roman" w:hAnsi="Times New Roman"/>
          <w:sz w:val="20"/>
          <w:szCs w:val="20"/>
          <w:color w:val="auto"/>
        </w:rPr>
        <w:t>. As an employee of the Company, you will have access to certain confidential information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and you may, during the course of your employment, develop certain information or inventions that will be the property of the Company. To protect the Company’s interests, as a condition of employment, you must sign the Employee Invention Assignment and Confidentiality Agreement attached hereto as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b w:val="1"/>
          <w:bCs w:val="1"/>
          <w:color w:val="010000"/>
        </w:rPr>
      </w:pPr>
    </w:p>
    <w:p>
      <w:pPr>
        <w:ind w:right="120" w:firstLine="332"/>
        <w:spacing w:after="0" w:line="260" w:lineRule="auto"/>
        <w:tabs>
          <w:tab w:leader="none" w:pos="648" w:val="left"/>
        </w:tabs>
        <w:numPr>
          <w:ilvl w:val="0"/>
          <w:numId w:val="4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Arbitration Agreement</w:t>
      </w:r>
      <w:r>
        <w:rPr>
          <w:rFonts w:ascii="Times New Roman" w:cs="Times New Roman" w:eastAsia="Times New Roman" w:hAnsi="Times New Roman"/>
          <w:sz w:val="20"/>
          <w:szCs w:val="20"/>
          <w:color w:val="auto"/>
        </w:rPr>
        <w:t>. You and the Company agree that, to the fullest extent permitted under applicable law, any disputes arising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respect to your employment with the Company shall be resolved by final and binding arbitration in accordance with the arbitration procedures described in the Arbitration Agreement, which is attached hereto as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and which you are required to sign as a condition of employment.</w:t>
      </w:r>
    </w:p>
    <w:p>
      <w:pPr>
        <w:spacing w:after="0" w:line="164" w:lineRule="exact"/>
        <w:rPr>
          <w:rFonts w:ascii="Times New Roman" w:cs="Times New Roman" w:eastAsia="Times New Roman" w:hAnsi="Times New Roman"/>
          <w:sz w:val="20"/>
          <w:szCs w:val="20"/>
          <w:b w:val="1"/>
          <w:bCs w:val="1"/>
          <w:color w:val="010000"/>
        </w:rPr>
      </w:pPr>
    </w:p>
    <w:p>
      <w:pPr>
        <w:jc w:val="both"/>
        <w:ind w:firstLine="332"/>
        <w:spacing w:after="0" w:line="252" w:lineRule="auto"/>
        <w:tabs>
          <w:tab w:leader="none" w:pos="648" w:val="left"/>
        </w:tabs>
        <w:numPr>
          <w:ilvl w:val="0"/>
          <w:numId w:val="4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Conflicting Obligations</w:t>
      </w:r>
      <w:r>
        <w:rPr>
          <w:rFonts w:ascii="Times New Roman" w:cs="Times New Roman" w:eastAsia="Times New Roman" w:hAnsi="Times New Roman"/>
          <w:sz w:val="20"/>
          <w:szCs w:val="20"/>
          <w:color w:val="auto"/>
        </w:rPr>
        <w:t>. You understand and agree that by signing this letter agreement, you represent to the Company that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will not breach any other 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89" w:lineRule="exact"/>
        <w:rPr>
          <w:rFonts w:ascii="Times New Roman" w:cs="Times New Roman" w:eastAsia="Times New Roman" w:hAnsi="Times New Roman"/>
          <w:sz w:val="20"/>
          <w:szCs w:val="20"/>
          <w:b w:val="1"/>
          <w:bCs w:val="1"/>
          <w:color w:val="010000"/>
        </w:rPr>
      </w:pPr>
    </w:p>
    <w:p>
      <w:pPr>
        <w:ind w:firstLine="332"/>
        <w:spacing w:after="0" w:line="273" w:lineRule="auto"/>
        <w:tabs>
          <w:tab w:leader="none" w:pos="648" w:val="left"/>
        </w:tabs>
        <w:numPr>
          <w:ilvl w:val="0"/>
          <w:numId w:val="4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Outside Activities</w:t>
      </w:r>
      <w:r>
        <w:rPr>
          <w:rFonts w:ascii="Times New Roman" w:cs="Times New Roman" w:eastAsia="Times New Roman" w:hAnsi="Times New Roman"/>
          <w:sz w:val="20"/>
          <w:szCs w:val="20"/>
          <w:color w:val="auto"/>
        </w:rPr>
        <w:t>. While you render services to the Company, you agree that you will not engage in any other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consulting or other business activity without the written consent of the</w:t>
      </w:r>
    </w:p>
    <w:p>
      <w:pPr>
        <w:sectPr>
          <w:pgSz w:w="11900" w:h="16838" w:orient="portrait"/>
          <w:cols w:equalWidth="0" w:num="1">
            <w:col w:w="11240"/>
          </w:cols>
          <w:pgMar w:left="320" w:top="1440" w:right="339" w:bottom="1440" w:gutter="0" w:footer="0" w:header="0"/>
        </w:sectPr>
      </w:pPr>
    </w:p>
    <w:bookmarkStart w:id="95" w:name="page96"/>
    <w:bookmarkEnd w:id="95"/>
    <w:p>
      <w:pPr>
        <w:spacing w:after="0" w:line="3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Company. In addition, while you render services to the Company, you will not assist any person or entity in competing with the Company, in preparing to compete with the Company or in hiring any employees or consultants of the Company.</w:t>
      </w:r>
    </w:p>
    <w:p>
      <w:pPr>
        <w:spacing w:after="0" w:line="169" w:lineRule="exact"/>
        <w:rPr>
          <w:sz w:val="20"/>
          <w:szCs w:val="20"/>
          <w:color w:val="auto"/>
        </w:rPr>
      </w:pPr>
    </w:p>
    <w:p>
      <w:pPr>
        <w:jc w:val="both"/>
        <w:ind w:firstLine="332"/>
        <w:spacing w:after="0" w:line="254" w:lineRule="auto"/>
        <w:tabs>
          <w:tab w:leader="none" w:pos="648" w:val="left"/>
        </w:tabs>
        <w:numPr>
          <w:ilvl w:val="0"/>
          <w:numId w:val="4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Equal Employment Opportunity</w:t>
      </w:r>
      <w:r>
        <w:rPr>
          <w:rFonts w:ascii="Times New Roman" w:cs="Times New Roman" w:eastAsia="Times New Roman" w:hAnsi="Times New Roman"/>
          <w:sz w:val="20"/>
          <w:szCs w:val="20"/>
          <w:color w:val="auto"/>
        </w:rPr>
        <w:t>. The Company is an equal opportunity employer and conducts its employment practices based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87" w:lineRule="exact"/>
        <w:rPr>
          <w:rFonts w:ascii="Times New Roman" w:cs="Times New Roman" w:eastAsia="Times New Roman" w:hAnsi="Times New Roman"/>
          <w:sz w:val="20"/>
          <w:szCs w:val="20"/>
          <w:b w:val="1"/>
          <w:bCs w:val="1"/>
          <w:color w:val="010000"/>
        </w:rPr>
      </w:pPr>
    </w:p>
    <w:p>
      <w:pPr>
        <w:jc w:val="both"/>
        <w:ind w:firstLine="332"/>
        <w:spacing w:after="0" w:line="263" w:lineRule="auto"/>
        <w:tabs>
          <w:tab w:leader="none" w:pos="639" w:val="left"/>
        </w:tabs>
        <w:numPr>
          <w:ilvl w:val="0"/>
          <w:numId w:val="4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General Obligations</w:t>
      </w:r>
      <w:r>
        <w:rPr>
          <w:rFonts w:ascii="Times New Roman" w:cs="Times New Roman" w:eastAsia="Times New Roman" w:hAnsi="Times New Roman"/>
          <w:sz w:val="20"/>
          <w:szCs w:val="20"/>
          <w:color w:val="auto"/>
        </w:rPr>
        <w:t>. As an employee, you will be expected to adhere to the Company’s standards of professionalism, loyalty,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integrity, honesty, reliability and respect for all. You will also be expected to comply with the Company’s policies and procedures. The Company is an equal opportunity employer.</w:t>
      </w:r>
    </w:p>
    <w:p>
      <w:pPr>
        <w:spacing w:after="0" w:line="175" w:lineRule="exact"/>
        <w:rPr>
          <w:rFonts w:ascii="Times New Roman" w:cs="Times New Roman" w:eastAsia="Times New Roman" w:hAnsi="Times New Roman"/>
          <w:sz w:val="20"/>
          <w:szCs w:val="20"/>
          <w:b w:val="1"/>
          <w:bCs w:val="1"/>
          <w:color w:val="010000"/>
        </w:rPr>
      </w:pPr>
    </w:p>
    <w:p>
      <w:pPr>
        <w:jc w:val="both"/>
        <w:ind w:firstLine="332"/>
        <w:spacing w:after="0" w:line="252" w:lineRule="auto"/>
        <w:tabs>
          <w:tab w:leader="none" w:pos="628" w:val="left"/>
        </w:tabs>
        <w:numPr>
          <w:ilvl w:val="0"/>
          <w:numId w:val="4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Your employment with the Company will be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spacing w:after="0" w:line="186" w:lineRule="exact"/>
        <w:rPr>
          <w:rFonts w:ascii="Times New Roman" w:cs="Times New Roman" w:eastAsia="Times New Roman" w:hAnsi="Times New Roman"/>
          <w:sz w:val="20"/>
          <w:szCs w:val="20"/>
          <w:b w:val="1"/>
          <w:bCs w:val="1"/>
          <w:color w:val="010000"/>
        </w:rPr>
      </w:pPr>
    </w:p>
    <w:p>
      <w:pPr>
        <w:ind w:left="640" w:hanging="308"/>
        <w:spacing w:after="0"/>
        <w:tabs>
          <w:tab w:leader="none" w:pos="640" w:val="left"/>
        </w:tabs>
        <w:numPr>
          <w:ilvl w:val="0"/>
          <w:numId w:val="4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Withholdings</w:t>
      </w:r>
      <w:r>
        <w:rPr>
          <w:rFonts w:ascii="Times New Roman" w:cs="Times New Roman" w:eastAsia="Times New Roman" w:hAnsi="Times New Roman"/>
          <w:sz w:val="20"/>
          <w:szCs w:val="20"/>
          <w:color w:val="auto"/>
        </w:rPr>
        <w:t>. All forms of compensation paid to you as an employee of the Company shall be less all applicable withholdings.</w:t>
      </w:r>
    </w:p>
    <w:p>
      <w:pPr>
        <w:spacing w:after="0" w:line="233" w:lineRule="exact"/>
        <w:rPr>
          <w:rFonts w:ascii="Times New Roman" w:cs="Times New Roman" w:eastAsia="Times New Roman" w:hAnsi="Times New Roman"/>
          <w:sz w:val="20"/>
          <w:szCs w:val="20"/>
          <w:b w:val="1"/>
          <w:bCs w:val="1"/>
          <w:color w:val="010000"/>
        </w:rPr>
      </w:pPr>
    </w:p>
    <w:p>
      <w:pPr>
        <w:ind w:left="4620"/>
        <w:spacing w:after="0"/>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440" w:right="339" w:bottom="1440" w:gutter="0" w:footer="0" w:header="0"/>
        </w:sectPr>
      </w:pPr>
    </w:p>
    <w:bookmarkStart w:id="96" w:name="page97"/>
    <w:bookmarkEnd w:id="96"/>
    <w:p>
      <w:pPr>
        <w:spacing w:after="0" w:line="3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This letter agreement supersedes and replaces any prior understandings or agreements, whether oral, written or implied, between you and the Company regarding the matters described in this letter (other than the Severance Agreement). This letter will be governed by the laws of California, without regard to its conflict of laws provisions.</w:t>
      </w:r>
    </w:p>
    <w:p>
      <w:pPr>
        <w:spacing w:after="0" w:line="18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NEXTDOOR, INC.</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8496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Nirav Tolia</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ACCEPTED AND AGREED: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Amresh Indrajit Ponnambalam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Amresh Indrajit Ponnambalam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249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182499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642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Offer Letter]</w:t>
      </w:r>
    </w:p>
    <w:p>
      <w:pPr>
        <w:sectPr>
          <w:pgSz w:w="11900" w:h="16838" w:orient="portrait"/>
          <w:cols w:equalWidth="0" w:num="1">
            <w:col w:w="11240"/>
          </w:cols>
          <w:pgMar w:left="320" w:top="1440" w:right="339" w:bottom="1440" w:gutter="0" w:footer="0" w:header="0"/>
        </w:sectPr>
      </w:pPr>
    </w:p>
    <w:bookmarkStart w:id="97" w:name="page98"/>
    <w:bookmarkEnd w:id="97"/>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1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Change in Control and Severance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between Amresh Indrajit Ponnambalam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Nextdoor, Inc., a Delaware corporation (together with its parent, Nextdoor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effective as of December 1,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Term of Agreement.</w:t>
      </w:r>
    </w:p>
    <w:p>
      <w:pPr>
        <w:spacing w:after="0" w:line="22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This Agreement shall terminate the earlier of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anniversary of the Effective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or the date the Executive’s employment with the Company terminates for a reason other than a Qualifying Termination or CIC Qualifying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a definitive agreement relating to a Change in Control has been signed by the Company on or before the Expiration Date, then this Agreement shall remain in effect through the earlier of:</w:t>
      </w:r>
    </w:p>
    <w:p>
      <w:pPr>
        <w:spacing w:after="0" w:line="199"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date the Executive’s employment with the Company terminates for a reason other than a Qualifying Termination or CIC Qualifying</w:t>
      </w:r>
    </w:p>
    <w:p>
      <w:pPr>
        <w:spacing w:after="0" w:line="27" w:lineRule="exact"/>
        <w:rPr>
          <w:rFonts w:ascii="Times New Roman" w:cs="Times New Roman" w:eastAsia="Times New Roman" w:hAnsi="Times New Roman"/>
          <w:sz w:val="18"/>
          <w:szCs w:val="18"/>
          <w:b w:val="1"/>
          <w:bCs w:val="1"/>
          <w:color w:val="010000"/>
        </w:rPr>
      </w:pPr>
    </w:p>
    <w:p>
      <w:pPr>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Termination, or</w:t>
      </w:r>
    </w:p>
    <w:p>
      <w:pPr>
        <w:spacing w:after="0" w:line="206" w:lineRule="exact"/>
        <w:rPr>
          <w:rFonts w:ascii="Times New Roman" w:cs="Times New Roman" w:eastAsia="Times New Roman" w:hAnsi="Times New Roman"/>
          <w:sz w:val="18"/>
          <w:szCs w:val="18"/>
          <w:b w:val="1"/>
          <w:bCs w:val="1"/>
          <w:color w:val="010000"/>
        </w:rPr>
      </w:pPr>
    </w:p>
    <w:p>
      <w:pPr>
        <w:ind w:firstLine="656"/>
        <w:spacing w:after="0" w:line="282" w:lineRule="auto"/>
        <w:tabs>
          <w:tab w:leader="none" w:pos="1286" w:val="left"/>
        </w:tabs>
        <w:numPr>
          <w:ilvl w:val="0"/>
          <w:numId w:val="4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shall renew automatically and continue in effect for three (3) year periods measured from the initial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76" w:lineRule="exact"/>
        <w:rPr>
          <w:sz w:val="20"/>
          <w:szCs w:val="20"/>
          <w:color w:val="auto"/>
        </w:rPr>
      </w:pPr>
    </w:p>
    <w:p>
      <w:pPr>
        <w:ind w:right="300" w:firstLine="8"/>
        <w:spacing w:after="0" w:line="286" w:lineRule="auto"/>
        <w:tabs>
          <w:tab w:leader="none" w:pos="648" w:val="left"/>
        </w:tabs>
        <w:numPr>
          <w:ilvl w:val="0"/>
          <w:numId w:val="4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Qualifying Termination. </w:t>
      </w:r>
      <w:r>
        <w:rPr>
          <w:rFonts w:ascii="Times New Roman" w:cs="Times New Roman" w:eastAsia="Times New Roman" w:hAnsi="Times New Roman"/>
          <w:sz w:val="18"/>
          <w:szCs w:val="18"/>
          <w:color w:val="auto"/>
        </w:rPr>
        <w:t>If the Executive is subject to a Qualifying Termination, then, subject to Sections 4, 8, and 9 below, Executive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the following benefits:</w:t>
      </w:r>
    </w:p>
    <w:p>
      <w:pPr>
        <w:spacing w:after="0" w:line="154" w:lineRule="exact"/>
        <w:rPr>
          <w:rFonts w:ascii="Times New Roman" w:cs="Times New Roman" w:eastAsia="Times New Roman" w:hAnsi="Times New Roman"/>
          <w:sz w:val="18"/>
          <w:szCs w:val="18"/>
          <w:b w:val="1"/>
          <w:bCs w:val="1"/>
          <w:color w:val="010000"/>
        </w:rPr>
      </w:pPr>
    </w:p>
    <w:p>
      <w:pPr>
        <w:jc w:val="both"/>
        <w:ind w:right="20" w:firstLine="656"/>
        <w:spacing w:after="0" w:line="269" w:lineRule="auto"/>
        <w:tabs>
          <w:tab w:leader="none" w:pos="1290" w:val="left"/>
        </w:tabs>
        <w:numPr>
          <w:ilvl w:val="1"/>
          <w:numId w:val="4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Severance Benefits. </w:t>
      </w:r>
      <w:r>
        <w:rPr>
          <w:rFonts w:ascii="Times New Roman" w:cs="Times New Roman" w:eastAsia="Times New Roman" w:hAnsi="Times New Roman"/>
          <w:sz w:val="18"/>
          <w:szCs w:val="18"/>
          <w:color w:val="auto"/>
        </w:rPr>
        <w:t>The Company shall pay the Executive six (6) months of his/her monthly base salary (at the rate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Separation,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Release Conditions have been satisfied.</w:t>
      </w:r>
    </w:p>
    <w:p>
      <w:pPr>
        <w:spacing w:after="0" w:line="87" w:lineRule="exact"/>
        <w:rPr>
          <w:rFonts w:ascii="Times New Roman" w:cs="Times New Roman" w:eastAsia="Times New Roman" w:hAnsi="Times New Roman"/>
          <w:sz w:val="18"/>
          <w:szCs w:val="18"/>
          <w:b w:val="1"/>
          <w:bCs w:val="1"/>
          <w:color w:val="010000"/>
        </w:rPr>
      </w:pPr>
    </w:p>
    <w:p>
      <w:pPr>
        <w:jc w:val="both"/>
        <w:ind w:firstLine="656"/>
        <w:spacing w:after="0" w:line="255" w:lineRule="auto"/>
        <w:tabs>
          <w:tab w:leader="none" w:pos="1286" w:val="left"/>
        </w:tabs>
        <w:numPr>
          <w:ilvl w:val="1"/>
          <w:numId w:val="4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Continued Employee Benefits. </w:t>
      </w:r>
      <w:r>
        <w:rPr>
          <w:rFonts w:ascii="Times New Roman" w:cs="Times New Roman" w:eastAsia="Times New Roman" w:hAnsi="Times New Roman"/>
          <w:sz w:val="18"/>
          <w:szCs w:val="18"/>
          <w:color w:val="auto"/>
        </w:rPr>
        <w:t>If Executive timely elects continued coverage under the Consolidated Omnibus Budget Reconciliation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xml:space="preserve">”), the Company shall pay the full amount of Executive’s COBRA premiums on behalf of the Executive for the Executive’s continued coverage under the Company’s health, dental and vision plans, including coverage for the Executive’s eligible dependents, for a period of six (6) months following the Executive’s Separation or, if earlier, until Executive is eligible to be covered under another substantially equivalent medical insurance plan by a subsequent employer. Notwithstanding the foregoing, the Company may elect to provide Executive, in lieu of any portion of such continued coverage, taxable installment payments equal in amount to the applicable premiums in effect as of Executive’s Separation for the remainder of the COBRA continuation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Executive shall have no right to an additional gross-up payment to account for the fact that such COBRA premium amounts are paid on an after-tax basis.</w:t>
      </w:r>
    </w:p>
    <w:p>
      <w:pPr>
        <w:sectPr>
          <w:pgSz w:w="11900" w:h="16838" w:orient="portrait"/>
          <w:cols w:equalWidth="0" w:num="1">
            <w:col w:w="11240"/>
          </w:cols>
          <w:pgMar w:left="320" w:top="1440" w:right="339" w:bottom="1440" w:gutter="0" w:footer="0" w:header="0"/>
        </w:sectPr>
      </w:pPr>
    </w:p>
    <w:bookmarkStart w:id="98" w:name="page99"/>
    <w:bookmarkEnd w:id="98"/>
    <w:p>
      <w:pPr>
        <w:spacing w:after="0" w:line="352" w:lineRule="exact"/>
        <w:rPr>
          <w:sz w:val="20"/>
          <w:szCs w:val="20"/>
          <w:color w:val="auto"/>
        </w:rPr>
      </w:pPr>
    </w:p>
    <w:p>
      <w:pPr>
        <w:ind w:firstLine="8"/>
        <w:spacing w:after="0" w:line="286" w:lineRule="auto"/>
        <w:tabs>
          <w:tab w:leader="none" w:pos="648" w:val="left"/>
        </w:tabs>
        <w:numPr>
          <w:ilvl w:val="0"/>
          <w:numId w:val="4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CIC Qualifying Termination. </w:t>
      </w:r>
      <w:r>
        <w:rPr>
          <w:rFonts w:ascii="Times New Roman" w:cs="Times New Roman" w:eastAsia="Times New Roman" w:hAnsi="Times New Roman"/>
          <w:sz w:val="18"/>
          <w:szCs w:val="18"/>
          <w:color w:val="auto"/>
        </w:rPr>
        <w:t>If the Executive is subject to a CIC Qualifying Termination, then, subject to Sections 4, 8, and 9 below,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entitled to the following benefits:</w:t>
      </w:r>
    </w:p>
    <w:p>
      <w:pPr>
        <w:spacing w:after="0" w:line="154" w:lineRule="exact"/>
        <w:rPr>
          <w:rFonts w:ascii="Times New Roman" w:cs="Times New Roman" w:eastAsia="Times New Roman" w:hAnsi="Times New Roman"/>
          <w:sz w:val="18"/>
          <w:szCs w:val="18"/>
          <w:b w:val="1"/>
          <w:bCs w:val="1"/>
          <w:color w:val="010000"/>
        </w:rPr>
      </w:pPr>
    </w:p>
    <w:p>
      <w:pPr>
        <w:jc w:val="both"/>
        <w:ind w:firstLine="656"/>
        <w:spacing w:after="0" w:line="245" w:lineRule="auto"/>
        <w:tabs>
          <w:tab w:leader="none" w:pos="1290" w:val="left"/>
        </w:tabs>
        <w:numPr>
          <w:ilvl w:val="1"/>
          <w:numId w:val="4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Severance Payments. </w:t>
      </w:r>
      <w:r>
        <w:rPr>
          <w:rFonts w:ascii="Times New Roman" w:cs="Times New Roman" w:eastAsia="Times New Roman" w:hAnsi="Times New Roman"/>
          <w:sz w:val="18"/>
          <w:szCs w:val="18"/>
          <w:color w:val="auto"/>
        </w:rPr>
        <w:t>The Company or its successor shall pay the Executive twelve (12) months of his/her monthly base salary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equal to his/her annual target bonus at 100% achievement of target, in each case, at the rate in effect immediately prior to the actions that resulted in the Separation. Such payment shall be paid in a cash lump sum in accordance with the Company’s standard payroll procedures, which payment will be made no later than the first regular payroll date occurring after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Separation,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Release Conditions have been satisfied. For the avoidance of doubt, in the event that a Change in Control occurs within three (3) months following a Qualifying Termination, then, provided that such Qualifying Termination followed a Potential Change in Control, then in addition to any prior payments under Section 2(a), Executive shall receive an additional payment in order to provide the benefits described in this Section 3(a).</w:t>
      </w:r>
    </w:p>
    <w:p>
      <w:pPr>
        <w:spacing w:after="0" w:line="190" w:lineRule="exact"/>
        <w:rPr>
          <w:rFonts w:ascii="Times New Roman" w:cs="Times New Roman" w:eastAsia="Times New Roman" w:hAnsi="Times New Roman"/>
          <w:sz w:val="18"/>
          <w:szCs w:val="18"/>
          <w:b w:val="1"/>
          <w:bCs w:val="1"/>
          <w:color w:val="010000"/>
        </w:rPr>
      </w:pPr>
    </w:p>
    <w:p>
      <w:pPr>
        <w:jc w:val="both"/>
        <w:ind w:firstLine="656"/>
        <w:spacing w:after="0" w:line="255" w:lineRule="auto"/>
        <w:tabs>
          <w:tab w:leader="none" w:pos="1286" w:val="left"/>
        </w:tabs>
        <w:numPr>
          <w:ilvl w:val="1"/>
          <w:numId w:val="4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Equity. </w:t>
      </w:r>
      <w:r>
        <w:rPr>
          <w:rFonts w:ascii="Times New Roman" w:cs="Times New Roman" w:eastAsia="Times New Roman" w:hAnsi="Times New Roman"/>
          <w:sz w:val="18"/>
          <w:szCs w:val="18"/>
          <w:color w:val="auto"/>
        </w:rPr>
        <w:t>Each of Executive’s then outstanding Equity Awards, other than awards that vest on the satisfaction of performance criteria,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accelerate and become vested and exercisable as to 100% of the total shares underlying such Equity Awards. As to outstanding Equity Awards that would vest only upon satisfaction of performance criteria, such awards shall accelerate and become vested and exercisable as if such awards had been achieved at the greater of (x) actual achievement (if measurable on the date of Executive’s Separation) or (y) target levels; provided, however, that the Company may specify, in any individual Equity Award agreement, that the acceleration provisions of such award agreement shall specifically overwrite the acceleration provisions set forth herein. Subject to Section 4, the accelerated vesting described above shall be effective as of the Separation. For the avoidance of doubt, in order to give effect to the acceleration contemplated by this Section 3(b), each of Executive’s outstanding Equity Awards shall remain outstanding and eligible for the vesting acceleration contemplated by this Section 3(b) for a period of three (3) months following a Qualifying Termination.</w:t>
      </w:r>
    </w:p>
    <w:p>
      <w:pPr>
        <w:spacing w:after="0" w:line="184"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93" w:val="left"/>
        </w:tabs>
        <w:numPr>
          <w:ilvl w:val="1"/>
          <w:numId w:val="4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COBRA; Pay in Lieu of Continued Employee Benefits. </w:t>
      </w:r>
      <w:r>
        <w:rPr>
          <w:rFonts w:ascii="Times New Roman" w:cs="Times New Roman" w:eastAsia="Times New Roman" w:hAnsi="Times New Roman"/>
          <w:sz w:val="18"/>
          <w:szCs w:val="18"/>
          <w:color w:val="auto"/>
        </w:rPr>
        <w:t>Continuation of COBRA or a cash benefit, in both cases on the same terms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2(b) above, for a period of twelve (12) months following the Executive’s Separation or, if earlier, until Executive is eligible to be covered under another substantially equivalent medical insurance plan by a subsequent employer.</w:t>
      </w:r>
    </w:p>
    <w:p>
      <w:pPr>
        <w:spacing w:after="0" w:line="170" w:lineRule="exact"/>
        <w:rPr>
          <w:rFonts w:ascii="Times New Roman" w:cs="Times New Roman" w:eastAsia="Times New Roman" w:hAnsi="Times New Roman"/>
          <w:sz w:val="18"/>
          <w:szCs w:val="18"/>
          <w:b w:val="1"/>
          <w:bCs w:val="1"/>
          <w:color w:val="010000"/>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General Release. </w:t>
      </w:r>
      <w:r>
        <w:rPr>
          <w:rFonts w:ascii="Times New Roman" w:cs="Times New Roman" w:eastAsia="Times New Roman" w:hAnsi="Times New Roman"/>
          <w:sz w:val="18"/>
          <w:szCs w:val="18"/>
          <w:color w:val="auto"/>
        </w:rPr>
        <w:t>Any other provision of this Agreement notwithstanding, the benefits under Section 2 and 3 shall not apply unless the Executive</w:t>
      </w:r>
    </w:p>
    <w:p>
      <w:pPr>
        <w:spacing w:after="0" w:line="31" w:lineRule="exact"/>
        <w:rPr>
          <w:rFonts w:ascii="Times New Roman" w:cs="Times New Roman" w:eastAsia="Times New Roman" w:hAnsi="Times New Roman"/>
          <w:sz w:val="18"/>
          <w:szCs w:val="18"/>
          <w:b w:val="1"/>
          <w:bCs w:val="1"/>
          <w:color w:val="010000"/>
        </w:rPr>
      </w:pPr>
    </w:p>
    <w:p>
      <w:pPr>
        <w:jc w:val="both"/>
        <w:spacing w:after="0" w:line="253" w:lineRule="auto"/>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The Company will deliver the form of Release to the Executive within thirty (30) days after the Executive’s Separation. The Executive must execute and return the Release within the time period specified in the form and in any event no later than sixty (60) days following the date of Executive’s Separation.</w:t>
      </w:r>
    </w:p>
    <w:p>
      <w:pPr>
        <w:spacing w:after="0" w:line="182" w:lineRule="exact"/>
        <w:rPr>
          <w:rFonts w:ascii="Times New Roman" w:cs="Times New Roman" w:eastAsia="Times New Roman" w:hAnsi="Times New Roman"/>
          <w:sz w:val="18"/>
          <w:szCs w:val="18"/>
          <w:b w:val="1"/>
          <w:bCs w:val="1"/>
          <w:color w:val="010000"/>
        </w:rPr>
      </w:pPr>
    </w:p>
    <w:p>
      <w:pPr>
        <w:jc w:val="both"/>
        <w:ind w:firstLine="8"/>
        <w:spacing w:after="0" w:line="254" w:lineRule="auto"/>
        <w:tabs>
          <w:tab w:leader="none" w:pos="648" w:val="left"/>
        </w:tabs>
        <w:numPr>
          <w:ilvl w:val="0"/>
          <w:numId w:val="4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Accrued Compensation and Benefits. </w:t>
      </w:r>
      <w:r>
        <w:rPr>
          <w:rFonts w:ascii="Times New Roman" w:cs="Times New Roman" w:eastAsia="Times New Roman" w:hAnsi="Times New Roman"/>
          <w:sz w:val="18"/>
          <w:szCs w:val="18"/>
          <w:color w:val="auto"/>
        </w:rPr>
        <w:t>Notwithstanding anything to the contrary in Sections 2 and 3 above, in connection with any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Times New Roman" w:cs="Times New Roman" w:eastAsia="Times New Roman" w:hAnsi="Times New Roman"/>
          <w:sz w:val="18"/>
          <w:szCs w:val="18"/>
          <w:b w:val="1"/>
          <w:bCs w:val="1"/>
          <w:color w:val="auto"/>
        </w:rPr>
        <w:t>Accrued Compensation and Expenses</w:t>
      </w:r>
      <w:r>
        <w:rPr>
          <w:rFonts w:ascii="Times New Roman" w:cs="Times New Roman" w:eastAsia="Times New Roman" w:hAnsi="Times New Roman"/>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Times New Roman" w:cs="Times New Roman" w:eastAsia="Times New Roman" w:hAnsi="Times New Roman"/>
          <w:sz w:val="18"/>
          <w:szCs w:val="18"/>
          <w:b w:val="1"/>
          <w:bCs w:val="1"/>
          <w:color w:val="auto"/>
        </w:rPr>
        <w:t>Accrued Benefits</w:t>
      </w:r>
      <w:r>
        <w:rPr>
          <w:rFonts w:ascii="Times New Roman" w:cs="Times New Roman" w:eastAsia="Times New Roman" w:hAnsi="Times New Roman"/>
          <w:sz w:val="18"/>
          <w:szCs w:val="18"/>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3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Executive in which the termination occurs. Any Accrued Benefits to which the Executive is entitled shall be paid to the Executive as provided in the relevant plans and arrangements.</w:t>
      </w:r>
    </w:p>
    <w:p>
      <w:pPr>
        <w:spacing w:after="0" w:line="158"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4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any of the following events, as reasonably determined by the Company:</w:t>
      </w:r>
    </w:p>
    <w:p>
      <w:pPr>
        <w:spacing w:after="0" w:line="229"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1938" w:val="left"/>
        </w:tabs>
        <w:numPr>
          <w:ilvl w:val="2"/>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willful and material violation by Executive of any law or regulation applicable to the business of the Company or a parent or subsidiary of the Company;</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34" w:val="left"/>
        </w:tabs>
        <w:numPr>
          <w:ilvl w:val="2"/>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conviction for, or guilty plea to, a felony or a crime involving moral turpitude or any willful perpetration by Executive of a common law fraud;</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2"/>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commission of an act of personal dishonesty which involves personal profit in connection with the Company or any other entity having a business relationship with the Company;</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34" w:val="left"/>
        </w:tabs>
        <w:numPr>
          <w:ilvl w:val="2"/>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breach by Executive of any provision of any agreement or understanding between the Company or any parent or subsidiary of the Company and Executive regarding the terms of Executive’s service as an employee to the Company or a parent or subsidiary of the Company, or any breach of any applicable invention assignment and confidentiality agreement or similar agreement between Executive and the Company;</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1938" w:val="left"/>
        </w:tabs>
        <w:numPr>
          <w:ilvl w:val="2"/>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disregard of the policies or regulations of the Company or any parent or subsidiary of the Company so as to cause material loss, damage or injury to the property, reputation or employees of the Company or a parent or subsidiary of the Company;</w:t>
      </w:r>
    </w:p>
    <w:p>
      <w:pPr>
        <w:spacing w:after="0" w:line="161" w:lineRule="exact"/>
        <w:rPr>
          <w:rFonts w:ascii="Times New Roman" w:cs="Times New Roman" w:eastAsia="Times New Roman" w:hAnsi="Times New Roman"/>
          <w:sz w:val="18"/>
          <w:szCs w:val="18"/>
          <w:color w:val="010000"/>
        </w:rPr>
      </w:pPr>
    </w:p>
    <w:p>
      <w:pPr>
        <w:ind w:right="20" w:firstLine="1304"/>
        <w:spacing w:after="0" w:line="282" w:lineRule="auto"/>
        <w:tabs>
          <w:tab w:leader="none" w:pos="1934" w:val="left"/>
        </w:tabs>
        <w:numPr>
          <w:ilvl w:val="2"/>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failure to cooperate in good faith with a governmental or internal investigation of the Company or its directors, officers or employees, if the Company has requested Executive’s assistance; or</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3" w:val="left"/>
        </w:tabs>
        <w:numPr>
          <w:ilvl w:val="2"/>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willful and continuing failure to perform assigned duties after receiving written notification of the failure from the Company’s Chief Executive Officer.</w:t>
      </w:r>
    </w:p>
    <w:p>
      <w:pPr>
        <w:spacing w:after="0" w:line="162"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provide Executive with a written notice of the basis for a finding of Cause once known. Upon receiving such notice, Executive shall have a period of thirty (30) days to cure such Cause (if a cure is possible) to the satisfaction of the Company.</w:t>
      </w:r>
    </w:p>
    <w:p>
      <w:pPr>
        <w:spacing w:after="0" w:line="158" w:lineRule="exact"/>
        <w:rPr>
          <w:sz w:val="20"/>
          <w:szCs w:val="20"/>
          <w:color w:val="auto"/>
        </w:rPr>
      </w:pPr>
    </w:p>
    <w:p>
      <w:pPr>
        <w:ind w:left="1300" w:hanging="644"/>
        <w:spacing w:after="0"/>
        <w:tabs>
          <w:tab w:leader="none" w:pos="1300" w:val="left"/>
        </w:tabs>
        <w:numPr>
          <w:ilvl w:val="1"/>
          <w:numId w:val="5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93" w:val="left"/>
        </w:tabs>
        <w:numPr>
          <w:ilvl w:val="1"/>
          <w:numId w:val="5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For all purposes under this Agreement, a Change in Control shall mean a “Corporate Transaction,” as such term is defined in the Plan,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transaction (including any series of transactions) also qualifies as a change in control event under U.S. Treasury Regulation 1.409A-3(i)(5)(v) or (vii).</w:t>
      </w:r>
    </w:p>
    <w:p>
      <w:pPr>
        <w:spacing w:after="0" w:line="170"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5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“CIC Qualifying Termination” </w:t>
      </w:r>
      <w:r>
        <w:rPr>
          <w:rFonts w:ascii="Times New Roman" w:cs="Times New Roman" w:eastAsia="Times New Roman" w:hAnsi="Times New Roman"/>
          <w:sz w:val="18"/>
          <w:szCs w:val="18"/>
          <w:color w:val="auto"/>
        </w:rPr>
        <w:t>means a Separation (A) within twelve (12) months following a Change in Control or (B) within three</w:t>
      </w:r>
    </w:p>
    <w:p>
      <w:pPr>
        <w:spacing w:after="0" w:line="31" w:lineRule="exact"/>
        <w:rPr>
          <w:rFonts w:ascii="Times New Roman" w:cs="Times New Roman" w:eastAsia="Times New Roman" w:hAnsi="Times New Roman"/>
          <w:sz w:val="18"/>
          <w:szCs w:val="18"/>
          <w:b w:val="1"/>
          <w:bCs w:val="1"/>
          <w:color w:val="010000"/>
        </w:rPr>
      </w:pPr>
    </w:p>
    <w:p>
      <w:pPr>
        <w:jc w:val="both"/>
        <w:ind w:firstLine="8"/>
        <w:spacing w:after="0" w:line="252" w:lineRule="auto"/>
        <w:tabs>
          <w:tab w:leader="none" w:pos="2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preceding a Change in Control (but as to part (B), only if the Separation occurs after a Potential Change in Control) resulting, in either case (A) or (B), from (i) the Company terminating the Executive’s employment for any reason other than Cause or (ii) the Executive voluntarily resigning his or her employment for Good Reason. A termination or resignation due to the Executive’s death or disability shall not constitute a CIC Qualifying Termination. A “</w:t>
      </w:r>
      <w:r>
        <w:rPr>
          <w:rFonts w:ascii="Times New Roman" w:cs="Times New Roman" w:eastAsia="Times New Roman" w:hAnsi="Times New Roman"/>
          <w:sz w:val="18"/>
          <w:szCs w:val="18"/>
          <w:b w:val="1"/>
          <w:bCs w:val="1"/>
          <w:color w:val="auto"/>
        </w:rPr>
        <w:t>Potential Change in Control</w:t>
      </w:r>
      <w:r>
        <w:rPr>
          <w:rFonts w:ascii="Times New Roman" w:cs="Times New Roman" w:eastAsia="Times New Roman" w:hAnsi="Times New Roman"/>
          <w:sz w:val="18"/>
          <w:szCs w:val="18"/>
          <w:color w:val="auto"/>
        </w:rPr>
        <w:t>” means the date of execution of a legally binding and definitive agreement for a corporate transaction which, if consummated, would constitute the applicable Change in Control (which for the avoidance of doubt, would include a merger agreement, but not a term sheet for a merger agreement). In the case of a termination following a Potential Change in Control and before a</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3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Change in Control, solely for purposes of benefits under this Agreement, the date of Separation will be deemed the date the Change in Control is consummated.</w:t>
      </w:r>
    </w:p>
    <w:p>
      <w:pPr>
        <w:spacing w:after="0" w:line="158" w:lineRule="exact"/>
        <w:rPr>
          <w:sz w:val="20"/>
          <w:szCs w:val="20"/>
          <w:color w:val="auto"/>
        </w:rPr>
      </w:pPr>
    </w:p>
    <w:p>
      <w:pPr>
        <w:ind w:firstLine="656"/>
        <w:spacing w:after="0" w:line="286" w:lineRule="auto"/>
        <w:tabs>
          <w:tab w:leader="none" w:pos="1293" w:val="left"/>
        </w:tabs>
        <w:numPr>
          <w:ilvl w:val="1"/>
          <w:numId w:val="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means all options to purchase shares of common stock of Nextdoor Holdings, Inc., as well as all other stock-based awards granted to the Executive, including, but not limited to, stock bonus awards, restricted stock, restricted stock units and stock appreciation rights.</w:t>
      </w:r>
    </w:p>
    <w:p>
      <w:pPr>
        <w:spacing w:after="0" w:line="154" w:lineRule="exact"/>
        <w:rPr>
          <w:rFonts w:ascii="Times New Roman" w:cs="Times New Roman" w:eastAsia="Times New Roman" w:hAnsi="Times New Roman"/>
          <w:sz w:val="18"/>
          <w:szCs w:val="18"/>
          <w:b w:val="1"/>
          <w:bCs w:val="1"/>
          <w:color w:val="010000"/>
        </w:rPr>
      </w:pPr>
    </w:p>
    <w:p>
      <w:pPr>
        <w:jc w:val="both"/>
        <w:ind w:firstLine="656"/>
        <w:spacing w:after="0" w:line="254" w:lineRule="auto"/>
        <w:tabs>
          <w:tab w:leader="none" w:pos="1287" w:val="left"/>
        </w:tabs>
        <w:numPr>
          <w:ilvl w:val="1"/>
          <w:numId w:val="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without the Executive’s written consent and provided (a) the Company receives, within thirty (30) days following the occurrence of any of the events set forth in clauses (i) through (iii) below, written notice from Executive indicating the specific basis for Executive’s belief that Executive is entitled to terminate employment for Good Reason, (b) the Company fails to cure the event constituting Good Reason within thirty (30) days after receipt of such written notice thereof, and (c) Executive terminates employment within ten (10) days following expiration of such cure period or receipt from the Company of notice that it will not seek to cure: (i) a material decrease in Executive’s annual base compensation, other than in connection with a general decrease applied to similarly-ranked executives of the Company; (ii) receipt of notice of any change in Executive’s principal worksite that results in Executive’s daily commute increasing by twenty-five (25) miles or more; or (iii) a material diminution in Executive’s authority, duties, or responsibilities (provided, however, that having a similar position, authority, duties or responsibilities after a Change in Control with respect to a division or line of business, rather than a substantially comparable position, authority, reporting structure, duties or responsibilities with respect to the Company’s successor or acquiror, as a whole, shall not alone be considered such a diminution and that a mere change in title, a change in the person or office to which you report shall not constitute “Good Reason”).</w:t>
      </w:r>
    </w:p>
    <w:p>
      <w:pPr>
        <w:spacing w:after="0" w:line="182"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Nextdoor Holdings, Inc. 2021 Equity Incentive Plan, as may be amended from time to time.</w:t>
      </w:r>
    </w:p>
    <w:p>
      <w:pPr>
        <w:spacing w:after="0" w:line="225" w:lineRule="exact"/>
        <w:rPr>
          <w:rFonts w:ascii="Times New Roman" w:cs="Times New Roman" w:eastAsia="Times New Roman" w:hAnsi="Times New Roman"/>
          <w:sz w:val="18"/>
          <w:szCs w:val="18"/>
          <w:b w:val="1"/>
          <w:bCs w:val="1"/>
          <w:color w:val="010000"/>
        </w:rPr>
      </w:pPr>
    </w:p>
    <w:p>
      <w:pPr>
        <w:ind w:firstLine="656"/>
        <w:spacing w:after="0" w:line="286" w:lineRule="auto"/>
        <w:tabs>
          <w:tab w:leader="none" w:pos="1286" w:val="left"/>
        </w:tabs>
        <w:numPr>
          <w:ilvl w:val="1"/>
          <w:numId w:val="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154"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90" w:val="left"/>
        </w:tabs>
        <w:numPr>
          <w:ilvl w:val="1"/>
          <w:numId w:val="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a Separation that is not a CIC Qualifying Termination, but which results from (i) the Company terminating the Executive’s employment for any reason other than Cause or (ii) the Executive voluntarily resigning his or her employment for Good Reason. A termination or resignation due to the Executive’s death or disability shall not constitute a Qualifying Termination.</w:t>
      </w:r>
    </w:p>
    <w:p>
      <w:pPr>
        <w:spacing w:after="0" w:line="170"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5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a “separation from service,” as defined in the regulations under Section 409A of the Code.</w:t>
      </w:r>
    </w:p>
    <w:p>
      <w:pPr>
        <w:spacing w:after="0" w:line="225" w:lineRule="exact"/>
        <w:rPr>
          <w:rFonts w:ascii="Times New Roman" w:cs="Times New Roman" w:eastAsia="Times New Roman" w:hAnsi="Times New Roman"/>
          <w:sz w:val="18"/>
          <w:szCs w:val="18"/>
          <w:b w:val="1"/>
          <w:bCs w:val="1"/>
          <w:color w:val="010000"/>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Successors.</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59" w:lineRule="auto"/>
        <w:tabs>
          <w:tab w:leader="none" w:pos="1290" w:val="left"/>
        </w:tabs>
        <w:numPr>
          <w:ilvl w:val="1"/>
          <w:numId w:val="5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Company’s Successors. </w:t>
      </w:r>
      <w:r>
        <w:rPr>
          <w:rFonts w:ascii="Times New Roman" w:cs="Times New Roman" w:eastAsia="Times New Roman" w:hAnsi="Times New Roman"/>
          <w:sz w:val="18"/>
          <w:szCs w:val="18"/>
          <w:color w:val="auto"/>
        </w:rPr>
        <w:t>The Company shall require any successor (whether direct or indirect and whether by purchase, lease,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79" w:lineRule="exact"/>
        <w:rPr>
          <w:rFonts w:ascii="Times New Roman" w:cs="Times New Roman" w:eastAsia="Times New Roman" w:hAnsi="Times New Roman"/>
          <w:sz w:val="18"/>
          <w:szCs w:val="18"/>
          <w:b w:val="1"/>
          <w:bCs w:val="1"/>
          <w:color w:val="010000"/>
        </w:rPr>
      </w:pPr>
    </w:p>
    <w:p>
      <w:pPr>
        <w:ind w:firstLine="656"/>
        <w:spacing w:after="0" w:line="286" w:lineRule="auto"/>
        <w:tabs>
          <w:tab w:leader="none" w:pos="1286" w:val="left"/>
        </w:tabs>
        <w:numPr>
          <w:ilvl w:val="1"/>
          <w:numId w:val="5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Executive’s Successors. </w:t>
      </w:r>
      <w:r>
        <w:rPr>
          <w:rFonts w:ascii="Times New Roman" w:cs="Times New Roman" w:eastAsia="Times New Roman" w:hAnsi="Times New Roman"/>
          <w:sz w:val="18"/>
          <w:szCs w:val="18"/>
          <w:color w:val="auto"/>
        </w:rPr>
        <w:t>This Agreement and all rights of the Executive hereunder shall inure to the benefit of, and be enforceable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personal or legal representatives, executors, administrators, successors, heirs, distributees, devisees and legatees.</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52"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Golden Parachute Taxes.</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52" w:lineRule="auto"/>
        <w:tabs>
          <w:tab w:leader="none" w:pos="1290" w:val="left"/>
        </w:tabs>
        <w:numPr>
          <w:ilvl w:val="1"/>
          <w:numId w:val="5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Best After-Tax Result. </w:t>
      </w:r>
      <w:r>
        <w:rPr>
          <w:rFonts w:ascii="Times New Roman" w:cs="Times New Roman" w:eastAsia="Times New Roman" w:hAnsi="Times New Roman"/>
          <w:sz w:val="18"/>
          <w:szCs w:val="18"/>
          <w:color w:val="auto"/>
        </w:rPr>
        <w:t>In the event that any payment or benefit received or to be received by Executive pursuant to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subject to the provisions of this 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Times New Roman" w:cs="Times New Roman" w:eastAsia="Times New Roman" w:hAnsi="Times New Roman"/>
          <w:sz w:val="18"/>
          <w:szCs w:val="18"/>
          <w:b w:val="1"/>
          <w:bCs w:val="1"/>
          <w:color w:val="auto"/>
        </w:rPr>
        <w:t>Reduced Amount</w:t>
      </w:r>
      <w:r>
        <w:rPr>
          <w:rFonts w:ascii="Times New Roman" w:cs="Times New Roman" w:eastAsia="Times New Roman" w:hAnsi="Times New Roman"/>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Times New Roman" w:cs="Times New Roman" w:eastAsia="Times New Roman" w:hAnsi="Times New Roman"/>
          <w:sz w:val="18"/>
          <w:szCs w:val="18"/>
          <w:b w:val="1"/>
          <w:bCs w:val="1"/>
          <w:color w:val="auto"/>
        </w:rPr>
        <w:t>Independent Tax Counsel</w:t>
      </w:r>
      <w:r>
        <w:rPr>
          <w:rFonts w:ascii="Times New Roman" w:cs="Times New Roman" w:eastAsia="Times New Roman" w:hAnsi="Times New Roman"/>
          <w:sz w:val="18"/>
          <w:szCs w:val="18"/>
          <w:color w:val="auto"/>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determines that any Payment is subject to the Excise Tax, then Section 8(b) hereof shall apply, and the enforcement of Section 8(b) shall be the exclusive remedy to the Company.</w:t>
      </w:r>
    </w:p>
    <w:p>
      <w:pPr>
        <w:spacing w:after="0" w:line="185" w:lineRule="exact"/>
        <w:rPr>
          <w:rFonts w:ascii="Times New Roman" w:cs="Times New Roman" w:eastAsia="Times New Roman" w:hAnsi="Times New Roman"/>
          <w:sz w:val="18"/>
          <w:szCs w:val="18"/>
          <w:b w:val="1"/>
          <w:bCs w:val="1"/>
          <w:color w:val="010000"/>
        </w:rPr>
      </w:pPr>
    </w:p>
    <w:p>
      <w:pPr>
        <w:jc w:val="both"/>
        <w:ind w:firstLine="656"/>
        <w:spacing w:after="0" w:line="254" w:lineRule="auto"/>
        <w:tabs>
          <w:tab w:leader="none" w:pos="1286" w:val="left"/>
        </w:tabs>
        <w:numPr>
          <w:ilvl w:val="1"/>
          <w:numId w:val="5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18"/>
          <w:szCs w:val="18"/>
          <w:color w:val="auto"/>
        </w:rPr>
        <w:t>If, notwithstanding any reduction described in Section 8(a) hereof (or in the absence of any such reduction), the 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Times New Roman" w:cs="Times New Roman" w:eastAsia="Times New Roman" w:hAnsi="Times New Roman"/>
          <w:sz w:val="18"/>
          <w:szCs w:val="18"/>
          <w:b w:val="1"/>
          <w:bCs w:val="1"/>
          <w:color w:val="auto"/>
        </w:rPr>
        <w:t>Repayment Amount</w:t>
      </w:r>
      <w:r>
        <w:rPr>
          <w:rFonts w:ascii="Times New Roman" w:cs="Times New Roman" w:eastAsia="Times New Roman" w:hAnsi="Times New Roman"/>
          <w:sz w:val="18"/>
          <w:szCs w:val="18"/>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w:t>
      </w:r>
    </w:p>
    <w:p>
      <w:pPr>
        <w:spacing w:after="0" w:line="3" w:lineRule="exact"/>
        <w:rPr>
          <w:rFonts w:ascii="Times New Roman" w:cs="Times New Roman" w:eastAsia="Times New Roman" w:hAnsi="Times New Roman"/>
          <w:sz w:val="18"/>
          <w:szCs w:val="18"/>
          <w:b w:val="1"/>
          <w:bCs w:val="1"/>
          <w:color w:val="010000"/>
        </w:rPr>
      </w:pPr>
    </w:p>
    <w:p>
      <w:pPr>
        <w:jc w:val="both"/>
        <w:ind w:right="20"/>
        <w:spacing w:after="0" w:line="255" w:lineRule="auto"/>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spacing w:after="0" w:line="181" w:lineRule="exact"/>
        <w:rPr>
          <w:rFonts w:ascii="Times New Roman" w:cs="Times New Roman" w:eastAsia="Times New Roman" w:hAnsi="Times New Roman"/>
          <w:sz w:val="18"/>
          <w:szCs w:val="18"/>
          <w:b w:val="1"/>
          <w:bCs w:val="1"/>
          <w:color w:val="010000"/>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Miscellaneous Provisions.</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62" w:lineRule="auto"/>
        <w:tabs>
          <w:tab w:leader="none" w:pos="1290" w:val="left"/>
        </w:tabs>
        <w:numPr>
          <w:ilvl w:val="1"/>
          <w:numId w:val="5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To the extent (i) any payments to which Executive becomes entitled under this Agreement, or any agreement or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(6)-month period measured from the Executive’s Separation; or (ii) the date of Executive’s death following such Separation;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193" w:lineRule="exact"/>
        <w:rPr>
          <w:sz w:val="20"/>
          <w:szCs w:val="20"/>
          <w:color w:val="auto"/>
        </w:rPr>
      </w:pPr>
    </w:p>
    <w:p>
      <w:pPr>
        <w:jc w:val="both"/>
        <w:ind w:firstLine="656"/>
        <w:spacing w:after="0" w:line="257" w:lineRule="auto"/>
        <w:tabs>
          <w:tab w:leader="none" w:pos="1286" w:val="left"/>
        </w:tabs>
        <w:numPr>
          <w:ilvl w:val="0"/>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Other Arrangements. </w:t>
      </w:r>
      <w:r>
        <w:rPr>
          <w:rFonts w:ascii="Times New Roman" w:cs="Times New Roman" w:eastAsia="Times New Roman" w:hAnsi="Times New Roman"/>
          <w:sz w:val="18"/>
          <w:szCs w:val="18"/>
          <w:color w:val="auto"/>
        </w:rPr>
        <w:t>This Agreement supersedes any and all cash severance arrangements and vesting acceleration arrangements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governing Equity Awards, severance and salary continuation arrangements, programs and plans which were previously offered by the Company to the Executive, including under any employment agreement or offer letter, and Executive hereby waives Executive’s rights to such other benefits except as set forth in the succeeding sentence. In no event shall any individual receive cash severance benefits under both this Agreement and any other severance pay or salary continuation program, plan or other arrangement with the Company. For the avoidance of doubt, in no event shall Executive receive payment under both Section 2 and Section 3 with respect to Executive’s Separation.</w:t>
      </w:r>
    </w:p>
    <w:p>
      <w:pPr>
        <w:spacing w:after="0" w:line="182"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93" w:val="left"/>
        </w:tabs>
        <w:numPr>
          <w:ilvl w:val="0"/>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Dispute Resolution. </w:t>
      </w:r>
      <w:r>
        <w:rPr>
          <w:rFonts w:ascii="Times New Roman" w:cs="Times New Roman" w:eastAsia="Times New Roman" w:hAnsi="Times New Roman"/>
          <w:sz w:val="18"/>
          <w:szCs w:val="18"/>
          <w:color w:val="auto"/>
        </w:rPr>
        <w:t>Executive hereby acknowledges and agrees that his or her Arbitration Agreement with the Company remains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and effect and that any and all disputes arising in connection with this Agreement shall be solely governed by the terms and procedures set forth in Executive’s Arbitration Agreement.</w:t>
      </w:r>
    </w:p>
    <w:p>
      <w:pPr>
        <w:spacing w:after="0" w:line="170" w:lineRule="exact"/>
        <w:rPr>
          <w:rFonts w:ascii="Times New Roman" w:cs="Times New Roman" w:eastAsia="Times New Roman" w:hAnsi="Times New Roman"/>
          <w:sz w:val="18"/>
          <w:szCs w:val="18"/>
          <w:b w:val="1"/>
          <w:bCs w:val="1"/>
          <w:color w:val="010000"/>
        </w:rPr>
      </w:pPr>
    </w:p>
    <w:p>
      <w:pPr>
        <w:jc w:val="both"/>
        <w:ind w:firstLine="656"/>
        <w:spacing w:after="0" w:line="256" w:lineRule="auto"/>
        <w:tabs>
          <w:tab w:leader="none" w:pos="1286" w:val="left"/>
        </w:tabs>
        <w:numPr>
          <w:ilvl w:val="0"/>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Notices and all other communications contemplated by this Agreement shall be in writing (including via email)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been duly given when (i) personally delivered, (ii) when mailed by U.S. registered or certified mail, return receipt requested and postage prepaid or deposited with Federal Express Corporation, with shipping charges prepaid, or (iii) when sent by email, on the date that the email is received (provided that, if the time of deemed receipt is not before 5:30PM local time on a business day, it is deemed to have been received at the commencement of business on the next business day). In the case of the Executive, mailed notices shall be addressed to him or her at the home address or email address which he or she most recently communicated to the Company. In the case of the Company, mailed notices shall be addressed to its corporate headquarters, and all notices shall be directed to the attention of its Secretary.</w:t>
      </w:r>
    </w:p>
    <w:p>
      <w:pPr>
        <w:spacing w:after="0" w:line="182" w:lineRule="exact"/>
        <w:rPr>
          <w:rFonts w:ascii="Times New Roman" w:cs="Times New Roman" w:eastAsia="Times New Roman" w:hAnsi="Times New Roman"/>
          <w:sz w:val="18"/>
          <w:szCs w:val="18"/>
          <w:b w:val="1"/>
          <w:bCs w:val="1"/>
          <w:color w:val="010000"/>
        </w:rPr>
      </w:pPr>
    </w:p>
    <w:p>
      <w:pPr>
        <w:jc w:val="both"/>
        <w:ind w:firstLine="656"/>
        <w:spacing w:after="0" w:line="262" w:lineRule="auto"/>
        <w:tabs>
          <w:tab w:leader="none" w:pos="1293" w:val="left"/>
        </w:tabs>
        <w:numPr>
          <w:ilvl w:val="0"/>
          <w:numId w:val="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No provision of this Agreement shall be modified, waived or discharged unless the modification, waiver or discharge is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52" w:lineRule="exact"/>
        <w:rPr>
          <w:sz w:val="20"/>
          <w:szCs w:val="20"/>
          <w:color w:val="auto"/>
        </w:rPr>
      </w:pPr>
    </w:p>
    <w:p>
      <w:pPr>
        <w:ind w:left="-656" w:firstLine="656"/>
        <w:spacing w:after="0" w:line="286" w:lineRule="auto"/>
        <w:tabs>
          <w:tab w:leader="none" w:pos="631" w:val="left"/>
        </w:tabs>
        <w:numPr>
          <w:ilvl w:val="0"/>
          <w:numId w:val="5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Withholding Taxes. </w:t>
      </w:r>
      <w:r>
        <w:rPr>
          <w:rFonts w:ascii="Times New Roman" w:cs="Times New Roman" w:eastAsia="Times New Roman" w:hAnsi="Times New Roman"/>
          <w:sz w:val="18"/>
          <w:szCs w:val="18"/>
          <w:color w:val="auto"/>
        </w:rPr>
        <w:t>All payments made under this Agreement shall be subject to reduction to reflect taxes or other charges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law.</w:t>
      </w:r>
    </w:p>
    <w:p>
      <w:pPr>
        <w:spacing w:after="0" w:line="154" w:lineRule="exact"/>
        <w:rPr>
          <w:rFonts w:ascii="Times New Roman" w:cs="Times New Roman" w:eastAsia="Times New Roman" w:hAnsi="Times New Roman"/>
          <w:sz w:val="18"/>
          <w:szCs w:val="18"/>
          <w:b w:val="1"/>
          <w:bCs w:val="1"/>
          <w:color w:val="010000"/>
        </w:rPr>
      </w:pPr>
    </w:p>
    <w:p>
      <w:pPr>
        <w:ind w:left="-656" w:firstLine="656"/>
        <w:spacing w:after="0" w:line="286" w:lineRule="auto"/>
        <w:tabs>
          <w:tab w:leader="none" w:pos="634" w:val="left"/>
        </w:tabs>
        <w:numPr>
          <w:ilvl w:val="0"/>
          <w:numId w:val="5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or provisions of this Agreement shall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any other provision hereof, which shall remain in full force and effect.</w:t>
      </w:r>
    </w:p>
    <w:p>
      <w:pPr>
        <w:spacing w:after="0" w:line="154" w:lineRule="exact"/>
        <w:rPr>
          <w:rFonts w:ascii="Times New Roman" w:cs="Times New Roman" w:eastAsia="Times New Roman" w:hAnsi="Times New Roman"/>
          <w:sz w:val="18"/>
          <w:szCs w:val="18"/>
          <w:b w:val="1"/>
          <w:bCs w:val="1"/>
          <w:color w:val="010000"/>
        </w:rPr>
      </w:pPr>
    </w:p>
    <w:p>
      <w:pPr>
        <w:jc w:val="both"/>
        <w:ind w:left="-656" w:right="20" w:firstLine="656"/>
        <w:spacing w:after="0" w:line="268" w:lineRule="auto"/>
        <w:tabs>
          <w:tab w:leader="none" w:pos="630" w:val="left"/>
        </w:tabs>
        <w:numPr>
          <w:ilvl w:val="0"/>
          <w:numId w:val="5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No Retention Rights. </w:t>
      </w:r>
      <w:r>
        <w:rPr>
          <w:rFonts w:ascii="Times New Roman" w:cs="Times New Roman" w:eastAsia="Times New Roman" w:hAnsi="Times New Roman"/>
          <w:sz w:val="18"/>
          <w:szCs w:val="18"/>
          <w:color w:val="auto"/>
        </w:rPr>
        <w:t>Nothing in this Agreement shall confer upon the Executive any right to continue in service for any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170" w:lineRule="exact"/>
        <w:rPr>
          <w:rFonts w:ascii="Times New Roman" w:cs="Times New Roman" w:eastAsia="Times New Roman" w:hAnsi="Times New Roman"/>
          <w:sz w:val="18"/>
          <w:szCs w:val="18"/>
          <w:b w:val="1"/>
          <w:bCs w:val="1"/>
          <w:color w:val="010000"/>
        </w:rPr>
      </w:pPr>
    </w:p>
    <w:p>
      <w:pPr>
        <w:ind w:left="-656" w:right="20" w:firstLine="656"/>
        <w:spacing w:after="0" w:line="286" w:lineRule="auto"/>
        <w:tabs>
          <w:tab w:leader="none" w:pos="634" w:val="left"/>
        </w:tabs>
        <w:numPr>
          <w:ilvl w:val="0"/>
          <w:numId w:val="5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The validity, interpretation, construction and performance of this Agreement shall be governed by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(other than its choice-of-law provisions).</w:t>
      </w:r>
    </w:p>
    <w:p>
      <w:pPr>
        <w:sectPr>
          <w:pgSz w:w="11900" w:h="16838" w:orient="portrait"/>
          <w:cols w:equalWidth="0" w:num="1">
            <w:col w:w="10584"/>
          </w:cols>
          <w:pgMar w:left="976" w:top="1440" w:right="339" w:bottom="1440" w:gutter="0" w:footer="0" w:header="0"/>
        </w:sectPr>
      </w:pPr>
    </w:p>
    <w:bookmarkStart w:id="104" w:name="page105"/>
    <w:bookmarkEnd w:id="104"/>
    <w:p>
      <w:pPr>
        <w:spacing w:after="0" w:line="200" w:lineRule="exact"/>
        <w:rPr>
          <w:sz w:val="20"/>
          <w:szCs w:val="20"/>
          <w:color w:val="auto"/>
        </w:rPr>
      </w:pPr>
    </w:p>
    <w:p>
      <w:pPr>
        <w:spacing w:after="0" w:line="37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executed this Agreement, in the case of the Company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EXECUTIVE</w:t>
      </w:r>
      <w:r>
        <w:rPr>
          <w:sz w:val="20"/>
          <w:szCs w:val="20"/>
          <w:color w:val="auto"/>
        </w:rPr>
        <w:tab/>
      </w:r>
      <w:r>
        <w:rPr>
          <w:rFonts w:ascii="Times New Roman" w:cs="Times New Roman" w:eastAsia="Times New Roman" w:hAnsi="Times New Roman"/>
          <w:sz w:val="18"/>
          <w:szCs w:val="18"/>
          <w:b w:val="1"/>
          <w:bCs w:val="1"/>
          <w:color w:val="auto"/>
        </w:rPr>
        <w:t>NEXTDOOR,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 /s/ Nirav Tolia</w:t>
      </w:r>
    </w:p>
    <w:p>
      <w:pPr>
        <w:ind w:left="80"/>
        <w:spacing w:after="0" w:line="196" w:lineRule="auto"/>
        <w:tabs>
          <w:tab w:leader="none" w:pos="5680" w:val="left"/>
        </w:tabs>
        <w:rPr>
          <w:sz w:val="20"/>
          <w:szCs w:val="20"/>
          <w:color w:val="auto"/>
        </w:rPr>
      </w:pPr>
      <w:r>
        <w:rPr>
          <w:rFonts w:ascii="Times New Roman" w:cs="Times New Roman" w:eastAsia="Times New Roman" w:hAnsi="Times New Roman"/>
          <w:sz w:val="20"/>
          <w:szCs w:val="20"/>
          <w:color w:val="auto"/>
        </w:rPr>
        <w:t>/s/ Amresh Indrajit Ponnambalam</w:t>
      </w:r>
      <w:r>
        <w:rPr>
          <w:sz w:val="20"/>
          <w:szCs w:val="20"/>
          <w:color w:val="auto"/>
        </w:rPr>
        <w:tab/>
      </w:r>
      <w:r>
        <w:rPr>
          <w:rFonts w:ascii="Times New Roman" w:cs="Times New Roman" w:eastAsia="Times New Roman" w:hAnsi="Times New Roman"/>
          <w:sz w:val="26"/>
          <w:szCs w:val="26"/>
          <w:color w:val="auto"/>
          <w:vertAlign w:val="superscript"/>
        </w:rPr>
        <w:t>Name: 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0</wp:posOffset>
            </wp:positionV>
            <wp:extent cx="18249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1824990"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Amresh Indrajit Ponnambalam</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Employee Invention Assignment and Confidentiality Agreement</w:t>
      </w:r>
    </w:p>
    <w:p>
      <w:pPr>
        <w:spacing w:after="0" w:line="21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consideration of, and as a condition of my employment with Nextdoor,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 as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signing this Employee Invention Assignment and Confidentiality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hereby represent to, and agree with the Company, as follows:</w:t>
      </w:r>
    </w:p>
    <w:p>
      <w:pPr>
        <w:spacing w:after="0" w:line="190" w:lineRule="exact"/>
        <w:rPr>
          <w:sz w:val="20"/>
          <w:szCs w:val="20"/>
          <w:color w:val="auto"/>
        </w:rPr>
      </w:pPr>
    </w:p>
    <w:p>
      <w:pPr>
        <w:jc w:val="both"/>
        <w:ind w:firstLine="650"/>
        <w:spacing w:after="0" w:line="263" w:lineRule="auto"/>
        <w:tabs>
          <w:tab w:leader="none" w:pos="1196" w:val="left"/>
        </w:tabs>
        <w:numPr>
          <w:ilvl w:val="0"/>
          <w:numId w:val="57"/>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Purpose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the Company is engaged in a continuous program of research,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and marketing in connection with its current and projected business and that it is critical for the Company to preserve and protect its “</w:t>
      </w:r>
      <w:r>
        <w:rPr>
          <w:rFonts w:ascii="Arial" w:cs="Arial" w:eastAsia="Arial" w:hAnsi="Arial"/>
          <w:sz w:val="18"/>
          <w:szCs w:val="18"/>
          <w:b w:val="1"/>
          <w:bCs w:val="1"/>
          <w:i w:val="1"/>
          <w:iCs w:val="1"/>
          <w:color w:val="auto"/>
        </w:rPr>
        <w:t>Proprietary Information</w:t>
      </w:r>
      <w:r>
        <w:rPr>
          <w:rFonts w:ascii="Arial" w:cs="Arial" w:eastAsia="Arial" w:hAnsi="Arial"/>
          <w:sz w:val="18"/>
          <w:szCs w:val="18"/>
          <w:color w:val="auto"/>
        </w:rPr>
        <w:t>” (as defined in Section 8 below), its rights in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(as defined in Section 2 below) and in all related intellectual property rights. Accordingly, I am entering into this Agreement as a condition of my employment with the Company, whether or not I am expected to create inventions or other works of value for the Company.</w:t>
      </w:r>
    </w:p>
    <w:p>
      <w:pPr>
        <w:spacing w:after="0" w:line="215" w:lineRule="exact"/>
        <w:rPr>
          <w:rFonts w:ascii="Arial" w:cs="Arial" w:eastAsia="Arial" w:hAnsi="Arial"/>
          <w:sz w:val="17"/>
          <w:szCs w:val="17"/>
          <w:b w:val="1"/>
          <w:bCs w:val="1"/>
          <w:color w:val="auto"/>
        </w:rPr>
      </w:pPr>
    </w:p>
    <w:p>
      <w:pPr>
        <w:jc w:val="both"/>
        <w:ind w:firstLine="650"/>
        <w:spacing w:after="0" w:line="265" w:lineRule="auto"/>
        <w:tabs>
          <w:tab w:leader="none" w:pos="1195" w:val="left"/>
        </w:tabs>
        <w:numPr>
          <w:ilvl w:val="0"/>
          <w:numId w:val="57"/>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Disclosure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will promptly disclose in confidence to the Company, or any person designated by it, all</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improvements, designs, original works of authorship, formulas, processes, compositions of matter, computer software programs, databases, mask works and trade secrets that I make, conceive, first reduce to practice or create, either alone or jointly with others, during the period of my employment, whether or not in the course of my employment, and whether or not patentable, copyrightable or protectable as trade secrets (the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w:t>
      </w:r>
    </w:p>
    <w:p>
      <w:pPr>
        <w:spacing w:after="0" w:line="193" w:lineRule="exact"/>
        <w:rPr>
          <w:rFonts w:ascii="Arial" w:cs="Arial" w:eastAsia="Arial" w:hAnsi="Arial"/>
          <w:sz w:val="17"/>
          <w:szCs w:val="17"/>
          <w:b w:val="1"/>
          <w:bCs w:val="1"/>
          <w:color w:val="auto"/>
        </w:rPr>
      </w:pPr>
    </w:p>
    <w:p>
      <w:pPr>
        <w:jc w:val="both"/>
        <w:ind w:firstLine="650"/>
        <w:spacing w:after="0" w:line="263" w:lineRule="auto"/>
        <w:tabs>
          <w:tab w:leader="none" w:pos="1196" w:val="left"/>
        </w:tabs>
        <w:numPr>
          <w:ilvl w:val="0"/>
          <w:numId w:val="57"/>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Work for Hire; Assignment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acknowledge and agree that any copyrightable works prepared by me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scope of my employment are “works for hire” under the Copyright Act and that the Company will be considered the author and owner of such copyrightable works. I agree that all Inventions that I make, create, conceive or first reduce to practice during the period of my employment, whether or not in the course of my employment, and whether or not patentable, copyrightable or protectable as a trade secret, and that (i) are developed using equipment, supplies, facilities or trade secrets of the Company; (ii) result from work performed by me for the Company; or (iii) relate to the Company’s business or actual or demonstrably anticipated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w:t>
      </w:r>
    </w:p>
    <w:p>
      <w:pPr>
        <w:spacing w:after="0" w:line="194" w:lineRule="exact"/>
        <w:rPr>
          <w:rFonts w:ascii="Arial" w:cs="Arial" w:eastAsia="Arial" w:hAnsi="Arial"/>
          <w:sz w:val="17"/>
          <w:szCs w:val="17"/>
          <w:b w:val="1"/>
          <w:bCs w:val="1"/>
          <w:color w:val="auto"/>
        </w:rPr>
      </w:pPr>
    </w:p>
    <w:p>
      <w:pPr>
        <w:jc w:val="both"/>
        <w:ind w:firstLine="650"/>
        <w:spacing w:after="0" w:line="258" w:lineRule="auto"/>
        <w:tabs>
          <w:tab w:leader="none" w:pos="1196" w:val="left"/>
        </w:tabs>
        <w:numPr>
          <w:ilvl w:val="0"/>
          <w:numId w:val="57"/>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222222"/>
        </w:rPr>
        <w:t>Excluded Inventions and Other Inventions</w:t>
      </w:r>
      <w:r>
        <w:rPr>
          <w:rFonts w:ascii="Arial" w:cs="Arial" w:eastAsia="Arial" w:hAnsi="Arial"/>
          <w:sz w:val="18"/>
          <w:szCs w:val="18"/>
          <w:b w:val="1"/>
          <w:bCs w:val="1"/>
          <w:color w:val="222222"/>
          <w:highlight w:val="white"/>
        </w:rPr>
        <w:t>.</w:t>
      </w:r>
      <w:r>
        <w:rPr>
          <w:rFonts w:ascii="Arial" w:cs="Arial" w:eastAsia="Arial" w:hAnsi="Arial"/>
          <w:sz w:val="18"/>
          <w:szCs w:val="18"/>
          <w:b w:val="1"/>
          <w:bCs w:val="1"/>
          <w:color w:val="222222"/>
        </w:rPr>
        <w:t xml:space="preserve"> </w:t>
      </w:r>
      <w:r>
        <w:rPr>
          <w:rFonts w:ascii="Arial" w:cs="Arial" w:eastAsia="Arial" w:hAnsi="Arial"/>
          <w:sz w:val="18"/>
          <w:szCs w:val="18"/>
          <w:color w:val="222222"/>
          <w:highlight w:val="white"/>
        </w:rPr>
        <w:t>Attached hereto as</w:t>
      </w:r>
      <w:r>
        <w:rPr>
          <w:rFonts w:ascii="Arial" w:cs="Arial" w:eastAsia="Arial" w:hAnsi="Arial"/>
          <w:sz w:val="18"/>
          <w:szCs w:val="18"/>
          <w:b w:val="1"/>
          <w:bCs w:val="1"/>
          <w:color w:val="222222"/>
        </w:rPr>
        <w:t xml:space="preserve"> </w:t>
      </w:r>
      <w:r>
        <w:rPr>
          <w:rFonts w:ascii="Arial" w:cs="Arial" w:eastAsia="Arial" w:hAnsi="Arial"/>
          <w:sz w:val="18"/>
          <w:szCs w:val="18"/>
          <w:b w:val="1"/>
          <w:bCs w:val="1"/>
          <w:u w:val="single" w:color="auto"/>
          <w:color w:val="222222"/>
          <w:highlight w:val="white"/>
        </w:rPr>
        <w:t>Exhibit A</w:t>
      </w:r>
      <w:r>
        <w:rPr>
          <w:rFonts w:ascii="Arial" w:cs="Arial" w:eastAsia="Arial" w:hAnsi="Arial"/>
          <w:sz w:val="18"/>
          <w:szCs w:val="18"/>
          <w:b w:val="1"/>
          <w:bCs w:val="1"/>
          <w:color w:val="222222"/>
        </w:rPr>
        <w:t xml:space="preserve"> </w:t>
      </w:r>
      <w:r>
        <w:rPr>
          <w:rFonts w:ascii="Arial" w:cs="Arial" w:eastAsia="Arial" w:hAnsi="Arial"/>
          <w:sz w:val="18"/>
          <w:szCs w:val="18"/>
          <w:color w:val="222222"/>
          <w:highlight w:val="white"/>
        </w:rPr>
        <w:t>is a list describing all Inventions, if any, that</w:t>
      </w:r>
      <w:r>
        <w:rPr>
          <w:rFonts w:ascii="Arial" w:cs="Arial" w:eastAsia="Arial" w:hAnsi="Arial"/>
          <w:sz w:val="18"/>
          <w:szCs w:val="18"/>
          <w:b w:val="1"/>
          <w:bCs w:val="1"/>
          <w:color w:val="222222"/>
        </w:rPr>
        <w:t xml:space="preserve"> </w:t>
      </w:r>
      <w:r>
        <w:rPr>
          <w:rFonts w:ascii="Arial" w:cs="Arial" w:eastAsia="Arial" w:hAnsi="Arial"/>
          <w:sz w:val="18"/>
          <w:szCs w:val="18"/>
          <w:color w:val="222222"/>
        </w:rPr>
        <w:t>may relate to the Company’s business or actual or demonstrably anticipated research or development and that were made, developed or acquired by me prior to the Effective Date (as defined in Section 26, below) of this Agreement, which are not being assigned to the Company (the “</w:t>
      </w:r>
      <w:r>
        <w:rPr>
          <w:rFonts w:ascii="Arial" w:cs="Arial" w:eastAsia="Arial" w:hAnsi="Arial"/>
          <w:sz w:val="18"/>
          <w:szCs w:val="18"/>
          <w:b w:val="1"/>
          <w:bCs w:val="1"/>
          <w:i w:val="1"/>
          <w:iCs w:val="1"/>
          <w:color w:val="222222"/>
        </w:rPr>
        <w:t>Excluded Inventions</w:t>
      </w:r>
      <w:r>
        <w:rPr>
          <w:rFonts w:ascii="Arial" w:cs="Arial" w:eastAsia="Arial" w:hAnsi="Arial"/>
          <w:sz w:val="18"/>
          <w:szCs w:val="18"/>
          <w:color w:val="222222"/>
        </w:rPr>
        <w:t xml:space="preserve">”). If no such list is attached, I represent and agree that it is because I have no rights in any existing Inventions that may relate to the Company’s business or actual or demonstrably anticipated research or development. If disclosure of any such existing Inventions would cause me to violate any prior confidentiality agreement, I shall not list such existing Inventions in </w:t>
      </w:r>
      <w:r>
        <w:rPr>
          <w:rFonts w:ascii="Arial" w:cs="Arial" w:eastAsia="Arial" w:hAnsi="Arial"/>
          <w:sz w:val="18"/>
          <w:szCs w:val="18"/>
          <w:b w:val="1"/>
          <w:bCs w:val="1"/>
          <w:color w:val="222222"/>
        </w:rPr>
        <w:t>Exhibit A</w:t>
      </w:r>
      <w:r>
        <w:rPr>
          <w:rFonts w:ascii="Arial" w:cs="Arial" w:eastAsia="Arial" w:hAnsi="Arial"/>
          <w:sz w:val="18"/>
          <w:szCs w:val="18"/>
          <w:color w:val="222222"/>
        </w:rPr>
        <w:t xml:space="preserve">, but shall instead list on </w:t>
      </w:r>
      <w:r>
        <w:rPr>
          <w:rFonts w:ascii="Arial" w:cs="Arial" w:eastAsia="Arial" w:hAnsi="Arial"/>
          <w:sz w:val="18"/>
          <w:szCs w:val="18"/>
          <w:b w:val="1"/>
          <w:bCs w:val="1"/>
          <w:color w:val="222222"/>
        </w:rPr>
        <w:t>Exhibit A</w:t>
      </w:r>
      <w:r>
        <w:rPr>
          <w:rFonts w:ascii="Arial" w:cs="Arial" w:eastAsia="Arial" w:hAnsi="Arial"/>
          <w:sz w:val="18"/>
          <w:szCs w:val="18"/>
          <w:color w:val="222222"/>
        </w:rPr>
        <w:t xml:space="preserve"> only (i) a cursory, non-proprietary name for each such existing Invention, (ii) the party (or parties) to whom it belongs and (iii) the fact that full disclosure as to such prior Invention(s) has not been made for that reason. For purposes of this Agreement, “</w:t>
      </w:r>
      <w:r>
        <w:rPr>
          <w:rFonts w:ascii="Arial" w:cs="Arial" w:eastAsia="Arial" w:hAnsi="Arial"/>
          <w:sz w:val="18"/>
          <w:szCs w:val="18"/>
          <w:b w:val="1"/>
          <w:bCs w:val="1"/>
          <w:i w:val="1"/>
          <w:iCs w:val="1"/>
          <w:color w:val="222222"/>
        </w:rPr>
        <w:t>Other Inventions</w:t>
      </w:r>
      <w:r>
        <w:rPr>
          <w:rFonts w:ascii="Arial" w:cs="Arial" w:eastAsia="Arial" w:hAnsi="Arial"/>
          <w:sz w:val="18"/>
          <w:szCs w:val="18"/>
          <w:color w:val="222222"/>
        </w:rPr>
        <w:t>” means Inventions in which I have or may have an interest, as of the Effective Date or thereafter, other than Assigned Inventions and Excluded Inventions. I acknowledge and agree that if, in the scope of my employment, I use any Excluded Inventions or any Other Inventions, or if I include any Excluded Inventions or Other Inventions in any product or service of the Company, or if my rights in any Excluded Inventions or Other Inventions may block or interfere with, or may otherwise be required for, the exercise by the Company of any rights assigned to the Company under this Agreement, I will immediately</w:t>
      </w:r>
    </w:p>
    <w:p>
      <w:pPr>
        <w:sectPr>
          <w:pgSz w:w="11900" w:h="16838" w:orient="portrait"/>
          <w:cols w:equalWidth="0" w:num="1">
            <w:col w:w="11020"/>
          </w:cols>
          <w:pgMar w:left="420" w:top="1440" w:right="459" w:bottom="1440" w:gutter="0" w:footer="0" w:header="0"/>
        </w:sectPr>
      </w:pPr>
    </w:p>
    <w:bookmarkStart w:id="106" w:name="page107"/>
    <w:bookmarkEnd w:id="106"/>
    <w:p>
      <w:pPr>
        <w:spacing w:after="0" w:line="3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2222"/>
        </w:rPr>
        <w:t>so notify the Company in writing. Unless the Company and I agree otherwise in writing as to particular Excluded Inventions or Other Inventions, I hereby grant to the Company, in such circumstances (whether or not I give the Company notice as required above), a perpetual, irrevocable, nonexclusive, transferable, world-wide, royalty-free license to use, disclose, make, sell, offer for sale, import, copy, distribute, modify and create works based on, perform, and display such Excluded Inventions and Other Inventions, and to sublicense third parties in one or more tiers of sublicensees with the same rights.</w:t>
      </w:r>
    </w:p>
    <w:p>
      <w:pPr>
        <w:spacing w:after="0" w:line="202" w:lineRule="exact"/>
        <w:rPr>
          <w:sz w:val="20"/>
          <w:szCs w:val="20"/>
          <w:color w:val="auto"/>
        </w:rPr>
      </w:pPr>
    </w:p>
    <w:p>
      <w:pPr>
        <w:jc w:val="both"/>
        <w:ind w:firstLine="650"/>
        <w:spacing w:after="0" w:line="276" w:lineRule="auto"/>
        <w:tabs>
          <w:tab w:leader="none" w:pos="1196" w:val="left"/>
        </w:tabs>
        <w:numPr>
          <w:ilvl w:val="0"/>
          <w:numId w:val="58"/>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222222"/>
        </w:rPr>
        <w:t>Exception to Assignment</w:t>
      </w:r>
      <w:r>
        <w:rPr>
          <w:rFonts w:ascii="Arial" w:cs="Arial" w:eastAsia="Arial" w:hAnsi="Arial"/>
          <w:sz w:val="18"/>
          <w:szCs w:val="18"/>
          <w:color w:val="222222"/>
          <w:highlight w:val="white"/>
        </w:rPr>
        <w:t>. I understand that the Assigned Inventions will not include, and the provisions of this Agreement</w:t>
      </w:r>
      <w:r>
        <w:rPr>
          <w:rFonts w:ascii="Arial" w:cs="Arial" w:eastAsia="Arial" w:hAnsi="Arial"/>
          <w:sz w:val="18"/>
          <w:szCs w:val="18"/>
          <w:b w:val="1"/>
          <w:bCs w:val="1"/>
          <w:color w:val="222222"/>
        </w:rPr>
        <w:t xml:space="preserve"> </w:t>
      </w:r>
      <w:r>
        <w:rPr>
          <w:rFonts w:ascii="Arial" w:cs="Arial" w:eastAsia="Arial" w:hAnsi="Arial"/>
          <w:sz w:val="18"/>
          <w:szCs w:val="18"/>
          <w:color w:val="222222"/>
        </w:rPr>
        <w:t xml:space="preserve">requiring assignment of inventions to the Company do not apply to, any invention that qualifies fully for exclusion under applicable law or as otherwise set forth in </w:t>
      </w:r>
      <w:r>
        <w:rPr>
          <w:rFonts w:ascii="Arial" w:cs="Arial" w:eastAsia="Arial" w:hAnsi="Arial"/>
          <w:sz w:val="18"/>
          <w:szCs w:val="18"/>
          <w:u w:val="single" w:color="auto"/>
          <w:color w:val="222222"/>
        </w:rPr>
        <w:t>Exhibit B</w:t>
      </w:r>
      <w:r>
        <w:rPr>
          <w:rFonts w:ascii="Arial" w:cs="Arial" w:eastAsia="Arial" w:hAnsi="Arial"/>
          <w:sz w:val="18"/>
          <w:szCs w:val="18"/>
          <w:color w:val="222222"/>
        </w:rPr>
        <w:t>.</w:t>
      </w:r>
    </w:p>
    <w:p>
      <w:pPr>
        <w:spacing w:after="0" w:line="190" w:lineRule="exact"/>
        <w:rPr>
          <w:rFonts w:ascii="Arial" w:cs="Arial" w:eastAsia="Arial" w:hAnsi="Arial"/>
          <w:sz w:val="17"/>
          <w:szCs w:val="17"/>
          <w:b w:val="1"/>
          <w:bCs w:val="1"/>
          <w:color w:val="auto"/>
        </w:rPr>
      </w:pPr>
    </w:p>
    <w:p>
      <w:pPr>
        <w:jc w:val="both"/>
        <w:ind w:firstLine="650"/>
        <w:spacing w:after="0" w:line="258" w:lineRule="auto"/>
        <w:tabs>
          <w:tab w:leader="none" w:pos="1195" w:val="left"/>
        </w:tabs>
        <w:numPr>
          <w:ilvl w:val="0"/>
          <w:numId w:val="58"/>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Assignment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 agree to assign, and do hereby irrevocably transfer and assign, to the Company: (i) all of my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title and interests in and with respect to any Assigned Inventions; (ii) all patents, patent applications, copyrights, mask works, rights in databases, trade secrets and other intellectual property rights, worldwide, in any Assigned Inventions, along with any registrations of or applications to register such rights; and (iii) to the extent assignable, any and all Moral Rights (as defined below) that I may have in or with respect to any Assigned Inventions. I also hereby forever waive and agree never to assert any and all Moral Rights I may have in or with respect to any Assigned Inventions, Excluded Inventions or Other Inventions licensed to the Company under this Agreement, even after termination of my employment with the Company.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means any rights to claim authorship of a work, to object to or prevent the modification or destruction of a work, or to withdraw from circulation or control the publication or distribution of a work, and any similar right, regardless of whether or not such right is denominated or generally referred to as a “moral right.”</w:t>
      </w:r>
    </w:p>
    <w:p>
      <w:pPr>
        <w:spacing w:after="0" w:line="224" w:lineRule="exact"/>
        <w:rPr>
          <w:rFonts w:ascii="Arial" w:cs="Arial" w:eastAsia="Arial" w:hAnsi="Arial"/>
          <w:sz w:val="17"/>
          <w:szCs w:val="17"/>
          <w:b w:val="1"/>
          <w:bCs w:val="1"/>
          <w:color w:val="auto"/>
        </w:rPr>
      </w:pPr>
    </w:p>
    <w:p>
      <w:pPr>
        <w:jc w:val="both"/>
        <w:ind w:firstLine="650"/>
        <w:spacing w:after="0" w:line="261" w:lineRule="auto"/>
        <w:tabs>
          <w:tab w:leader="none" w:pos="1195" w:val="left"/>
        </w:tabs>
        <w:numPr>
          <w:ilvl w:val="0"/>
          <w:numId w:val="58"/>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Assistance</w:t>
      </w:r>
      <w:r>
        <w:rPr>
          <w:rFonts w:ascii="Arial" w:cs="Arial" w:eastAsia="Arial" w:hAnsi="Arial"/>
          <w:sz w:val="18"/>
          <w:szCs w:val="18"/>
          <w:b w:val="1"/>
          <w:bCs w:val="1"/>
          <w:color w:val="auto"/>
        </w:rPr>
        <w:t xml:space="preserve">. </w:t>
      </w:r>
      <w:r>
        <w:rPr>
          <w:rFonts w:ascii="Arial" w:cs="Arial" w:eastAsia="Arial" w:hAnsi="Arial"/>
          <w:sz w:val="18"/>
          <w:szCs w:val="18"/>
          <w:color w:val="auto"/>
        </w:rPr>
        <w:t>I agree to assist the Company in every proper way to obtain and enforce for the Company all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copyrights, mask work rights, trade secret rights and other legal protections for the Assigned Inventions worldwide. I will execute and deliver any documents that the Company may reasonably request from me in connection with providing assistance as described herein. My obligations under this section will continue beyond the termination of my employment with the Company; provided that the Company agrees to compensate me at a reasonable rate after such termination for time and/or expenses actually spent by me at the Company’s request in providing such assistance. I hereby appoint the Secretary of the Company as my attorney-in-fact to execute documents on my behalf for this purpose. I agree that this appointment is coupled with an interest and will not be revocable.</w:t>
      </w:r>
    </w:p>
    <w:p>
      <w:pPr>
        <w:spacing w:after="0" w:line="206" w:lineRule="exact"/>
        <w:rPr>
          <w:rFonts w:ascii="Arial" w:cs="Arial" w:eastAsia="Arial" w:hAnsi="Arial"/>
          <w:sz w:val="17"/>
          <w:szCs w:val="17"/>
          <w:b w:val="1"/>
          <w:bCs w:val="1"/>
          <w:color w:val="auto"/>
        </w:rPr>
      </w:pPr>
    </w:p>
    <w:p>
      <w:pPr>
        <w:jc w:val="both"/>
        <w:ind w:firstLine="650"/>
        <w:spacing w:after="0" w:line="259" w:lineRule="auto"/>
        <w:tabs>
          <w:tab w:leader="none" w:pos="1195" w:val="left"/>
        </w:tabs>
        <w:numPr>
          <w:ilvl w:val="0"/>
          <w:numId w:val="58"/>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my employment by the Company creates a relationship of confidence and trust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information or materials of a confidential or secret nature that may be made, created or discovered by me or that may be disclosed to me by the Company or a third party in relation to the business of the Company or to the business of any parent, subsidiary, affiliate, customer or supplier of the Company or any other party with whom the Company agrees to hold such information or materials in confidence (the “</w:t>
      </w:r>
      <w:r>
        <w:rPr>
          <w:rFonts w:ascii="Arial" w:cs="Arial" w:eastAsia="Arial" w:hAnsi="Arial"/>
          <w:sz w:val="18"/>
          <w:szCs w:val="18"/>
          <w:b w:val="1"/>
          <w:bCs w:val="1"/>
          <w:i w:val="1"/>
          <w:iCs w:val="1"/>
          <w:color w:val="auto"/>
        </w:rPr>
        <w:t>Proprietary Information</w:t>
      </w:r>
      <w:r>
        <w:rPr>
          <w:rFonts w:ascii="Arial" w:cs="Arial" w:eastAsia="Arial" w:hAnsi="Arial"/>
          <w:sz w:val="18"/>
          <w:szCs w:val="18"/>
          <w:color w:val="auto"/>
        </w:rPr>
        <w:t>”). Without limitation as to the forms that Proprietary Information may take, I acknowledge that Proprietary Information may be contained in tangible material such as writings, drawings, samples, electronic media, or computer programs, or may be in the nature of unwritten knowledge or know-how. Proprietary Information includes, but is not limited to, Assigned Inventions, marketing plans, product plans, designs, data, prototypes, specimens, test protocols, laboratory notebooks, business strategies, financial information, forecasts, personnel information, domain names, contract information, customer and/or supplier lists and data, the non-public names and addresses of the Company’s customers and suppliers, their buying and selling habits and special needs.</w:t>
      </w:r>
    </w:p>
    <w:p>
      <w:pPr>
        <w:spacing w:after="0" w:line="209" w:lineRule="exact"/>
        <w:rPr>
          <w:rFonts w:ascii="Arial" w:cs="Arial" w:eastAsia="Arial" w:hAnsi="Arial"/>
          <w:sz w:val="17"/>
          <w:szCs w:val="17"/>
          <w:b w:val="1"/>
          <w:bCs w:val="1"/>
          <w:color w:val="auto"/>
        </w:rPr>
      </w:pPr>
    </w:p>
    <w:p>
      <w:pPr>
        <w:ind w:firstLine="650"/>
        <w:spacing w:after="0" w:line="303" w:lineRule="auto"/>
        <w:tabs>
          <w:tab w:leader="none" w:pos="1195" w:val="left"/>
        </w:tabs>
        <w:numPr>
          <w:ilvl w:val="0"/>
          <w:numId w:val="58"/>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both during my employment and after its termination, and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I will keep and hold all Proprietary Information in strict confidence</w:t>
      </w:r>
    </w:p>
    <w:p>
      <w:pPr>
        <w:sectPr>
          <w:pgSz w:w="11900" w:h="16838" w:orient="portrait"/>
          <w:cols w:equalWidth="0" w:num="1">
            <w:col w:w="11020"/>
          </w:cols>
          <w:pgMar w:left="420" w:top="1440" w:right="459" w:bottom="1440" w:gutter="0" w:footer="0" w:header="0"/>
        </w:sectPr>
      </w:pPr>
    </w:p>
    <w:bookmarkStart w:id="107" w:name="page108"/>
    <w:bookmarkEnd w:id="107"/>
    <w:p>
      <w:pPr>
        <w:spacing w:after="0" w:line="35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and trust. I will not use or disclose any Proprietary Information without the prior written consent of the Company in each instance, except as may be necessary to perform my duties as an employee of the Company for the benefit of the Company. Upon termination of my employment with the Company, I will promptly deliver to the Company all documents and materials of any nature pertaining to my work with the Company, and I will not take with me or retain in any form any documents or materials or copies thereof containing any Proprietary Information. Nothing in this Section 9 or otherwise in this Agreement shall limit or restrict in any way my immunity from liability for disclosing the Company’s trade secrets as specifically permitted by 18 U.S. Code Section 1833, the pertinent provisions of which are attached hereto as </w:t>
      </w:r>
      <w:r>
        <w:rPr>
          <w:rFonts w:ascii="Arial" w:cs="Arial" w:eastAsia="Arial" w:hAnsi="Arial"/>
          <w:sz w:val="18"/>
          <w:szCs w:val="18"/>
          <w:u w:val="single" w:color="auto"/>
          <w:color w:val="auto"/>
        </w:rPr>
        <w:t>Exhibit C.</w:t>
      </w:r>
    </w:p>
    <w:p>
      <w:pPr>
        <w:spacing w:after="0" w:line="218" w:lineRule="exact"/>
        <w:rPr>
          <w:sz w:val="20"/>
          <w:szCs w:val="20"/>
          <w:color w:val="auto"/>
        </w:rPr>
      </w:pPr>
    </w:p>
    <w:p>
      <w:pPr>
        <w:jc w:val="both"/>
        <w:ind w:right="20" w:firstLine="650"/>
        <w:spacing w:after="0" w:line="260" w:lineRule="auto"/>
        <w:tabs>
          <w:tab w:leader="none" w:pos="1196" w:val="left"/>
        </w:tabs>
        <w:numPr>
          <w:ilvl w:val="1"/>
          <w:numId w:val="59"/>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Physical Property</w:t>
      </w:r>
      <w:r>
        <w:rPr>
          <w:rFonts w:ascii="Arial" w:cs="Arial" w:eastAsia="Arial" w:hAnsi="Arial"/>
          <w:sz w:val="18"/>
          <w:szCs w:val="18"/>
          <w:color w:val="auto"/>
        </w:rPr>
        <w:t>. All documents, supplies, equipment and other physical property furnished to me by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produced by me or others in connection with my employment will be and remain the sole property of the Company. I will return to the Company all such items when requested by the Company, excepting only my personal copies of records relating to my employment or compensation and any personal property I bring with me to the Company and designate as such. Even if the Company does not so request, I will upon termination of my employment return to the Company all Company property, and I will not take with me or retain any such items.</w:t>
      </w:r>
    </w:p>
    <w:p>
      <w:pPr>
        <w:spacing w:after="0" w:line="220" w:lineRule="exact"/>
        <w:rPr>
          <w:rFonts w:ascii="Arial" w:cs="Arial" w:eastAsia="Arial" w:hAnsi="Arial"/>
          <w:sz w:val="17"/>
          <w:szCs w:val="17"/>
          <w:b w:val="1"/>
          <w:bCs w:val="1"/>
          <w:color w:val="auto"/>
        </w:rPr>
      </w:pPr>
    </w:p>
    <w:p>
      <w:pPr>
        <w:jc w:val="both"/>
        <w:ind w:right="20" w:firstLine="650"/>
        <w:spacing w:after="0" w:line="263" w:lineRule="auto"/>
        <w:tabs>
          <w:tab w:leader="none" w:pos="1187" w:val="left"/>
        </w:tabs>
        <w:numPr>
          <w:ilvl w:val="1"/>
          <w:numId w:val="59"/>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No Breach of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I represent that my performance of all the terms of this Agreement and my duties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will not breach any invention assignment, proprietary information, confidentiality or similar agreement with any former employer or other party. I represent that I will not bring with me to the Company or use in the performance of my duties for the Company any documents or materials or intangibles of my own, of a former employer or of third party that are not generally available to the public or have not been legally transferred to the Company.</w:t>
      </w:r>
    </w:p>
    <w:p>
      <w:pPr>
        <w:spacing w:after="0" w:line="215" w:lineRule="exact"/>
        <w:rPr>
          <w:rFonts w:ascii="Arial" w:cs="Arial" w:eastAsia="Arial" w:hAnsi="Arial"/>
          <w:sz w:val="17"/>
          <w:szCs w:val="17"/>
          <w:b w:val="1"/>
          <w:bCs w:val="1"/>
          <w:color w:val="auto"/>
        </w:rPr>
      </w:pPr>
    </w:p>
    <w:p>
      <w:pPr>
        <w:jc w:val="both"/>
        <w:ind w:right="20" w:firstLine="649"/>
        <w:spacing w:after="0" w:line="257" w:lineRule="auto"/>
        <w:tabs>
          <w:tab w:leader="none" w:pos="1195" w:val="left"/>
        </w:tabs>
        <w:numPr>
          <w:ilvl w:val="1"/>
          <w:numId w:val="59"/>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Company Opportunities; Duty Not to Compete While Employed By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 have not entered into, and I agree I</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enter into, any agreement, either written or oral, in conflict with this Agreement or my employment with the Company. I understand that my employment with the Company requires my undivided attention and effort. As a result, during my employment, I will not, without the Company’s prior, express written consent, engage in, or encourage or assist others to engage in, any other employment or activity that: (i) would divert from the Company any business opportunity in which the Company can reasonably be expected to have an interest;</w:t>
      </w:r>
    </w:p>
    <w:p>
      <w:pPr>
        <w:spacing w:after="0" w:line="3" w:lineRule="exact"/>
        <w:rPr>
          <w:rFonts w:ascii="Arial" w:cs="Arial" w:eastAsia="Arial" w:hAnsi="Arial"/>
          <w:sz w:val="17"/>
          <w:szCs w:val="17"/>
          <w:b w:val="1"/>
          <w:bCs w:val="1"/>
          <w:color w:val="auto"/>
        </w:rPr>
      </w:pPr>
    </w:p>
    <w:p>
      <w:pPr>
        <w:ind w:left="260" w:hanging="258"/>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would directly or indirectly compete with, or involve preparation to compete with, the current or future business of the Company; or (iii)</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would otherwise conflict with the Company’s interests or could cause a disruption of its operations or prospects.</w:t>
      </w:r>
    </w:p>
    <w:p>
      <w:pPr>
        <w:spacing w:after="0" w:line="243" w:lineRule="exact"/>
        <w:rPr>
          <w:sz w:val="20"/>
          <w:szCs w:val="20"/>
          <w:color w:val="auto"/>
        </w:rPr>
      </w:pPr>
    </w:p>
    <w:p>
      <w:pPr>
        <w:jc w:val="both"/>
        <w:ind w:right="20" w:firstLine="650"/>
        <w:spacing w:after="0" w:line="267" w:lineRule="auto"/>
        <w:tabs>
          <w:tab w:leader="none" w:pos="1197" w:val="left"/>
        </w:tabs>
        <w:numPr>
          <w:ilvl w:val="0"/>
          <w:numId w:val="61"/>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Non-Solicitation of Employees and Consultants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22222"/>
        </w:rPr>
        <w:t>During my employment with the Company and for a one (1) year</w:t>
      </w:r>
      <w:r>
        <w:rPr>
          <w:rFonts w:ascii="Arial" w:cs="Arial" w:eastAsia="Arial" w:hAnsi="Arial"/>
          <w:sz w:val="18"/>
          <w:szCs w:val="18"/>
          <w:b w:val="1"/>
          <w:bCs w:val="1"/>
          <w:color w:val="auto"/>
        </w:rPr>
        <w:t xml:space="preserve"> </w:t>
      </w:r>
      <w:r>
        <w:rPr>
          <w:rFonts w:ascii="Arial" w:cs="Arial" w:eastAsia="Arial" w:hAnsi="Arial"/>
          <w:sz w:val="18"/>
          <w:szCs w:val="18"/>
          <w:color w:val="222222"/>
        </w:rPr>
        <w:t xml:space="preserve">period thereafter, I will not directly or indirectly solicit away employees or consultants of the Company for my own benefit or for the benefit of any other person or entity, nor will I encourage or assist others to do so. I agree to further state-specific provisions set forth in </w:t>
      </w:r>
      <w:r>
        <w:rPr>
          <w:rFonts w:ascii="Arial" w:cs="Arial" w:eastAsia="Arial" w:hAnsi="Arial"/>
          <w:sz w:val="18"/>
          <w:szCs w:val="18"/>
          <w:u w:val="single" w:color="auto"/>
          <w:color w:val="222222"/>
        </w:rPr>
        <w:t>Exhibit B</w:t>
      </w:r>
      <w:r>
        <w:rPr>
          <w:rFonts w:ascii="Arial" w:cs="Arial" w:eastAsia="Arial" w:hAnsi="Arial"/>
          <w:sz w:val="18"/>
          <w:szCs w:val="18"/>
          <w:color w:val="222222"/>
          <w:highlight w:val="white"/>
        </w:rPr>
        <w:t>,</w:t>
      </w:r>
      <w:r>
        <w:rPr>
          <w:rFonts w:ascii="Arial" w:cs="Arial" w:eastAsia="Arial" w:hAnsi="Arial"/>
          <w:sz w:val="18"/>
          <w:szCs w:val="18"/>
          <w:color w:val="222222"/>
        </w:rPr>
        <w:t xml:space="preserve"> as applicable.</w:t>
      </w:r>
    </w:p>
    <w:p>
      <w:pPr>
        <w:spacing w:after="0" w:line="212" w:lineRule="exact"/>
        <w:rPr>
          <w:rFonts w:ascii="Arial" w:cs="Arial" w:eastAsia="Arial" w:hAnsi="Arial"/>
          <w:sz w:val="17"/>
          <w:szCs w:val="17"/>
          <w:b w:val="1"/>
          <w:bCs w:val="1"/>
          <w:color w:val="auto"/>
        </w:rPr>
      </w:pPr>
    </w:p>
    <w:p>
      <w:pPr>
        <w:jc w:val="both"/>
        <w:ind w:right="20" w:firstLine="650"/>
        <w:spacing w:after="0" w:line="268" w:lineRule="auto"/>
        <w:tabs>
          <w:tab w:leader="none" w:pos="1197" w:val="left"/>
        </w:tabs>
        <w:numPr>
          <w:ilvl w:val="0"/>
          <w:numId w:val="61"/>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Notification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 hereby authorize the Company, during and after the termination of my employment with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notify third parties, including, without limitation, actual or potential employers, of the terms of this Agreement and my responsibilities hereunder.</w:t>
      </w:r>
    </w:p>
    <w:p>
      <w:pPr>
        <w:spacing w:after="0" w:line="211" w:lineRule="exact"/>
        <w:rPr>
          <w:rFonts w:ascii="Arial" w:cs="Arial" w:eastAsia="Arial" w:hAnsi="Arial"/>
          <w:sz w:val="17"/>
          <w:szCs w:val="17"/>
          <w:b w:val="1"/>
          <w:bCs w:val="1"/>
          <w:color w:val="auto"/>
        </w:rPr>
      </w:pPr>
    </w:p>
    <w:p>
      <w:pPr>
        <w:jc w:val="both"/>
        <w:ind w:firstLine="650"/>
        <w:spacing w:after="0" w:line="268" w:lineRule="auto"/>
        <w:tabs>
          <w:tab w:leader="none" w:pos="1196" w:val="left"/>
        </w:tabs>
        <w:numPr>
          <w:ilvl w:val="0"/>
          <w:numId w:val="61"/>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Use of Name &amp; Likeness</w:t>
      </w:r>
      <w:r>
        <w:rPr>
          <w:rFonts w:ascii="Arial" w:cs="Arial" w:eastAsia="Arial" w:hAnsi="Arial"/>
          <w:sz w:val="18"/>
          <w:szCs w:val="18"/>
          <w:b w:val="1"/>
          <w:bCs w:val="1"/>
          <w:color w:val="auto"/>
        </w:rPr>
        <w:t xml:space="preserve">. </w:t>
      </w:r>
      <w:r>
        <w:rPr>
          <w:rFonts w:ascii="Arial" w:cs="Arial" w:eastAsia="Arial" w:hAnsi="Arial"/>
          <w:sz w:val="18"/>
          <w:szCs w:val="18"/>
          <w:color w:val="auto"/>
        </w:rPr>
        <w:t>I hereby authorize the Company to use, reuse, and to grant others the right to use and reuse,</w:t>
      </w:r>
      <w:r>
        <w:rPr>
          <w:rFonts w:ascii="Arial" w:cs="Arial" w:eastAsia="Arial" w:hAnsi="Arial"/>
          <w:sz w:val="18"/>
          <w:szCs w:val="18"/>
          <w:b w:val="1"/>
          <w:bCs w:val="1"/>
          <w:color w:val="auto"/>
        </w:rPr>
        <w:t xml:space="preserve"> </w:t>
      </w:r>
      <w:r>
        <w:rPr>
          <w:rFonts w:ascii="Arial" w:cs="Arial" w:eastAsia="Arial" w:hAnsi="Arial"/>
          <w:sz w:val="18"/>
          <w:szCs w:val="18"/>
          <w:color w:val="auto"/>
        </w:rPr>
        <w:t>my name, photograph, likeness (including caricature), voice, and biographical information, and any reproduction or simulation thereof, in any form of media or technology now known or hereafter developed (including, but not limited to, film, video and digital or other electronic</w:t>
      </w:r>
    </w:p>
    <w:p>
      <w:pPr>
        <w:sectPr>
          <w:pgSz w:w="11900" w:h="16838" w:orient="portrait"/>
          <w:cols w:equalWidth="0" w:num="1">
            <w:col w:w="11040"/>
          </w:cols>
          <w:pgMar w:left="420" w:top="1440" w:right="439" w:bottom="1440" w:gutter="0" w:footer="0" w:header="0"/>
        </w:sectPr>
      </w:pPr>
    </w:p>
    <w:bookmarkStart w:id="108" w:name="page109"/>
    <w:bookmarkEnd w:id="108"/>
    <w:p>
      <w:pPr>
        <w:spacing w:after="0" w:line="35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media), during my employment, for any purposes related to the Company’s business, such as marketing, advertising, credits, and presentations.</w:t>
      </w:r>
    </w:p>
    <w:p>
      <w:pPr>
        <w:spacing w:after="0" w:line="193" w:lineRule="exact"/>
        <w:rPr>
          <w:sz w:val="20"/>
          <w:szCs w:val="20"/>
          <w:color w:val="auto"/>
        </w:rPr>
      </w:pPr>
    </w:p>
    <w:p>
      <w:pPr>
        <w:jc w:val="both"/>
        <w:ind w:firstLine="650"/>
        <w:spacing w:after="0" w:line="258" w:lineRule="auto"/>
        <w:tabs>
          <w:tab w:leader="none" w:pos="1196" w:val="left"/>
        </w:tabs>
        <w:numPr>
          <w:ilvl w:val="0"/>
          <w:numId w:val="62"/>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Return of 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my employment or upon the Company’s request at any other time, I</w:t>
      </w:r>
      <w:r>
        <w:rPr>
          <w:rFonts w:ascii="Arial" w:cs="Arial" w:eastAsia="Arial" w:hAnsi="Arial"/>
          <w:sz w:val="18"/>
          <w:szCs w:val="18"/>
          <w:b w:val="1"/>
          <w:bCs w:val="1"/>
          <w:color w:val="auto"/>
        </w:rPr>
        <w:t xml:space="preserve"> </w:t>
      </w:r>
      <w:r>
        <w:rPr>
          <w:rFonts w:ascii="Arial" w:cs="Arial" w:eastAsia="Arial" w:hAnsi="Arial"/>
          <w:sz w:val="18"/>
          <w:szCs w:val="18"/>
          <w:color w:val="auto"/>
        </w:rPr>
        <w:t>will deliver to Company all of the Company’s property, equipment, and documents, together with all copies thereof, and any other material containing or disclosing any Assigned Inventions or Proprietary Information, and I will certify in writing that I have fully complied with the foregoing obligation. I agree that I will not copy, delete, or alter any information contained upon my Company-issued computer or Company-issued equipment before I return it to Company. In addition, if I have used any personal computer, server, or e-mail system to receive, store, review, prepare or transmit any Company information, including, but not limited to, Proprietary Information, I agree, upon the Company’s request, to provide the Company with a computer useable copy of all such Proprietary Information, after which I agree to permanently delete and expunge such Proprietary Information from those systems. I agree to provide the Company access to my system as reasonably requested by the Company to verify that the copying and/or deletion required herein is completed.</w:t>
      </w:r>
    </w:p>
    <w:p>
      <w:pPr>
        <w:spacing w:after="0" w:line="224" w:lineRule="exact"/>
        <w:rPr>
          <w:rFonts w:ascii="Arial" w:cs="Arial" w:eastAsia="Arial" w:hAnsi="Arial"/>
          <w:sz w:val="17"/>
          <w:szCs w:val="17"/>
          <w:b w:val="1"/>
          <w:bCs w:val="1"/>
          <w:color w:val="auto"/>
        </w:rPr>
      </w:pPr>
    </w:p>
    <w:p>
      <w:pPr>
        <w:ind w:firstLine="650"/>
        <w:spacing w:after="0" w:line="287" w:lineRule="auto"/>
        <w:tabs>
          <w:tab w:leader="none" w:pos="1196" w:val="left"/>
        </w:tabs>
        <w:numPr>
          <w:ilvl w:val="0"/>
          <w:numId w:val="62"/>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a breach or threatened breach of this Agreement by me may cause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suffer irreparable harm, and that the Company will therefore be entitled to injunctive relief to enforce this Agreement.</w:t>
      </w:r>
    </w:p>
    <w:p>
      <w:pPr>
        <w:spacing w:after="0" w:line="179" w:lineRule="exact"/>
        <w:rPr>
          <w:rFonts w:ascii="Arial" w:cs="Arial" w:eastAsia="Arial" w:hAnsi="Arial"/>
          <w:sz w:val="17"/>
          <w:szCs w:val="17"/>
          <w:b w:val="1"/>
          <w:bCs w:val="1"/>
          <w:color w:val="auto"/>
        </w:rPr>
      </w:pPr>
    </w:p>
    <w:p>
      <w:pPr>
        <w:jc w:val="both"/>
        <w:ind w:firstLine="650"/>
        <w:spacing w:after="0" w:line="260" w:lineRule="auto"/>
        <w:tabs>
          <w:tab w:leader="none" w:pos="1196" w:val="left"/>
        </w:tabs>
        <w:numPr>
          <w:ilvl w:val="0"/>
          <w:numId w:val="62"/>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Governing Law;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intended to supplement, and not to supersede, any rights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in law or equity with respect to the duties of its employees and the protection of its trade secrets. This Agreement will be governed by and construed in accordance with the laws of the state in which I am employed by the Company, or, if I am a remote employee, reside, without giving effect to any principles of conflict of laws that would lead to the application of the laws of another jurisdiction. If any provision of this Agreement is invalid, illegal or unenforceable in any respect, such provision will be enforced to the maximum extent possible, given the fundamental intentions of the parties when entering into this Agreement. To the extent such provision cannot be so enforced, it will be stricken from this Agreement and the remainder of this Agreement will be enforced as if such invalid, illegal or unenforceable provision had never been contained in this Agreement.</w:t>
      </w:r>
    </w:p>
    <w:p>
      <w:pPr>
        <w:spacing w:after="0" w:line="217" w:lineRule="exact"/>
        <w:rPr>
          <w:rFonts w:ascii="Arial" w:cs="Arial" w:eastAsia="Arial" w:hAnsi="Arial"/>
          <w:sz w:val="17"/>
          <w:szCs w:val="17"/>
          <w:b w:val="1"/>
          <w:bCs w:val="1"/>
          <w:color w:val="auto"/>
        </w:rPr>
      </w:pPr>
    </w:p>
    <w:p>
      <w:pPr>
        <w:ind w:firstLine="650"/>
        <w:spacing w:after="0" w:line="287" w:lineRule="auto"/>
        <w:tabs>
          <w:tab w:leader="none" w:pos="1196" w:val="left"/>
        </w:tabs>
        <w:numPr>
          <w:ilvl w:val="0"/>
          <w:numId w:val="62"/>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will be deemed an original, and all of which together shall constitute one and the same agreement.</w:t>
      </w:r>
    </w:p>
    <w:p>
      <w:pPr>
        <w:spacing w:after="0" w:line="179" w:lineRule="exact"/>
        <w:rPr>
          <w:rFonts w:ascii="Arial" w:cs="Arial" w:eastAsia="Arial" w:hAnsi="Arial"/>
          <w:sz w:val="17"/>
          <w:szCs w:val="17"/>
          <w:b w:val="1"/>
          <w:bCs w:val="1"/>
          <w:color w:val="auto"/>
        </w:rPr>
      </w:pPr>
    </w:p>
    <w:p>
      <w:pPr>
        <w:jc w:val="both"/>
        <w:ind w:firstLine="650"/>
        <w:spacing w:after="0" w:line="276" w:lineRule="auto"/>
        <w:tabs>
          <w:tab w:leader="none" w:pos="1196" w:val="left"/>
        </w:tabs>
        <w:numPr>
          <w:ilvl w:val="0"/>
          <w:numId w:val="62"/>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documents referred to herein constitute the entire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of the parties with respect to the subject matter of this Agreement, and supersede all prior understandings and agreements, whether oral or written, between or among the parties hereto with respect to the specific subject matter hereof.</w:t>
      </w:r>
    </w:p>
    <w:p>
      <w:pPr>
        <w:spacing w:after="0" w:line="203" w:lineRule="exact"/>
        <w:rPr>
          <w:rFonts w:ascii="Arial" w:cs="Arial" w:eastAsia="Arial" w:hAnsi="Arial"/>
          <w:sz w:val="17"/>
          <w:szCs w:val="17"/>
          <w:b w:val="1"/>
          <w:bCs w:val="1"/>
          <w:color w:val="auto"/>
        </w:rPr>
      </w:pPr>
    </w:p>
    <w:p>
      <w:pPr>
        <w:jc w:val="both"/>
        <w:ind w:firstLine="650"/>
        <w:spacing w:after="0" w:line="259" w:lineRule="auto"/>
        <w:tabs>
          <w:tab w:leader="none" w:pos="1196" w:val="left"/>
        </w:tabs>
        <w:numPr>
          <w:ilvl w:val="0"/>
          <w:numId w:val="62"/>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Amendment and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only by a written agreement executed by each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No amendment or waiver of, or modification of any obligation under, this Agreement will be enforceable unless specifically set forth in a writing signed by the party against which enforcement is sought. Any amendment effected in accordance with this Section 21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ectPr>
          <w:pgSz w:w="11900" w:h="16838" w:orient="portrait"/>
          <w:cols w:equalWidth="0" w:num="1">
            <w:col w:w="11040"/>
          </w:cols>
          <w:pgMar w:left="420" w:top="1440" w:right="439" w:bottom="1440" w:gutter="0" w:footer="0" w:header="0"/>
        </w:sectPr>
      </w:pPr>
    </w:p>
    <w:bookmarkStart w:id="109" w:name="page110"/>
    <w:bookmarkEnd w:id="109"/>
    <w:p>
      <w:pPr>
        <w:spacing w:after="0" w:line="355" w:lineRule="exact"/>
        <w:rPr>
          <w:sz w:val="20"/>
          <w:szCs w:val="20"/>
          <w:color w:val="auto"/>
        </w:rPr>
      </w:pPr>
    </w:p>
    <w:p>
      <w:pPr>
        <w:jc w:val="both"/>
        <w:ind w:firstLine="650"/>
        <w:spacing w:after="0" w:line="267" w:lineRule="auto"/>
        <w:tabs>
          <w:tab w:leader="none" w:pos="1196" w:val="left"/>
        </w:tabs>
        <w:numPr>
          <w:ilvl w:val="0"/>
          <w:numId w:val="63"/>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Successors and Assigns;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Agreement, this Agreement, and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 obligations of 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212" w:lineRule="exact"/>
        <w:rPr>
          <w:rFonts w:ascii="Arial" w:cs="Arial" w:eastAsia="Arial" w:hAnsi="Arial"/>
          <w:sz w:val="17"/>
          <w:szCs w:val="17"/>
          <w:b w:val="1"/>
          <w:bCs w:val="1"/>
          <w:color w:val="auto"/>
        </w:rPr>
      </w:pPr>
    </w:p>
    <w:p>
      <w:pPr>
        <w:jc w:val="both"/>
        <w:ind w:right="20" w:firstLine="650"/>
        <w:spacing w:after="0" w:line="267" w:lineRule="auto"/>
        <w:tabs>
          <w:tab w:leader="none" w:pos="1196" w:val="left"/>
        </w:tabs>
        <w:numPr>
          <w:ilvl w:val="0"/>
          <w:numId w:val="63"/>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will execute such further documents and instruments and take such further actions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reasonably necessary to carry out the purposes and intent of this Agreement. Upon termination of my employment with the Company, I will execute and deliver a document or documents in a form reasonably requested by the Company confirming my agreement to comply with the post-employment obligations contained in this Agreement.</w:t>
      </w:r>
    </w:p>
    <w:p>
      <w:pPr>
        <w:spacing w:after="0" w:line="199" w:lineRule="exact"/>
        <w:rPr>
          <w:rFonts w:ascii="Arial" w:cs="Arial" w:eastAsia="Arial" w:hAnsi="Arial"/>
          <w:sz w:val="17"/>
          <w:szCs w:val="17"/>
          <w:b w:val="1"/>
          <w:bCs w:val="1"/>
          <w:color w:val="auto"/>
        </w:rPr>
      </w:pPr>
    </w:p>
    <w:p>
      <w:pPr>
        <w:jc w:val="both"/>
        <w:ind w:right="20" w:firstLine="650"/>
        <w:spacing w:after="0" w:line="264" w:lineRule="auto"/>
        <w:tabs>
          <w:tab w:leader="none" w:pos="1196" w:val="left"/>
        </w:tabs>
        <w:numPr>
          <w:ilvl w:val="0"/>
          <w:numId w:val="63"/>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this Agreement does not constitute a contract of employment or obligate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employ me for any stated period of time. I understand that I am an “at will” employee of the Company and that my employment can be terminated at any time, with or without notice and with or without cause, for any reason or for no reason, by either the Company or myself. I acknowledge that any statements or representations to the contrary are ineffective, unless put into a writing signed by the Company. I further acknowledge that my participation in any stock option or benefit program is not to be construed as any assurance of continuing employment for any particular period of time.</w:t>
      </w:r>
    </w:p>
    <w:p>
      <w:pPr>
        <w:spacing w:after="0" w:line="199" w:lineRule="exact"/>
        <w:rPr>
          <w:rFonts w:ascii="Arial" w:cs="Arial" w:eastAsia="Arial" w:hAnsi="Arial"/>
          <w:sz w:val="17"/>
          <w:szCs w:val="17"/>
          <w:b w:val="1"/>
          <w:bCs w:val="1"/>
          <w:color w:val="auto"/>
        </w:rPr>
      </w:pPr>
    </w:p>
    <w:p>
      <w:pPr>
        <w:ind w:right="20" w:firstLine="650"/>
        <w:spacing w:after="0" w:line="287" w:lineRule="auto"/>
        <w:tabs>
          <w:tab w:leader="none" w:pos="1196" w:val="left"/>
        </w:tabs>
        <w:numPr>
          <w:ilvl w:val="0"/>
          <w:numId w:val="63"/>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Acknowledgment</w:t>
      </w:r>
      <w:r>
        <w:rPr>
          <w:rFonts w:ascii="Arial" w:cs="Arial" w:eastAsia="Arial" w:hAnsi="Arial"/>
          <w:sz w:val="18"/>
          <w:szCs w:val="18"/>
          <w:color w:val="auto"/>
        </w:rPr>
        <w:t>. I certify and acknowledge that I have carefully read all of the provisions of this Agreement and that I</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will fully and faithfully comply with this Agreement.</w:t>
      </w:r>
    </w:p>
    <w:p>
      <w:pPr>
        <w:spacing w:after="0" w:line="193" w:lineRule="exact"/>
        <w:rPr>
          <w:rFonts w:ascii="Arial" w:cs="Arial" w:eastAsia="Arial" w:hAnsi="Arial"/>
          <w:sz w:val="17"/>
          <w:szCs w:val="17"/>
          <w:b w:val="1"/>
          <w:bCs w:val="1"/>
          <w:color w:val="auto"/>
        </w:rPr>
      </w:pPr>
    </w:p>
    <w:p>
      <w:pPr>
        <w:ind w:right="20" w:firstLine="650"/>
        <w:spacing w:after="0" w:line="296" w:lineRule="auto"/>
        <w:tabs>
          <w:tab w:leader="none" w:pos="1196" w:val="left"/>
        </w:tabs>
        <w:numPr>
          <w:ilvl w:val="0"/>
          <w:numId w:val="63"/>
        </w:numPr>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Effective Date of Agreement</w:t>
      </w:r>
      <w:r>
        <w:rPr>
          <w:rFonts w:ascii="Arial" w:cs="Arial" w:eastAsia="Arial" w:hAnsi="Arial"/>
          <w:sz w:val="18"/>
          <w:szCs w:val="18"/>
          <w:color w:val="auto"/>
        </w:rPr>
        <w:t>. This Employee Invention Assignment and Confidentiality Agreement shall be effective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day of my employment by the Company, which is December 1, 2025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40"/>
          </w:cols>
          <w:pgMar w:left="420" w:top="1440" w:right="43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5"/>
              </w:rPr>
              <w:t>COMPANY:</w:t>
            </w:r>
          </w:p>
        </w:tc>
        <w:tc>
          <w:tcPr>
            <w:tcW w:w="37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EMPLOYEE:</w:t>
            </w: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20"/>
        </w:trPr>
        <w:tc>
          <w:tcPr>
            <w:tcW w:w="100" w:type="dxa"/>
            <w:vAlign w:val="bottom"/>
          </w:tcPr>
          <w:p>
            <w:pPr>
              <w:spacing w:after="0"/>
              <w:rPr>
                <w:sz w:val="24"/>
                <w:szCs w:val="24"/>
                <w:color w:val="auto"/>
              </w:rPr>
            </w:pPr>
          </w:p>
        </w:tc>
        <w:tc>
          <w:tcPr>
            <w:tcW w:w="4720" w:type="dxa"/>
            <w:vAlign w:val="bottom"/>
            <w:gridSpan w:val="4"/>
          </w:tcPr>
          <w:p>
            <w:pPr>
              <w:spacing w:after="0"/>
              <w:rPr>
                <w:sz w:val="20"/>
                <w:szCs w:val="20"/>
                <w:color w:val="auto"/>
              </w:rPr>
            </w:pPr>
            <w:r>
              <w:rPr>
                <w:rFonts w:ascii="Arial" w:cs="Arial" w:eastAsia="Arial" w:hAnsi="Arial"/>
                <w:sz w:val="18"/>
                <w:szCs w:val="18"/>
                <w:b w:val="1"/>
                <w:bCs w:val="1"/>
                <w:color w:val="auto"/>
              </w:rPr>
              <w:t>NEXTDOOR, INC.</w:t>
            </w:r>
          </w:p>
        </w:tc>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/s/ Amresh Indrajit Ponnambalam</w:t>
            </w:r>
          </w:p>
        </w:tc>
      </w:tr>
      <w:tr>
        <w:trPr>
          <w:trHeight w:val="412"/>
        </w:trPr>
        <w:tc>
          <w:tcPr>
            <w:tcW w:w="4820" w:type="dxa"/>
            <w:vAlign w:val="bottom"/>
            <w:gridSpan w:val="5"/>
          </w:tcPr>
          <w:p>
            <w:pPr>
              <w:spacing w:after="0"/>
              <w:rPr>
                <w:sz w:val="20"/>
                <w:szCs w:val="20"/>
                <w:color w:val="auto"/>
              </w:rPr>
            </w:pPr>
            <w:r>
              <w:rPr>
                <w:rFonts w:ascii="Arial" w:cs="Arial" w:eastAsia="Arial" w:hAnsi="Arial"/>
                <w:sz w:val="18"/>
                <w:szCs w:val="18"/>
                <w:color w:val="auto"/>
              </w:rPr>
              <w:t>By: /s/ Nirav Tolia</w:t>
            </w:r>
          </w:p>
        </w:tc>
        <w:tc>
          <w:tcPr>
            <w:tcW w:w="2660" w:type="dxa"/>
            <w:vAlign w:val="bottom"/>
            <w:gridSpan w:val="3"/>
          </w:tcPr>
          <w:p>
            <w:pPr>
              <w:spacing w:after="0"/>
              <w:rPr>
                <w:sz w:val="20"/>
                <w:szCs w:val="20"/>
                <w:color w:val="auto"/>
              </w:rPr>
            </w:pPr>
            <w:r>
              <w:rPr>
                <w:rFonts w:ascii="Arial" w:cs="Arial" w:eastAsia="Arial" w:hAnsi="Arial"/>
                <w:sz w:val="18"/>
                <w:szCs w:val="18"/>
                <w:color w:val="auto"/>
              </w:rPr>
              <w:t>Amresh Indrajit Ponnambalam</w:t>
            </w:r>
          </w:p>
        </w:tc>
      </w:tr>
      <w:tr>
        <w:trPr>
          <w:trHeight w:val="20"/>
        </w:trPr>
        <w:tc>
          <w:tcPr>
            <w:tcW w:w="32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7"/>
        </w:trPr>
        <w:tc>
          <w:tcPr>
            <w:tcW w:w="4820" w:type="dxa"/>
            <w:vAlign w:val="bottom"/>
            <w:gridSpan w:val="5"/>
          </w:tcPr>
          <w:p>
            <w:pPr>
              <w:spacing w:after="0"/>
              <w:rPr>
                <w:sz w:val="20"/>
                <w:szCs w:val="20"/>
                <w:color w:val="auto"/>
              </w:rPr>
            </w:pPr>
            <w:r>
              <w:rPr>
                <w:rFonts w:ascii="Arial" w:cs="Arial" w:eastAsia="Arial" w:hAnsi="Arial"/>
                <w:sz w:val="18"/>
                <w:szCs w:val="18"/>
                <w:color w:val="auto"/>
              </w:rPr>
              <w:t>Name: Nirav Tolia</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4820" w:type="dxa"/>
            <w:vAlign w:val="bottom"/>
            <w:gridSpan w:val="5"/>
          </w:tcPr>
          <w:p>
            <w:pPr>
              <w:spacing w:after="0"/>
              <w:rPr>
                <w:sz w:val="20"/>
                <w:szCs w:val="20"/>
                <w:color w:val="auto"/>
              </w:rPr>
            </w:pPr>
            <w:r>
              <w:rPr>
                <w:rFonts w:ascii="Arial" w:cs="Arial" w:eastAsia="Arial" w:hAnsi="Arial"/>
                <w:sz w:val="18"/>
                <w:szCs w:val="18"/>
                <w:color w:val="auto"/>
              </w:rPr>
              <w:t>Title: CFO</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9879"/>
          </w:cols>
          <w:pgMar w:left="580" w:top="1440" w:right="1440" w:bottom="1440" w:gutter="0" w:footer="0" w:header="0"/>
        </w:sectPr>
      </w:pPr>
    </w:p>
    <w:bookmarkStart w:id="111" w:name="page112"/>
    <w:bookmarkEnd w:id="111"/>
    <w:p>
      <w:pPr>
        <w:spacing w:after="0" w:line="35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right"/>
        <w:ind w:right="2239"/>
        <w:spacing w:after="0"/>
        <w:rPr>
          <w:sz w:val="20"/>
          <w:szCs w:val="20"/>
          <w:color w:val="auto"/>
        </w:rPr>
      </w:pPr>
      <w:r>
        <w:rPr>
          <w:rFonts w:ascii="Arial" w:cs="Arial" w:eastAsia="Arial" w:hAnsi="Arial"/>
          <w:sz w:val="18"/>
          <w:szCs w:val="18"/>
          <w:b w:val="1"/>
          <w:bCs w:val="1"/>
          <w:color w:val="auto"/>
        </w:rPr>
        <w:t>LIST OF EXCLUDED INVENTIONS UNDER SECTION 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Identifying Number</w:t>
            </w:r>
          </w:p>
        </w:tc>
      </w:tr>
      <w:tr>
        <w:trPr>
          <w:trHeight w:val="194"/>
        </w:trPr>
        <w:tc>
          <w:tcPr>
            <w:tcW w:w="32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w w:val="88"/>
              </w:rPr>
              <w:t>Title</w:t>
            </w:r>
          </w:p>
        </w:tc>
        <w:tc>
          <w:tcPr>
            <w:tcW w:w="860" w:type="dxa"/>
            <w:vAlign w:val="bottom"/>
          </w:tcPr>
          <w:p>
            <w:pPr>
              <w:spacing w:after="0"/>
              <w:rPr>
                <w:sz w:val="16"/>
                <w:szCs w:val="16"/>
                <w:color w:val="auto"/>
              </w:rPr>
            </w:pPr>
          </w:p>
        </w:tc>
        <w:tc>
          <w:tcPr>
            <w:tcW w:w="38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w w:val="94"/>
              </w:rPr>
              <w:t>Date</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4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w w:val="99"/>
              </w:rPr>
              <w:t>or Brief Description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inventions, improvements, or original works of authorship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41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184150" cy="8890"/>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Additional sheets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70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of Employee: </w:t>
      </w:r>
      <w:r>
        <w:rPr>
          <w:rFonts w:ascii="Arial" w:cs="Arial" w:eastAsia="Arial" w:hAnsi="Arial"/>
          <w:sz w:val="18"/>
          <w:szCs w:val="18"/>
          <w:u w:val="single" w:color="auto"/>
          <w:color w:val="auto"/>
        </w:rPr>
        <w:t>/s/ Amresh Indrajit Ponnambalam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Print Name of Employee: Amresh Indrajit Ponnambalam</w:t>
      </w:r>
    </w:p>
    <w:p>
      <w:pPr>
        <w:spacing w:after="0" w:line="2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tab/>
        <w:t>November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-7620</wp:posOffset>
            </wp:positionV>
            <wp:extent cx="15748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2" w:name="page113"/>
    <w:bookmarkEnd w:id="112"/>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Illinois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Compiled Statutes 765 ILCS 1060/2:</w:t>
      </w:r>
    </w:p>
    <w:p>
      <w:pPr>
        <w:spacing w:after="0" w:line="223" w:lineRule="exact"/>
        <w:rPr>
          <w:sz w:val="20"/>
          <w:szCs w:val="20"/>
          <w:color w:val="auto"/>
        </w:rPr>
      </w:pPr>
    </w:p>
    <w:p>
      <w:pPr>
        <w:ind w:left="660" w:right="20" w:hanging="4"/>
        <w:spacing w:after="0" w:line="272" w:lineRule="auto"/>
        <w:tabs>
          <w:tab w:leader="none" w:pos="93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provision in an employment agreement which provides that an employee shall assign or offer to assign any of the employee’s rights in an invention to the employer does not apply to an invention for which no equipment, supplies, facilities, or trade secret information of the employer was used and which was developed entirely on the employee’s own time, unless (a) the invention relates</w:t>
      </w:r>
    </w:p>
    <w:p>
      <w:pPr>
        <w:spacing w:after="0" w:line="1" w:lineRule="exact"/>
        <w:rPr>
          <w:rFonts w:ascii="Arial" w:cs="Arial" w:eastAsia="Arial" w:hAnsi="Arial"/>
          <w:sz w:val="17"/>
          <w:szCs w:val="17"/>
          <w:color w:val="auto"/>
        </w:rPr>
      </w:pPr>
    </w:p>
    <w:p>
      <w:pPr>
        <w:ind w:left="660" w:right="20"/>
        <w:spacing w:after="0" w:line="255" w:lineRule="auto"/>
        <w:rPr>
          <w:rFonts w:ascii="Arial" w:cs="Arial" w:eastAsia="Arial" w:hAnsi="Arial"/>
          <w:sz w:val="17"/>
          <w:szCs w:val="17"/>
          <w:color w:val="auto"/>
        </w:rPr>
      </w:pPr>
      <w:r>
        <w:rPr>
          <w:rFonts w:ascii="Arial" w:cs="Arial" w:eastAsia="Arial" w:hAnsi="Arial"/>
          <w:sz w:val="18"/>
          <w:szCs w:val="18"/>
          <w:color w:val="auto"/>
        </w:rPr>
        <w:t>(i) to the business of the employer, or (ii) to the employer’s actual or demonstrably anticipated research or development, or (b) the invention results from any work performed by the employee for the employer. Any provision which purports to apply to such an invention is to that extent against the public policy of this State and is to that extent void and unenforceable. The employee shall bear the burden of proof in establishing that his invention qualifies under this subsection.</w:t>
      </w:r>
    </w:p>
    <w:p>
      <w:pPr>
        <w:spacing w:after="0" w:line="182" w:lineRule="exact"/>
        <w:rPr>
          <w:rFonts w:ascii="Arial" w:cs="Arial" w:eastAsia="Arial" w:hAnsi="Arial"/>
          <w:sz w:val="17"/>
          <w:szCs w:val="17"/>
          <w:color w:val="auto"/>
        </w:rPr>
      </w:pPr>
    </w:p>
    <w:p>
      <w:pPr>
        <w:ind w:left="660" w:right="180" w:hanging="4"/>
        <w:spacing w:after="0" w:line="268" w:lineRule="auto"/>
        <w:tabs>
          <w:tab w:leader="none" w:pos="9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employer shall not require a provision made void and unenforceable by subsection (1) of this Section as a condition of employment or continuing employment. This Act shall not preempt existing common law applicable to any shop rights of employers with respect to employees who have not signed an employment agreement.</w:t>
      </w:r>
    </w:p>
    <w:p>
      <w:pPr>
        <w:spacing w:after="0" w:line="170" w:lineRule="exact"/>
        <w:rPr>
          <w:rFonts w:ascii="Arial" w:cs="Arial" w:eastAsia="Arial" w:hAnsi="Arial"/>
          <w:sz w:val="18"/>
          <w:szCs w:val="18"/>
          <w:color w:val="auto"/>
        </w:rPr>
      </w:pPr>
    </w:p>
    <w:p>
      <w:pPr>
        <w:ind w:left="660" w:hanging="4"/>
        <w:spacing w:after="0" w:line="257" w:lineRule="auto"/>
        <w:tabs>
          <w:tab w:leader="none" w:pos="9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 employment agreement entered into after January 1, 1984, contains a provision requiring the employee to assign any of the employee’s rights in any invention to the employer, the employer must also, at the time the agreement is made, provide a written notification to the employee that the agreement does not apply to an invention for which no equipment, supplies, facility, or trade secret information of the employer was used and which was developed entirely on the employee’s own time, unless (a) the invention relates (i) to the business of the employer, or (ii) to the employer’s actual or demonstrably anticipated research or development, or (b) the invention results from any work performed by the employee for the employer.</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222222"/>
        </w:rPr>
        <w:t>Other</w:t>
      </w:r>
    </w:p>
    <w:p>
      <w:pPr>
        <w:spacing w:after="0" w:line="250" w:lineRule="exact"/>
        <w:rPr>
          <w:sz w:val="20"/>
          <w:szCs w:val="20"/>
          <w:color w:val="auto"/>
        </w:rPr>
      </w:pPr>
    </w:p>
    <w:p>
      <w:pPr>
        <w:ind w:left="100" w:right="120"/>
        <w:spacing w:after="0" w:line="287" w:lineRule="auto"/>
        <w:rPr>
          <w:sz w:val="20"/>
          <w:szCs w:val="20"/>
          <w:color w:val="auto"/>
        </w:rPr>
      </w:pPr>
      <w:r>
        <w:rPr>
          <w:rFonts w:ascii="Arial" w:cs="Arial" w:eastAsia="Arial" w:hAnsi="Arial"/>
          <w:sz w:val="18"/>
          <w:szCs w:val="18"/>
          <w:color w:val="222222"/>
        </w:rPr>
        <w:t>I acknowledge and agree that I was provided the covenant not to solicit the Company’s employee or consultants (as set forth in Section 13) at least fourteen (14) days prior to my employment start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New York employees: New York Labor Law Section 203-f</w:t>
      </w:r>
    </w:p>
    <w:p>
      <w:pPr>
        <w:spacing w:after="0" w:line="223" w:lineRule="exact"/>
        <w:rPr>
          <w:sz w:val="20"/>
          <w:szCs w:val="20"/>
          <w:color w:val="auto"/>
        </w:rPr>
      </w:pPr>
    </w:p>
    <w:p>
      <w:pPr>
        <w:ind w:left="980" w:right="100" w:hanging="324"/>
        <w:spacing w:after="0" w:line="262" w:lineRule="auto"/>
        <w:tabs>
          <w:tab w:leader="none" w:pos="981" w:val="left"/>
        </w:tabs>
        <w:numPr>
          <w:ilvl w:val="0"/>
          <w:numId w:val="66"/>
        </w:numPr>
        <w:rPr>
          <w:rFonts w:ascii="Arial" w:cs="Arial" w:eastAsia="Arial" w:hAnsi="Arial"/>
          <w:sz w:val="18"/>
          <w:szCs w:val="18"/>
          <w:color w:val="3D3D3D"/>
        </w:rPr>
      </w:pPr>
      <w:r>
        <w:rPr>
          <w:rFonts w:ascii="Arial" w:cs="Arial" w:eastAsia="Arial" w:hAnsi="Arial"/>
          <w:sz w:val="18"/>
          <w:szCs w:val="18"/>
          <w:color w:val="3D3D3D"/>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03" w:lineRule="exact"/>
        <w:rPr>
          <w:sz w:val="20"/>
          <w:szCs w:val="20"/>
          <w:color w:val="auto"/>
        </w:rPr>
      </w:pPr>
    </w:p>
    <w:p>
      <w:pPr>
        <w:ind w:left="980" w:right="320" w:hanging="324"/>
        <w:spacing w:after="0" w:line="287" w:lineRule="auto"/>
        <w:tabs>
          <w:tab w:leader="none" w:pos="997" w:val="left"/>
        </w:tabs>
        <w:numPr>
          <w:ilvl w:val="0"/>
          <w:numId w:val="67"/>
        </w:numPr>
        <w:rPr>
          <w:rFonts w:ascii="Arial" w:cs="Arial" w:eastAsia="Arial" w:hAnsi="Arial"/>
          <w:sz w:val="18"/>
          <w:szCs w:val="18"/>
          <w:color w:val="3D3D3D"/>
        </w:rPr>
      </w:pPr>
      <w:r>
        <w:rPr>
          <w:rFonts w:ascii="Arial" w:cs="Arial" w:eastAsia="Arial" w:hAnsi="Arial"/>
          <w:sz w:val="18"/>
          <w:szCs w:val="18"/>
          <w:color w:val="3D3D3D"/>
        </w:rPr>
        <w:t>relate at the time of conception or reduction to practice of the invention to the employer's business, or actual or demonstrably anticipated research or development of the employer; or</w:t>
      </w:r>
    </w:p>
    <w:p>
      <w:pPr>
        <w:spacing w:after="0" w:line="179" w:lineRule="exact"/>
        <w:rPr>
          <w:rFonts w:ascii="Arial" w:cs="Arial" w:eastAsia="Arial" w:hAnsi="Arial"/>
          <w:sz w:val="18"/>
          <w:szCs w:val="18"/>
          <w:color w:val="3D3D3D"/>
        </w:rPr>
      </w:pPr>
    </w:p>
    <w:p>
      <w:pPr>
        <w:ind w:left="980" w:hanging="324"/>
        <w:spacing w:after="0"/>
        <w:tabs>
          <w:tab w:leader="none" w:pos="980" w:val="left"/>
        </w:tabs>
        <w:numPr>
          <w:ilvl w:val="0"/>
          <w:numId w:val="67"/>
        </w:numPr>
        <w:rPr>
          <w:rFonts w:ascii="Arial" w:cs="Arial" w:eastAsia="Arial" w:hAnsi="Arial"/>
          <w:sz w:val="18"/>
          <w:szCs w:val="18"/>
          <w:color w:val="3D3D3D"/>
        </w:rPr>
      </w:pPr>
      <w:r>
        <w:rPr>
          <w:rFonts w:ascii="Arial" w:cs="Arial" w:eastAsia="Arial" w:hAnsi="Arial"/>
          <w:sz w:val="18"/>
          <w:szCs w:val="18"/>
          <w:color w:val="3D3D3D"/>
        </w:rPr>
        <w:t>result from any work performed by the employee for the employer.</w:t>
      </w:r>
    </w:p>
    <w:p>
      <w:pPr>
        <w:spacing w:after="0" w:line="252" w:lineRule="exact"/>
        <w:rPr>
          <w:sz w:val="20"/>
          <w:szCs w:val="20"/>
          <w:color w:val="auto"/>
        </w:rPr>
      </w:pPr>
    </w:p>
    <w:p>
      <w:pPr>
        <w:ind w:left="980" w:right="160" w:hanging="324"/>
        <w:spacing w:after="0" w:line="268" w:lineRule="auto"/>
        <w:tabs>
          <w:tab w:leader="none" w:pos="981" w:val="left"/>
        </w:tabs>
        <w:numPr>
          <w:ilvl w:val="0"/>
          <w:numId w:val="68"/>
        </w:numPr>
        <w:rPr>
          <w:rFonts w:ascii="Arial" w:cs="Arial" w:eastAsia="Arial" w:hAnsi="Arial"/>
          <w:sz w:val="18"/>
          <w:szCs w:val="18"/>
          <w:color w:val="3D3D3D"/>
        </w:rPr>
      </w:pPr>
      <w:r>
        <w:rPr>
          <w:rFonts w:ascii="Arial" w:cs="Arial" w:eastAsia="Arial" w:hAnsi="Arial"/>
          <w:sz w:val="18"/>
          <w:szCs w:val="18"/>
          <w:color w:val="3D3D3D"/>
        </w:rPr>
        <w:t>To the extent a provision in an employment agreement purports to require an employee to assign an invention otherwise excluded from being required to be assigned under subdivision one of this section, such provision is against the public policy of this state and shall be unenforceable.</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Delaware employees: 19 Delaware Code § 805:</w:t>
      </w:r>
    </w:p>
    <w:p>
      <w:pPr>
        <w:spacing w:after="0" w:line="223" w:lineRule="exact"/>
        <w:rPr>
          <w:sz w:val="20"/>
          <w:szCs w:val="20"/>
          <w:color w:val="auto"/>
        </w:rPr>
      </w:pPr>
    </w:p>
    <w:p>
      <w:pPr>
        <w:ind w:left="660" w:right="220"/>
        <w:spacing w:after="0" w:line="262" w:lineRule="auto"/>
        <w:rPr>
          <w:sz w:val="20"/>
          <w:szCs w:val="20"/>
          <w:color w:val="auto"/>
        </w:rPr>
      </w:pPr>
      <w:r>
        <w:rPr>
          <w:rFonts w:ascii="Arial" w:cs="Arial" w:eastAsia="Arial" w:hAnsi="Arial"/>
          <w:sz w:val="18"/>
          <w:szCs w:val="18"/>
          <w:color w:val="auto"/>
        </w:rPr>
        <w:t>Any provision in an employment agreement which provides that the employee shall assign or offer to assign any of the employee’s rights in an invention to the employee’s employer shall not apply to an invention that the employee developed entirely on the employee’s own time without using the employer’s equipment, supplies, facility or trade secret information, except for those inventions that:</w:t>
      </w:r>
    </w:p>
    <w:p>
      <w:pPr>
        <w:spacing w:after="0" w:line="176" w:lineRule="exact"/>
        <w:rPr>
          <w:sz w:val="20"/>
          <w:szCs w:val="20"/>
          <w:color w:val="auto"/>
        </w:rPr>
      </w:pPr>
    </w:p>
    <w:p>
      <w:pPr>
        <w:ind w:left="1580" w:hanging="276"/>
        <w:spacing w:after="0"/>
        <w:tabs>
          <w:tab w:leader="none" w:pos="1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Relate to the employer’s business or actual or demonstrably anticipated research or development; or</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25" w:lineRule="exact"/>
        <w:rPr>
          <w:sz w:val="20"/>
          <w:szCs w:val="20"/>
          <w:color w:val="auto"/>
        </w:rPr>
      </w:pPr>
    </w:p>
    <w:p>
      <w:pPr>
        <w:ind w:left="660" w:right="360"/>
        <w:spacing w:after="0" w:line="268" w:lineRule="auto"/>
        <w:rPr>
          <w:sz w:val="20"/>
          <w:szCs w:val="20"/>
          <w:color w:val="auto"/>
        </w:rPr>
      </w:pPr>
      <w:r>
        <w:rPr>
          <w:rFonts w:ascii="Arial" w:cs="Arial" w:eastAsia="Arial" w:hAnsi="Arial"/>
          <w:sz w:val="18"/>
          <w:szCs w:val="18"/>
          <w:color w:val="auto"/>
        </w:rPr>
        <w:t>To the extent a provision in an employment agreement purports to apply to the type of invention described, it is against the public policy of this State and is unenforceable. An employer may not require a provision of an employment agreement made unenforceable under this section as a condition of employment or continued employment.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Kansas employees: Kansas Statutes § 44-130:</w:t>
      </w:r>
    </w:p>
    <w:p>
      <w:pPr>
        <w:spacing w:after="0" w:line="223" w:lineRule="exact"/>
        <w:rPr>
          <w:sz w:val="20"/>
          <w:szCs w:val="20"/>
          <w:color w:val="auto"/>
        </w:rPr>
      </w:pPr>
    </w:p>
    <w:p>
      <w:pPr>
        <w:ind w:left="660" w:hanging="4"/>
        <w:spacing w:after="0" w:line="268" w:lineRule="auto"/>
        <w:tabs>
          <w:tab w:leader="none" w:pos="9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provision in an employment agreement which provides that an employee shall assign or offer to assign any of the employee’s rights in an invention to the employer shall not apply to an invention for which no equipment, supplies, facilities, or trade secret information of the employer was used and which was developed entirely on the employee’s own time, unless:</w:t>
      </w:r>
    </w:p>
    <w:p>
      <w:pPr>
        <w:spacing w:after="0" w:line="170" w:lineRule="exact"/>
        <w:rPr>
          <w:rFonts w:ascii="Arial" w:cs="Arial" w:eastAsia="Arial" w:hAnsi="Arial"/>
          <w:sz w:val="18"/>
          <w:szCs w:val="18"/>
          <w:color w:val="auto"/>
        </w:rPr>
      </w:pPr>
    </w:p>
    <w:p>
      <w:pPr>
        <w:ind w:left="1300" w:right="120" w:firstLine="4"/>
        <w:spacing w:after="0" w:line="287" w:lineRule="auto"/>
        <w:tabs>
          <w:tab w:leader="none" w:pos="157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invention relates to the business of the employer or to the employer’s actual or demonstrably anticipated research or development; or</w:t>
      </w:r>
    </w:p>
    <w:p>
      <w:pPr>
        <w:spacing w:after="0" w:line="152" w:lineRule="exact"/>
        <w:rPr>
          <w:rFonts w:ascii="Arial" w:cs="Arial" w:eastAsia="Arial" w:hAnsi="Arial"/>
          <w:sz w:val="18"/>
          <w:szCs w:val="18"/>
          <w:color w:val="auto"/>
        </w:rPr>
      </w:pPr>
    </w:p>
    <w:p>
      <w:pPr>
        <w:ind w:left="1580" w:hanging="276"/>
        <w:spacing w:after="0"/>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invention results from any work performed by the employee for the employer.</w:t>
      </w:r>
    </w:p>
    <w:p>
      <w:pPr>
        <w:spacing w:after="0" w:line="225" w:lineRule="exact"/>
        <w:rPr>
          <w:rFonts w:ascii="Arial" w:cs="Arial" w:eastAsia="Arial" w:hAnsi="Arial"/>
          <w:sz w:val="18"/>
          <w:szCs w:val="18"/>
          <w:color w:val="auto"/>
        </w:rPr>
      </w:pPr>
    </w:p>
    <w:p>
      <w:pPr>
        <w:ind w:left="660" w:right="120" w:hanging="4"/>
        <w:spacing w:after="0" w:line="268" w:lineRule="auto"/>
        <w:tabs>
          <w:tab w:leader="none" w:pos="9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provision in an employment agreement which purports to apply to an invention which it is prohibited from applying to under subsection (a), is to that extent against the public policy of this state and is to that extent void and unenforceable. No employer shall require a provision made void and unenforceable by this section as a condition of employment or continuing employment.</w:t>
      </w:r>
    </w:p>
    <w:p>
      <w:pPr>
        <w:spacing w:after="0" w:line="170" w:lineRule="exact"/>
        <w:rPr>
          <w:rFonts w:ascii="Arial" w:cs="Arial" w:eastAsia="Arial" w:hAnsi="Arial"/>
          <w:sz w:val="18"/>
          <w:szCs w:val="18"/>
          <w:color w:val="auto"/>
        </w:rPr>
      </w:pPr>
    </w:p>
    <w:p>
      <w:pPr>
        <w:ind w:left="660" w:right="160" w:hanging="4"/>
        <w:spacing w:after="0" w:line="262" w:lineRule="auto"/>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 employment agreement contains a provision requiring the employee to assign any of the employee’s rights in any invention to the employer, the employer shall provide, at the time the agreement is made, a written notification to the employee that the agreement does not apply to an invention for which no equipment, supplies, facility or trade secret information of the employer was used and which was developed entirely on the employee’s own time, unless:</w:t>
      </w:r>
    </w:p>
    <w:p>
      <w:pPr>
        <w:spacing w:after="0" w:line="176" w:lineRule="exact"/>
        <w:rPr>
          <w:sz w:val="20"/>
          <w:szCs w:val="20"/>
          <w:color w:val="auto"/>
        </w:rPr>
      </w:pPr>
    </w:p>
    <w:p>
      <w:pPr>
        <w:ind w:left="1300" w:right="280"/>
        <w:spacing w:after="0" w:line="287" w:lineRule="auto"/>
        <w:rPr>
          <w:sz w:val="20"/>
          <w:szCs w:val="20"/>
          <w:color w:val="auto"/>
        </w:rPr>
      </w:pPr>
      <w:r>
        <w:rPr>
          <w:rFonts w:ascii="Arial" w:cs="Arial" w:eastAsia="Arial" w:hAnsi="Arial"/>
          <w:sz w:val="18"/>
          <w:szCs w:val="18"/>
          <w:color w:val="auto"/>
        </w:rPr>
        <w:t>(1)  The invention relates directly to the business of the employer or to the employer’s actual or demonstrably anticipated research or development; or</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   The invention results from any work performed by the employee for the employer.</w:t>
      </w:r>
    </w:p>
    <w:p>
      <w:pPr>
        <w:spacing w:after="0" w:line="225" w:lineRule="exact"/>
        <w:rPr>
          <w:sz w:val="20"/>
          <w:szCs w:val="20"/>
          <w:color w:val="auto"/>
        </w:rPr>
      </w:pPr>
    </w:p>
    <w:p>
      <w:pPr>
        <w:jc w:val="both"/>
        <w:ind w:left="660" w:right="140"/>
        <w:spacing w:after="0" w:line="268" w:lineRule="auto"/>
        <w:rPr>
          <w:sz w:val="20"/>
          <w:szCs w:val="20"/>
          <w:color w:val="auto"/>
        </w:rPr>
      </w:pPr>
      <w:r>
        <w:rPr>
          <w:rFonts w:ascii="Arial" w:cs="Arial" w:eastAsia="Arial" w:hAnsi="Arial"/>
          <w:sz w:val="18"/>
          <w:szCs w:val="18"/>
          <w:color w:val="auto"/>
        </w:rPr>
        <w:t>(d)  Even though the employee meets the burden of proving the conditions specified in this section, the employee shall disclose, at the time of employment or thereafter, all inventions being developed by the employee, for the purpose of determining employer and employee rights in an invention.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Minnesota employees: Minnesota Statute 181.78:</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55" w:lineRule="exact"/>
        <w:rPr>
          <w:sz w:val="20"/>
          <w:szCs w:val="20"/>
          <w:color w:val="auto"/>
        </w:rPr>
      </w:pPr>
    </w:p>
    <w:p>
      <w:pPr>
        <w:ind w:left="660" w:right="80"/>
        <w:spacing w:after="0" w:line="256" w:lineRule="auto"/>
        <w:rPr>
          <w:sz w:val="20"/>
          <w:szCs w:val="20"/>
          <w:color w:val="auto"/>
        </w:rPr>
      </w:pPr>
      <w:r>
        <w:rPr>
          <w:rFonts w:ascii="Arial" w:cs="Arial" w:eastAsia="Arial" w:hAnsi="Arial"/>
          <w:sz w:val="18"/>
          <w:szCs w:val="18"/>
          <w:color w:val="auto"/>
        </w:rPr>
        <w:t xml:space="preserve">Subdivision 1. </w:t>
      </w:r>
      <w:r>
        <w:rPr>
          <w:rFonts w:ascii="Arial" w:cs="Arial" w:eastAsia="Arial" w:hAnsi="Arial"/>
          <w:sz w:val="18"/>
          <w:szCs w:val="18"/>
          <w:b w:val="1"/>
          <w:bCs w:val="1"/>
          <w:color w:val="auto"/>
        </w:rPr>
        <w:t>Inventions not related to employment</w:t>
      </w:r>
      <w:r>
        <w:rPr>
          <w:rFonts w:ascii="Arial" w:cs="Arial" w:eastAsia="Arial" w:hAnsi="Arial"/>
          <w:sz w:val="18"/>
          <w:szCs w:val="18"/>
          <w:color w:val="auto"/>
        </w:rPr>
        <w:t>. Any provision in an employment agreement which provides that an employee shall assign or offer to assign any of the employee’s rights in an invention to the employer shall not apply to an invention for which no equipment, supplies, facility or trade secret information of the employer was used and which was developed entirely on the employee’s own time, and (1) which does not relate (a) directly to the business of the employer or (b) to the employer’s actual or demonstrably anticipated research or development, or (2) which does not result from any work performed by the employee for the employer. Any provision which purports to apply to such an invention is to that extent against the public policy of this state and is to that extent void and unenforceable.</w:t>
      </w:r>
    </w:p>
    <w:p>
      <w:pPr>
        <w:spacing w:after="0" w:line="183" w:lineRule="exact"/>
        <w:rPr>
          <w:sz w:val="20"/>
          <w:szCs w:val="20"/>
          <w:color w:val="auto"/>
        </w:rPr>
      </w:pPr>
    </w:p>
    <w:p>
      <w:pPr>
        <w:ind w:left="660" w:right="720"/>
        <w:spacing w:after="0" w:line="287" w:lineRule="auto"/>
        <w:rPr>
          <w:sz w:val="20"/>
          <w:szCs w:val="20"/>
          <w:color w:val="auto"/>
        </w:rPr>
      </w:pPr>
      <w:r>
        <w:rPr>
          <w:rFonts w:ascii="Arial" w:cs="Arial" w:eastAsia="Arial" w:hAnsi="Arial"/>
          <w:sz w:val="18"/>
          <w:szCs w:val="18"/>
          <w:color w:val="auto"/>
        </w:rPr>
        <w:t xml:space="preserve">Subd. 2. </w:t>
      </w:r>
      <w:r>
        <w:rPr>
          <w:rFonts w:ascii="Arial" w:cs="Arial" w:eastAsia="Arial" w:hAnsi="Arial"/>
          <w:sz w:val="18"/>
          <w:szCs w:val="18"/>
          <w:b w:val="1"/>
          <w:bCs w:val="1"/>
          <w:color w:val="auto"/>
        </w:rPr>
        <w:t>Effect of subdivision 1</w:t>
      </w:r>
      <w:r>
        <w:rPr>
          <w:rFonts w:ascii="Arial" w:cs="Arial" w:eastAsia="Arial" w:hAnsi="Arial"/>
          <w:sz w:val="18"/>
          <w:szCs w:val="18"/>
          <w:color w:val="auto"/>
        </w:rPr>
        <w:t>. No employer shall require a provision made void and unenforceable by subdivision 1 as a condition of employment or continuing employment.</w:t>
      </w:r>
    </w:p>
    <w:p>
      <w:pPr>
        <w:spacing w:after="0" w:line="153" w:lineRule="exact"/>
        <w:rPr>
          <w:sz w:val="20"/>
          <w:szCs w:val="20"/>
          <w:color w:val="auto"/>
        </w:rPr>
      </w:pPr>
    </w:p>
    <w:p>
      <w:pPr>
        <w:ind w:left="660" w:right="60"/>
        <w:spacing w:after="0" w:line="256" w:lineRule="auto"/>
        <w:rPr>
          <w:sz w:val="20"/>
          <w:szCs w:val="20"/>
          <w:color w:val="auto"/>
        </w:rPr>
      </w:pPr>
      <w:r>
        <w:rPr>
          <w:rFonts w:ascii="Arial" w:cs="Arial" w:eastAsia="Arial" w:hAnsi="Arial"/>
          <w:sz w:val="18"/>
          <w:szCs w:val="18"/>
          <w:color w:val="auto"/>
        </w:rPr>
        <w:t xml:space="preserve">Subd. 3. </w:t>
      </w:r>
      <w:r>
        <w:rPr>
          <w:rFonts w:ascii="Arial" w:cs="Arial" w:eastAsia="Arial" w:hAnsi="Arial"/>
          <w:sz w:val="18"/>
          <w:szCs w:val="18"/>
          <w:b w:val="1"/>
          <w:bCs w:val="1"/>
          <w:color w:val="auto"/>
        </w:rPr>
        <w:t>Notice to employee</w:t>
      </w:r>
      <w:r>
        <w:rPr>
          <w:rFonts w:ascii="Arial" w:cs="Arial" w:eastAsia="Arial" w:hAnsi="Arial"/>
          <w:sz w:val="18"/>
          <w:szCs w:val="18"/>
          <w:color w:val="auto"/>
        </w:rPr>
        <w:t>. If an employment agreement entered into after August 1, 1977 contains a provision requiring the employee to assign or offer to assign any of the employee’s rights in any invention to an employer, the employer must also, at the time the agreement is made, provide a written notification to the employee that the agreement does not apply to an invention for which no equipment, supplies, facility or trade secret information of the employer was used and which was developed entirely on the employee’s own time, and (1) which does not relate (a) directly to the business of the employer or (b) to the employer’s actual or demonstrably anticipated research or development, or (2) which does not result from any work performed by the employee for the employer.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New Jersey employees: New Jersey Statutes Annotated Section 34:1B-265:</w:t>
      </w:r>
    </w:p>
    <w:p>
      <w:pPr>
        <w:spacing w:after="0" w:line="223"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1.a. (1) Any provision in an employment contract between an employee and employer, which provides that the employee shall assign or offer to assign any of the employee’s rights to an invention to that employer, shall not apply to an invention that the employee develops entirely on the employee’s own time, and without using the employer’s equipment, supplies, facilities or information, including any trade secret information, except for those inventions that:</w:t>
      </w:r>
    </w:p>
    <w:p>
      <w:pPr>
        <w:spacing w:after="0" w:line="176" w:lineRule="exact"/>
        <w:rPr>
          <w:sz w:val="20"/>
          <w:szCs w:val="20"/>
          <w:color w:val="auto"/>
        </w:rPr>
      </w:pPr>
    </w:p>
    <w:p>
      <w:pPr>
        <w:ind w:left="1580" w:hanging="276"/>
        <w:spacing w:after="0"/>
        <w:tabs>
          <w:tab w:leader="none" w:pos="15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relate to the employer’s business or actual or demonstrably anticipated research or development; or</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result from any work performed by the employee on behalf of the employer.</w:t>
      </w:r>
    </w:p>
    <w:p>
      <w:pPr>
        <w:spacing w:after="0" w:line="225" w:lineRule="exact"/>
        <w:rPr>
          <w:rFonts w:ascii="Arial" w:cs="Arial" w:eastAsia="Arial" w:hAnsi="Arial"/>
          <w:sz w:val="18"/>
          <w:szCs w:val="18"/>
          <w:color w:val="auto"/>
        </w:rPr>
      </w:pPr>
    </w:p>
    <w:p>
      <w:pPr>
        <w:ind w:left="660" w:right="560" w:hanging="4"/>
        <w:spacing w:after="0" w:line="287" w:lineRule="auto"/>
        <w:tabs>
          <w:tab w:leader="none" w:pos="9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the extent any provision in an employment contract applies, or intends to apply, to an employee invention subject to this subsection, the provision shall be deemed against the public policy of this State and shall be unenforceable.</w:t>
      </w:r>
    </w:p>
    <w:p>
      <w:pPr>
        <w:spacing w:after="0" w:line="153" w:lineRule="exact"/>
        <w:rPr>
          <w:sz w:val="20"/>
          <w:szCs w:val="20"/>
          <w:color w:val="auto"/>
        </w:rPr>
      </w:pPr>
    </w:p>
    <w:p>
      <w:pPr>
        <w:ind w:left="660" w:right="60"/>
        <w:spacing w:after="0" w:line="268" w:lineRule="auto"/>
        <w:rPr>
          <w:sz w:val="20"/>
          <w:szCs w:val="20"/>
          <w:color w:val="auto"/>
        </w:rPr>
      </w:pPr>
      <w:r>
        <w:rPr>
          <w:rFonts w:ascii="Arial" w:cs="Arial" w:eastAsia="Arial" w:hAnsi="Arial"/>
          <w:sz w:val="18"/>
          <w:szCs w:val="18"/>
          <w:color w:val="auto"/>
        </w:rPr>
        <w:t>b. No employer shall require a provision made void and unenforceable by this act as a condition of employment or continued employment. Nothing in this act shall be construed to forbid or restrict the right of an employer to provide in contracts of employment for:</w:t>
      </w:r>
    </w:p>
    <w:p>
      <w:pPr>
        <w:spacing w:after="0" w:line="171" w:lineRule="exact"/>
        <w:rPr>
          <w:sz w:val="20"/>
          <w:szCs w:val="20"/>
          <w:color w:val="auto"/>
        </w:rPr>
      </w:pPr>
    </w:p>
    <w:p>
      <w:pPr>
        <w:ind w:left="660" w:right="160" w:hanging="4"/>
        <w:spacing w:after="0" w:line="287" w:lineRule="auto"/>
        <w:tabs>
          <w:tab w:leader="none" w:pos="9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disclosure, provided that any disclosure shall be received in confidence, of all of an employee’s inventions made solely or jointly with others during the term of the employee’s employment;</w:t>
      </w:r>
    </w:p>
    <w:p>
      <w:pPr>
        <w:spacing w:after="0" w:line="152" w:lineRule="exact"/>
        <w:rPr>
          <w:rFonts w:ascii="Arial" w:cs="Arial" w:eastAsia="Arial" w:hAnsi="Arial"/>
          <w:sz w:val="18"/>
          <w:szCs w:val="18"/>
          <w:color w:val="auto"/>
        </w:rPr>
      </w:pPr>
    </w:p>
    <w:p>
      <w:pPr>
        <w:ind w:left="920" w:hanging="264"/>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review process by the employer to determine any issues that may arise; and</w:t>
      </w:r>
    </w:p>
    <w:p>
      <w:pPr>
        <w:spacing w:after="0" w:line="225" w:lineRule="exact"/>
        <w:rPr>
          <w:rFonts w:ascii="Arial" w:cs="Arial" w:eastAsia="Arial" w:hAnsi="Arial"/>
          <w:sz w:val="18"/>
          <w:szCs w:val="18"/>
          <w:color w:val="auto"/>
        </w:rPr>
      </w:pPr>
    </w:p>
    <w:p>
      <w:pPr>
        <w:ind w:left="660" w:right="540" w:hanging="4"/>
        <w:spacing w:after="0" w:line="287" w:lineRule="auto"/>
        <w:tabs>
          <w:tab w:leader="none" w:pos="9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full title to certain patents and inventions to be in the United States, as required by contracts between the employer and the United States or any of its agencies.</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3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Nothing in this act shall be deemed to impede or otherwise diminish the rights of alienation of inventors or patent-owners.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North Carolina employees: North Carolina General Statutes 66-57.1:</w:t>
      </w:r>
    </w:p>
    <w:p>
      <w:pPr>
        <w:spacing w:after="0" w:line="223" w:lineRule="exact"/>
        <w:rPr>
          <w:sz w:val="20"/>
          <w:szCs w:val="20"/>
          <w:color w:val="auto"/>
        </w:rPr>
      </w:pPr>
    </w:p>
    <w:p>
      <w:pPr>
        <w:ind w:left="660" w:right="700"/>
        <w:spacing w:after="0" w:line="256" w:lineRule="auto"/>
        <w:rPr>
          <w:sz w:val="20"/>
          <w:szCs w:val="20"/>
          <w:color w:val="auto"/>
        </w:rPr>
      </w:pPr>
      <w:r>
        <w:rPr>
          <w:rFonts w:ascii="Arial" w:cs="Arial" w:eastAsia="Arial" w:hAnsi="Arial"/>
          <w:sz w:val="18"/>
          <w:szCs w:val="18"/>
          <w:color w:val="auto"/>
        </w:rPr>
        <w:t>Any provision in an employment agreement which provides that the employee shall assign or offer to assign any of his rights in an invention to his employer shall not apply to an invention that the employee developed entirely on his own time without using the employer’s equipment, supplies, facility or trade secret information except for those inventions that (i) relate to the employer’s business or actual or demonstrably anticipated research or development, or (ii) result from any work performed by the employee for the employer. To the extent a provision in an employment agreement purports to apply to the type of invention described, it is against the public policy of this State and is unenforceable. The employee shall bear the burden of proof in establishing that his invention qualifies under this section.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Utah employees: U.C.A. 1953 §§ 34-39-2 and 34-39-3 of the Utah Code Annotated:</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U.C.A. 1953 § 34-39-2</w:t>
      </w:r>
    </w:p>
    <w:p>
      <w:pPr>
        <w:spacing w:after="0" w:line="223" w:lineRule="exact"/>
        <w:rPr>
          <w:sz w:val="20"/>
          <w:szCs w:val="20"/>
          <w:color w:val="auto"/>
        </w:rPr>
      </w:pPr>
    </w:p>
    <w:p>
      <w:pPr>
        <w:ind w:left="600" w:hanging="9"/>
        <w:spacing w:after="0" w:line="270" w:lineRule="auto"/>
        <w:tabs>
          <w:tab w:leader="none" w:pos="87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“Employment invention” means any invention or part thereof conceived, developed, reduced to practice, or created by an employee which is: (a) conceived, developed, reduced to practice, or created by the employee: (i) within the scope of his employment; (ii) on his employer’s time; or (iii) with the aid, assistance, or use of any of his employer’s property, equipment, facilities, supplies, resources, or intellectual property; (b) the result of any work, services, or duties performed by an employee for his employer;</w:t>
      </w:r>
    </w:p>
    <w:p>
      <w:pPr>
        <w:spacing w:after="0" w:line="2" w:lineRule="exact"/>
        <w:rPr>
          <w:rFonts w:ascii="Arial" w:cs="Arial" w:eastAsia="Arial" w:hAnsi="Arial"/>
          <w:sz w:val="17"/>
          <w:szCs w:val="17"/>
          <w:color w:val="auto"/>
        </w:rPr>
      </w:pPr>
    </w:p>
    <w:p>
      <w:pPr>
        <w:ind w:left="600" w:right="360"/>
        <w:spacing w:after="0" w:line="266" w:lineRule="auto"/>
        <w:rPr>
          <w:rFonts w:ascii="Arial" w:cs="Arial" w:eastAsia="Arial" w:hAnsi="Arial"/>
          <w:sz w:val="17"/>
          <w:szCs w:val="17"/>
          <w:color w:val="auto"/>
        </w:rPr>
      </w:pPr>
      <w:r>
        <w:rPr>
          <w:rFonts w:ascii="Arial" w:cs="Arial" w:eastAsia="Arial" w:hAnsi="Arial"/>
          <w:sz w:val="18"/>
          <w:szCs w:val="18"/>
          <w:color w:val="auto"/>
        </w:rPr>
        <w:t>(c) related to the industry or trade of the employer; or (d) related to the current or demonstrably anticipated business, research, or development of the employer.</w:t>
      </w:r>
    </w:p>
    <w:p>
      <w:pPr>
        <w:spacing w:after="0" w:line="171" w:lineRule="exact"/>
        <w:rPr>
          <w:rFonts w:ascii="Arial" w:cs="Arial" w:eastAsia="Arial" w:hAnsi="Arial"/>
          <w:sz w:val="17"/>
          <w:szCs w:val="17"/>
          <w:color w:val="auto"/>
        </w:rPr>
      </w:pPr>
    </w:p>
    <w:p>
      <w:pPr>
        <w:ind w:left="600" w:right="80" w:hanging="9"/>
        <w:spacing w:after="0" w:line="287" w:lineRule="auto"/>
        <w:tabs>
          <w:tab w:leader="none" w:pos="8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“Intellectual property” means any and all patents, trade secrets, know-how, technology, confidential information, ideas, copyrights, trademarks, and service marks and any and all rights, applications, and registrations relating to them.</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U.C.A. 1953 § 34-39-3</w:t>
      </w:r>
    </w:p>
    <w:p>
      <w:pPr>
        <w:spacing w:after="0" w:line="223" w:lineRule="exact"/>
        <w:rPr>
          <w:sz w:val="20"/>
          <w:szCs w:val="20"/>
          <w:color w:val="auto"/>
        </w:rPr>
      </w:pPr>
    </w:p>
    <w:p>
      <w:pPr>
        <w:jc w:val="both"/>
        <w:ind w:left="600" w:hanging="9"/>
        <w:spacing w:after="0" w:line="268" w:lineRule="auto"/>
        <w:tabs>
          <w:tab w:leader="none" w:pos="87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employment agreement between an employee and his employer is not enforceable against the employee to the extent that the agreement requires the employee to assign or license, or to offer to assign or license, to the employer any right or intellectual property in or to an invention that is: (a) created by the employee entirely on his own time; and (b) not an employment invention.</w:t>
      </w:r>
    </w:p>
    <w:p>
      <w:pPr>
        <w:spacing w:after="0" w:line="170" w:lineRule="exact"/>
        <w:rPr>
          <w:rFonts w:ascii="Arial" w:cs="Arial" w:eastAsia="Arial" w:hAnsi="Arial"/>
          <w:sz w:val="18"/>
          <w:szCs w:val="18"/>
          <w:color w:val="auto"/>
        </w:rPr>
      </w:pPr>
    </w:p>
    <w:p>
      <w:pPr>
        <w:ind w:left="660" w:right="360" w:hanging="4"/>
        <w:spacing w:after="0" w:line="287" w:lineRule="auto"/>
        <w:tabs>
          <w:tab w:leader="none" w:pos="93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 agreement between an employee and his employer may require the employee to assign or license, or to offer to assign or license, to his employer any or all of his rights and intellectual property in or to an employment invention.</w:t>
      </w:r>
    </w:p>
    <w:p>
      <w:pPr>
        <w:spacing w:after="0" w:line="152" w:lineRule="exact"/>
        <w:rPr>
          <w:rFonts w:ascii="Arial" w:cs="Arial" w:eastAsia="Arial" w:hAnsi="Arial"/>
          <w:sz w:val="18"/>
          <w:szCs w:val="18"/>
          <w:color w:val="auto"/>
        </w:rPr>
      </w:pPr>
    </w:p>
    <w:p>
      <w:pPr>
        <w:jc w:val="both"/>
        <w:ind w:left="660" w:right="40" w:hanging="4"/>
        <w:spacing w:after="0" w:line="268" w:lineRule="auto"/>
        <w:tabs>
          <w:tab w:leader="none" w:pos="93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Subsection (1) does not apply to: (a) any right, intellectual property or invention that is required by law or by contract between the employer and the United States government or a state or local government to be assigned or licensed to the United States; or (b) an agreement between an employee and his employer which is not an employment agreement.</w:t>
      </w:r>
    </w:p>
    <w:p>
      <w:pPr>
        <w:spacing w:after="0" w:line="170" w:lineRule="exact"/>
        <w:rPr>
          <w:rFonts w:ascii="Arial" w:cs="Arial" w:eastAsia="Arial" w:hAnsi="Arial"/>
          <w:sz w:val="18"/>
          <w:szCs w:val="18"/>
          <w:color w:val="auto"/>
        </w:rPr>
      </w:pPr>
    </w:p>
    <w:p>
      <w:pPr>
        <w:ind w:left="660" w:right="40" w:hanging="4"/>
        <w:spacing w:after="0" w:line="268" w:lineRule="auto"/>
        <w:tabs>
          <w:tab w:leader="none" w:pos="930"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Notwithstanding Subsection (1), an agreement is enforceable under Subsection (1) if the employee’s employment or continuation of employment is not conditioned on the employee’s acceptance of such agreement and the employee receives a consideration under such agreement which is not compensation for employment.</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355" w:lineRule="exact"/>
        <w:rPr>
          <w:sz w:val="20"/>
          <w:szCs w:val="20"/>
          <w:color w:val="auto"/>
        </w:rPr>
      </w:pPr>
    </w:p>
    <w:p>
      <w:pPr>
        <w:ind w:left="660" w:hanging="4"/>
        <w:spacing w:after="0" w:line="287" w:lineRule="auto"/>
        <w:tabs>
          <w:tab w:leader="none" w:pos="93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Employment of the employee or the continuation of his employment is sufficient consideration to support the enforceability of an agreement under Subsection (2) whether or not the agreement recites such consideration.</w:t>
      </w:r>
    </w:p>
    <w:p>
      <w:pPr>
        <w:spacing w:after="0" w:line="152" w:lineRule="exact"/>
        <w:rPr>
          <w:rFonts w:ascii="Arial" w:cs="Arial" w:eastAsia="Arial" w:hAnsi="Arial"/>
          <w:sz w:val="18"/>
          <w:szCs w:val="18"/>
          <w:color w:val="auto"/>
        </w:rPr>
      </w:pPr>
    </w:p>
    <w:p>
      <w:pPr>
        <w:ind w:left="660" w:right="740" w:hanging="4"/>
        <w:spacing w:after="0" w:line="287" w:lineRule="auto"/>
        <w:tabs>
          <w:tab w:leader="none" w:pos="93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 employer may require his employees to agree to an agreement within the scope of Subsection (2) as a condition of employment or the continuation of employment.</w:t>
      </w:r>
    </w:p>
    <w:p>
      <w:pPr>
        <w:spacing w:after="0" w:line="152" w:lineRule="exact"/>
        <w:rPr>
          <w:rFonts w:ascii="Arial" w:cs="Arial" w:eastAsia="Arial" w:hAnsi="Arial"/>
          <w:sz w:val="18"/>
          <w:szCs w:val="18"/>
          <w:color w:val="auto"/>
        </w:rPr>
      </w:pPr>
    </w:p>
    <w:p>
      <w:pPr>
        <w:ind w:left="660" w:right="720" w:hanging="4"/>
        <w:spacing w:after="0" w:line="287" w:lineRule="auto"/>
        <w:tabs>
          <w:tab w:leader="none" w:pos="93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 employer may not require his employees to agree to anything unenforceable under Subsection (1) as a condition of employment or the continuation of employment.</w:t>
      </w:r>
    </w:p>
    <w:p>
      <w:pPr>
        <w:spacing w:after="0" w:line="152" w:lineRule="exact"/>
        <w:rPr>
          <w:rFonts w:ascii="Arial" w:cs="Arial" w:eastAsia="Arial" w:hAnsi="Arial"/>
          <w:sz w:val="18"/>
          <w:szCs w:val="18"/>
          <w:color w:val="auto"/>
        </w:rPr>
      </w:pPr>
    </w:p>
    <w:p>
      <w:pPr>
        <w:ind w:left="600" w:right="620" w:hanging="9"/>
        <w:spacing w:after="0" w:line="287" w:lineRule="auto"/>
        <w:tabs>
          <w:tab w:leader="none" w:pos="8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Nothing in this chapter invalidates or renders unenforceable any employment agreement or provisions of an employment agreement unrelated to employment inventions.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Washington employees: RCW 49.44.140 of the Revised Code of Washington:</w:t>
      </w:r>
    </w:p>
    <w:p>
      <w:pPr>
        <w:spacing w:after="0" w:line="223" w:lineRule="exact"/>
        <w:rPr>
          <w:sz w:val="20"/>
          <w:szCs w:val="20"/>
          <w:color w:val="auto"/>
        </w:rPr>
      </w:pPr>
    </w:p>
    <w:p>
      <w:pPr>
        <w:ind w:left="720" w:right="520" w:hanging="10"/>
        <w:spacing w:after="0" w:line="272" w:lineRule="auto"/>
        <w:tabs>
          <w:tab w:leader="none" w:pos="99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provision in an employment agreement which provides that an employee shall assign or offer to assign any of the employee’s rights in an invention to the employer does not apply to an invention for which no equipment, supplies, facilities, or trade secret information of the employer was used and which was developed entirely on the employee’s own time, unless</w:t>
      </w:r>
    </w:p>
    <w:p>
      <w:pPr>
        <w:spacing w:after="0" w:line="1" w:lineRule="exact"/>
        <w:rPr>
          <w:rFonts w:ascii="Arial" w:cs="Arial" w:eastAsia="Arial" w:hAnsi="Arial"/>
          <w:sz w:val="17"/>
          <w:szCs w:val="17"/>
          <w:color w:val="auto"/>
        </w:rPr>
      </w:pPr>
    </w:p>
    <w:p>
      <w:pPr>
        <w:ind w:left="720" w:right="680"/>
        <w:spacing w:after="0" w:line="255" w:lineRule="auto"/>
        <w:rPr>
          <w:rFonts w:ascii="Arial" w:cs="Arial" w:eastAsia="Arial" w:hAnsi="Arial"/>
          <w:sz w:val="17"/>
          <w:szCs w:val="17"/>
          <w:color w:val="auto"/>
        </w:rPr>
      </w:pPr>
      <w:r>
        <w:rPr>
          <w:rFonts w:ascii="Arial" w:cs="Arial" w:eastAsia="Arial" w:hAnsi="Arial"/>
          <w:sz w:val="18"/>
          <w:szCs w:val="18"/>
          <w:color w:val="auto"/>
        </w:rPr>
        <w:t>(a) the invention relates (i) directly to the business of the employer, or (ii) to the employer’s actual or demonstrably anticipated research or development, or (b) the invention results from any work performed by the employee for the employer. Any provision which purports to apply to such an invention is to that extent against the public policy of this state and is to that extent void and unenforceable.</w:t>
      </w:r>
    </w:p>
    <w:p>
      <w:pPr>
        <w:spacing w:after="0" w:line="182" w:lineRule="exact"/>
        <w:rPr>
          <w:rFonts w:ascii="Arial" w:cs="Arial" w:eastAsia="Arial" w:hAnsi="Arial"/>
          <w:sz w:val="17"/>
          <w:szCs w:val="17"/>
          <w:color w:val="auto"/>
        </w:rPr>
      </w:pPr>
    </w:p>
    <w:p>
      <w:pPr>
        <w:ind w:left="720" w:right="460" w:hanging="10"/>
        <w:spacing w:after="0" w:line="287" w:lineRule="auto"/>
        <w:tabs>
          <w:tab w:leader="none" w:pos="9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employer shall not require a provision made void and unenforceable by subsection (1) of this section as a condition of employment or continuing employment.</w:t>
      </w:r>
    </w:p>
    <w:p>
      <w:pPr>
        <w:spacing w:after="0" w:line="152" w:lineRule="exact"/>
        <w:rPr>
          <w:rFonts w:ascii="Arial" w:cs="Arial" w:eastAsia="Arial" w:hAnsi="Arial"/>
          <w:sz w:val="18"/>
          <w:szCs w:val="18"/>
          <w:color w:val="auto"/>
        </w:rPr>
      </w:pPr>
    </w:p>
    <w:p>
      <w:pPr>
        <w:ind w:left="720" w:right="580" w:hanging="10"/>
        <w:spacing w:after="0" w:line="256" w:lineRule="auto"/>
        <w:tabs>
          <w:tab w:leader="none" w:pos="9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an employment agreement entered into after September 1, 1979, contains a provision requiring the employee to assign any of the employee’s rights in any invention to the employer, the employer must also, at the time the agreement is made, provide a written notification to the employee that the agreement does not apply to an invention for which no equipment, supplies, facility, or trade secret information of the employer was used and which was developed entirely on the employee’s own time, unless (a) the invention relates (i) directly to the business of the employer, or (ii) to the employer’s actual or demonstrably anticipated research or development, or (b) the invention results from any work performed by the employee for the employer.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employees in all other states (unless otherwise governed by applicable state law):</w:t>
      </w:r>
    </w:p>
    <w:p>
      <w:pPr>
        <w:spacing w:after="0" w:line="223" w:lineRule="exact"/>
        <w:rPr>
          <w:sz w:val="20"/>
          <w:szCs w:val="20"/>
          <w:color w:val="auto"/>
        </w:rPr>
      </w:pPr>
    </w:p>
    <w:p>
      <w:pPr>
        <w:ind w:left="660" w:right="560"/>
        <w:spacing w:after="0" w:line="262" w:lineRule="auto"/>
        <w:rPr>
          <w:sz w:val="20"/>
          <w:szCs w:val="20"/>
          <w:color w:val="auto"/>
        </w:rPr>
      </w:pPr>
      <w:r>
        <w:rPr>
          <w:rFonts w:ascii="Arial" w:cs="Arial" w:eastAsia="Arial" w:hAnsi="Arial"/>
          <w:sz w:val="18"/>
          <w:szCs w:val="18"/>
          <w:color w:val="auto"/>
        </w:rPr>
        <w:t>An agreement to assign inventions to the employer does not apply to an invention for which no equipment, supplies, facility or trade secret information of the employer was used and which was developed entirely on the employee’s own time, unless the invention (1) relates (a) directly to the business of the employer or (b) to the employer’s actual or demonstrably anticipated research or development, or (2) results from any work performed by the employee for the employer.</w:t>
      </w:r>
    </w:p>
    <w:p>
      <w:pPr>
        <w:sectPr>
          <w:pgSz w:w="11900" w:h="16838" w:orient="portrait"/>
          <w:cols w:equalWidth="0" w:num="1">
            <w:col w:w="11060"/>
          </w:cols>
          <w:pgMar w:left="320" w:top="1440" w:right="519" w:bottom="1440" w:gutter="0" w:footer="0" w:header="0"/>
        </w:sectPr>
      </w:pPr>
    </w:p>
    <w:bookmarkStart w:id="117" w:name="page118"/>
    <w:bookmarkEnd w:id="117"/>
    <w:p>
      <w:pPr>
        <w:spacing w:after="0" w:line="35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DEFEND TRADE SECRETS ACT, 18 U.S. CODE § 1833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 U.S. Code Section 1833 provides as follows: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color w:val="auto"/>
        </w:rPr>
        <w:t xml:space="preserve">Immunity From Liability For Confidential Disclosure Of A Trade Secret To The Government Or In A Court Filing. </w:t>
      </w:r>
      <w:r>
        <w:rPr>
          <w:rFonts w:ascii="Arial" w:cs="Arial" w:eastAsia="Arial" w:hAnsi="Arial"/>
          <w:sz w:val="18"/>
          <w:szCs w:val="18"/>
          <w:color w:val="auto"/>
        </w:rPr>
        <w:t>An</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7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b w:val="1"/>
          <w:bCs w:val="1"/>
          <w:color w:val="auto"/>
        </w:rPr>
        <w:t xml:space="preserve">Use of Trade Secret Information in Anti-Retaliation Lawsuit. </w:t>
      </w:r>
      <w:r>
        <w:rPr>
          <w:rFonts w:ascii="Arial" w:cs="Arial" w:eastAsia="Arial" w:hAnsi="Arial"/>
          <w:sz w:val="18"/>
          <w:szCs w:val="18"/>
          <w:color w:val="auto"/>
        </w:rPr>
        <w:t>An individual who files a lawsuit for retaliation by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ectPr>
          <w:pgSz w:w="11900" w:h="16838" w:orient="portrait"/>
          <w:cols w:equalWidth="0" w:num="1">
            <w:col w:w="10580"/>
          </w:cols>
          <w:pgMar w:left="320" w:top="1440" w:right="99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Arbitration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Employee: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following pages contain an Arbitration Agreement (the “</w:t>
      </w:r>
      <w:r>
        <w:rPr>
          <w:rFonts w:ascii="Times New Roman" w:cs="Times New Roman" w:eastAsia="Times New Roman" w:hAnsi="Times New Roman"/>
          <w:sz w:val="18"/>
          <w:szCs w:val="18"/>
          <w:b w:val="1"/>
          <w:bCs w:val="1"/>
          <w:color w:val="auto"/>
        </w:rPr>
        <w:t>Arbitration Agreement</w:t>
      </w:r>
      <w:r>
        <w:rPr>
          <w:rFonts w:ascii="Times New Roman" w:cs="Times New Roman" w:eastAsia="Times New Roman" w:hAnsi="Times New Roman"/>
          <w:sz w:val="18"/>
          <w:szCs w:val="18"/>
          <w:color w:val="auto"/>
        </w:rPr>
        <w:t>”). If there is a dispute between you and Nextdoor about your employment that cannot be resolved, this Arbitration Agreement relates to how such disputes would be decided.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Arbitration Agreement, in many, but not all cases, employment disputes would be decided by a neutral arbitrator, instead of in a court or administrative hearing. You also agree that any disputes covered by the Arbitration Agreement would not proceed as class actions or class arbitrations. This means that you would pursue most employment related claims as an individual on your own behalf and that the final resolution would be only of your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Arbitration Agreement provides that Nextdoor will pay for any administrative or hearing fees charged by the arbitrator or JAMS except that if you initiate arbitration, you must pay the filing fees up to the amount you would have paid had you filed a complaint in a court of law. The Arbitration Agreement does not ask you to waive any of the grounds on which you could make an employment-related claim or any types of remedies or damages that you could otherwise receive from a court or in an administrative hearing.</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Judicial Arbitration &amp; Mediation Services, Inc.’s (“</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Employment Rules &amp; Procedures (the “</w:t>
      </w:r>
      <w:r>
        <w:rPr>
          <w:rFonts w:ascii="Times New Roman" w:cs="Times New Roman" w:eastAsia="Times New Roman" w:hAnsi="Times New Roman"/>
          <w:sz w:val="18"/>
          <w:szCs w:val="18"/>
          <w:b w:val="1"/>
          <w:bCs w:val="1"/>
          <w:color w:val="auto"/>
        </w:rPr>
        <w:t>JAMS Rules</w:t>
      </w:r>
      <w:r>
        <w:rPr>
          <w:rFonts w:ascii="Times New Roman" w:cs="Times New Roman" w:eastAsia="Times New Roman" w:hAnsi="Times New Roman"/>
          <w:sz w:val="18"/>
          <w:szCs w:val="18"/>
          <w:color w:val="auto"/>
        </w:rPr>
        <w:t xml:space="preserve">”) referenced in the Arbitration Agreement are available at </w:t>
      </w:r>
      <w:r>
        <w:rPr>
          <w:rFonts w:ascii="Times New Roman" w:cs="Times New Roman" w:eastAsia="Times New Roman" w:hAnsi="Times New Roman"/>
          <w:sz w:val="18"/>
          <w:szCs w:val="18"/>
          <w:u w:val="single" w:color="auto"/>
          <w:color w:val="0000FF"/>
        </w:rPr>
        <w:t>http://www.jamsadr.com/rules-employment-arbitration</w:t>
      </w:r>
      <w:r>
        <w:rPr>
          <w:rFonts w:ascii="Times New Roman" w:cs="Times New Roman" w:eastAsia="Times New Roman" w:hAnsi="Times New Roman"/>
          <w:sz w:val="18"/>
          <w:szCs w:val="18"/>
          <w:color w:val="auto"/>
        </w:rPr>
        <w:t xml:space="preserve">. The JAMS Demand for Arbitration form referenced in the Arbitration Agreement is available at </w:t>
      </w:r>
      <w:r>
        <w:rPr>
          <w:rFonts w:ascii="Times New Roman" w:cs="Times New Roman" w:eastAsia="Times New Roman" w:hAnsi="Times New Roman"/>
          <w:sz w:val="18"/>
          <w:szCs w:val="18"/>
          <w:color w:val="0000FF"/>
        </w:rPr>
        <w:t>https://www.jamsadr.com/files/Uploads/Documents/JAMS_Arbitration_Demand.pdf</w:t>
      </w:r>
      <w:r>
        <w:rPr>
          <w:rFonts w:ascii="Times New Roman" w:cs="Times New Roman" w:eastAsia="Times New Roman" w:hAnsi="Times New Roman"/>
          <w:sz w:val="18"/>
          <w:szCs w:val="18"/>
          <w:color w:val="auto"/>
        </w:rPr>
        <w:t>.</w:t>
      </w:r>
    </w:p>
    <w:p>
      <w:pPr>
        <w:jc w:val="both"/>
        <w:spacing w:after="0" w:line="255" w:lineRule="auto"/>
        <w:rPr>
          <w:sz w:val="20"/>
          <w:szCs w:val="20"/>
          <w:color w:val="auto"/>
        </w:rPr>
      </w:pPr>
      <w:r>
        <w:rPr>
          <w:rFonts w:ascii="Times New Roman" w:cs="Times New Roman" w:eastAsia="Times New Roman" w:hAnsi="Times New Roman"/>
          <w:sz w:val="18"/>
          <w:szCs w:val="18"/>
          <w:color w:val="auto"/>
        </w:rPr>
        <w:t>Please read the Arbitration Agreement carefully and ask any questions you may have before you sign it. This letter is not intended to constitute a contract, but is merely intended to outline certain details of the Arbitration Agreement. If you have any questions, you should direct them to the Nextdoor People team at peopleteam@nextdoor.com.</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acknowledge receipt of this letter and a copy of the Arbitration Agreement.</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November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-7620</wp:posOffset>
            </wp:positionV>
            <wp:extent cx="10820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Signature /s/ Amresh Indrajit Ponnambalam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-7620</wp:posOffset>
            </wp:positionV>
            <wp:extent cx="18878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18878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Printed Name Amresh Indrajit Ponnambalam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-7620</wp:posOffset>
            </wp:positionV>
            <wp:extent cx="17513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17513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MUTUAL AGREEMENT TO ARBITRATE CLAIMS</w:t>
      </w:r>
    </w:p>
    <w:p>
      <w:pPr>
        <w:spacing w:after="0" w:line="200" w:lineRule="exact"/>
        <w:rPr>
          <w:sz w:val="20"/>
          <w:szCs w:val="20"/>
          <w:color w:val="auto"/>
        </w:rPr>
      </w:pPr>
    </w:p>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CONSIDERATION OF MY APPLICATION FOR OR ACCEPTANCE OF EMPLOYMENT WITH NEXTDOOR, INC. AND/OR ITS SUBSIDIARIES, AFFILIATES, SUCCESSORS OR ASSIGNS (COLLECTIVELY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RECEIPT OF THE COMPENSATION AND OTHER BENEFITS PAID TO ME, AND THE MUTUAL PROMISES CONTAINED IN THIS MUTUAL AGREEMENT TO ARBITRATE CLAIMS (“ARBITRATION AGREEMENT” OR “AGREEMENT”), THE COMPANY AND I (COLLECTIVELY REFERRED TO HEREIN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AGREE AS FOLLOWS:</w:t>
      </w:r>
    </w:p>
    <w:p>
      <w:pPr>
        <w:spacing w:after="0" w:line="179" w:lineRule="exact"/>
        <w:rPr>
          <w:sz w:val="20"/>
          <w:szCs w:val="20"/>
          <w:color w:val="auto"/>
        </w:rPr>
      </w:pPr>
    </w:p>
    <w:p>
      <w:pPr>
        <w:ind w:right="20" w:firstLine="188"/>
        <w:spacing w:after="0" w:line="268" w:lineRule="auto"/>
        <w:tabs>
          <w:tab w:leader="none" w:pos="4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Acceptance of Agreement. </w:t>
      </w:r>
      <w:r>
        <w:rPr>
          <w:rFonts w:ascii="Times New Roman" w:cs="Times New Roman" w:eastAsia="Times New Roman" w:hAnsi="Times New Roman"/>
          <w:sz w:val="18"/>
          <w:szCs w:val="18"/>
          <w:color w:val="auto"/>
        </w:rPr>
        <w:t>I acknowledge that my submission of an application for employment or acceptance of employment with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my acceptance of and agreement to be bound by all of the terms and provisions of this Arbitration Agreement. The issuance of this Arbitration Agreement is deemed the Company’s acceptance of and agreement to be bound by all of its terms and provisions.</w:t>
      </w:r>
    </w:p>
    <w:p>
      <w:pPr>
        <w:spacing w:after="0" w:line="197" w:lineRule="exact"/>
        <w:rPr>
          <w:rFonts w:ascii="Times New Roman" w:cs="Times New Roman" w:eastAsia="Times New Roman" w:hAnsi="Times New Roman"/>
          <w:sz w:val="18"/>
          <w:szCs w:val="18"/>
          <w:color w:val="auto"/>
        </w:rPr>
      </w:pPr>
    </w:p>
    <w:p>
      <w:pPr>
        <w:jc w:val="both"/>
        <w:ind w:firstLine="656"/>
        <w:spacing w:after="0" w:line="259" w:lineRule="auto"/>
        <w:tabs>
          <w:tab w:leader="none" w:pos="107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Claims Covered by this Arbitration Agreement</w:t>
      </w:r>
      <w:r>
        <w:rPr>
          <w:rFonts w:ascii="Times New Roman" w:cs="Times New Roman" w:eastAsia="Times New Roman" w:hAnsi="Times New Roman"/>
          <w:sz w:val="18"/>
          <w:szCs w:val="18"/>
          <w:color w:val="auto"/>
        </w:rPr>
        <w:t>. This Agreement to arbitrate covers all controversies, claims, or disputes (</w:t>
      </w:r>
      <w:r>
        <w:rPr>
          <w:rFonts w:ascii="Times New Roman" w:cs="Times New Roman" w:eastAsia="Times New Roman" w:hAnsi="Times New Roman"/>
          <w:sz w:val="18"/>
          <w:szCs w:val="18"/>
          <w:b w:val="1"/>
          <w:bCs w:val="1"/>
          <w:color w:val="auto"/>
        </w:rPr>
        <w:t>“Covered Claims”</w:t>
      </w:r>
      <w:r>
        <w:rPr>
          <w:rFonts w:ascii="Times New Roman" w:cs="Times New Roman" w:eastAsia="Times New Roman" w:hAnsi="Times New Roman"/>
          <w:sz w:val="18"/>
          <w:szCs w:val="18"/>
          <w:color w:val="auto"/>
        </w:rPr>
        <w:t>) arising out of, relating to, or resulting from my employment with the Company or the termination thereof, whether under federal, state or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but not including Excluded Claims. Covered Claims include claims I may have against the Company or against any of its former and current owners, officers, directors, supervisors, managers, employees, insurers, attorneys, shareholders, benefit plan, and agents of the Company, or that the Company may have against me.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Covered Claims include, without limitation, claims for overtime, unpaid wages, bonuses or commissions, vacations, paid sick leave, paid time off, expense reimbursement, or other compensation or benefits, claims involving meal and rest breaks, background checks, privacy, trade secrets, copyright, trademark, license, patent, unfair competition, violation of public policy, wrongful discharge or wrongful termination, breach of contract (whether oral, electronic, or written, express or implied), breach of covenant of good faith and fair dealing (whether express or implied), all claims for any tort of any nature (including without limitation, intentional or negligent infliction of emotional distress, fraud, misrepresentation, interference with economic advantage, defamation, libel, slander, false light), benefits, classification of any kind, 401(k), leaves of absence, retaliation, discrimination and/or harassment (but not including a sexual harassment dispute or sexual assault dispute as defined under the Ending Forced Arbitration of Sexual Assault and Sexual Harassment Act of 2021, an Excluded Claim), and individual claims under the California Private Attorneys General Act (“PAGA”). Covered Claims also include claims for violation of any federal, state, local, or other government law, statutes, regulation, constitution, or ordinance (including but not limited to, claims arising under the Fair Credit Reporting Act, Defend Trade Secrets Act, Title VII of the Civil Rights Act of 1964, 42 U.S.C. §1981, Rehabilitation Act, Civil Rights Acts of 1866 and 1871, the Civil Rights Act of 1991, 8 U.S.C. § 1324b (unfair immigration related practices), the Pregnancy Discrimination Act, Equal Pay Act, Americans With Disabilities Act, Age Discrimination in Employment Act, Family Medical Leave Act, Fair Labor Standards Act, Employee Retirement Income Security Act (except for claims for employee benefits under any benefit plan sponsored by the Company and (a) covered by the Employee Retirement Income Security Act of 1974 or (b) funded by insurance), Affordable Care Act, Genetic Information Non-Discrimination Act, Uniformed Services Employment and Reemployment Rights Act, Worker Adjustment and Retraining Notification Act, Older Workers Benefits Protection Act of 1990, Occupational Safety and Health Act, Consolidated Omnibus Budget Reconciliation Act of 1985, False Claims Act, California Fair Employment and Housing Act, California Family Rights Act, California Industrial Welfare Wage Orders, California Labor Code, and any other applicable laws or regulations relating to employment). All claims in arbitration are subject to the same statutes of limitation that would apply in an administrative or court proceeding.</w:t>
      </w:r>
    </w:p>
    <w:p>
      <w:pPr>
        <w:spacing w:after="0" w:line="187" w:lineRule="exact"/>
        <w:rPr>
          <w:sz w:val="20"/>
          <w:szCs w:val="20"/>
          <w:color w:val="auto"/>
        </w:rPr>
      </w:pPr>
    </w:p>
    <w:p>
      <w:pPr>
        <w:jc w:val="both"/>
        <w:ind w:firstLine="656"/>
        <w:spacing w:after="0" w:line="268" w:lineRule="auto"/>
        <w:tabs>
          <w:tab w:leader="none" w:pos="10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Claims Not Covered</w:t>
      </w:r>
      <w:r>
        <w:rPr>
          <w:rFonts w:ascii="Times New Roman" w:cs="Times New Roman" w:eastAsia="Times New Roman" w:hAnsi="Times New Roman"/>
          <w:sz w:val="18"/>
          <w:szCs w:val="18"/>
          <w:color w:val="auto"/>
        </w:rPr>
        <w:t>. Specifically excluded from this Arbitration Agreement are sexual harassment disputes or sexual assault disputes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under the Ending Forced Arbitration of Sexual Assault and Sexual Harassment Act of 2021, and any claims that are not arbitrable by law (collectively, the “</w:t>
      </w:r>
      <w:r>
        <w:rPr>
          <w:rFonts w:ascii="Times New Roman" w:cs="Times New Roman" w:eastAsia="Times New Roman" w:hAnsi="Times New Roman"/>
          <w:sz w:val="18"/>
          <w:szCs w:val="18"/>
          <w:b w:val="1"/>
          <w:bCs w:val="1"/>
          <w:color w:val="auto"/>
        </w:rPr>
        <w:t>Excluded Claims</w:t>
      </w:r>
      <w:r>
        <w:rPr>
          <w:rFonts w:ascii="Times New Roman" w:cs="Times New Roman" w:eastAsia="Times New Roman" w:hAnsi="Times New Roman"/>
          <w:sz w:val="18"/>
          <w:szCs w:val="18"/>
          <w:color w:val="auto"/>
        </w:rPr>
        <w:t>”), which include the following:</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356" w:lineRule="exact"/>
        <w:rPr>
          <w:sz w:val="20"/>
          <w:szCs w:val="20"/>
          <w:color w:val="auto"/>
        </w:rPr>
      </w:pPr>
    </w:p>
    <w:p>
      <w:pPr>
        <w:ind w:left="900" w:hanging="244"/>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workers’ compensation benefits;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unemployment compensation benefits;</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claims filed with government agencies such as the Equal Employment Opportunity Commission (EEOC), California Department of Fair Employment and Housing (DFEH), equivalent applicable state agency, or the National Labor Relations Board (NLRB);</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that are expressly required to be arbitrated under a different procedure required by the Company's Executive benefit plans, if any;</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application by either Party for any provisional remedy, including a temporary restraining order or preliminary injunction;</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that could be decided by a State of California Small Claims Court;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claims which are otherwise expressly excluded from binding arbitration by governing law.</w:t>
      </w:r>
    </w:p>
    <w:p>
      <w:pPr>
        <w:spacing w:after="0" w:line="22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To the extent that the Parties’ dispute involves both timely filed Covered Claims and Excluded Claims, the Parties agree to bifurcate and stay the Excluded Claims pending the resolution of the arbitration proceedings. The Excluded Claims will be determined in a court or other required forum, unless the Company and I agree otherwise.</w:t>
      </w:r>
    </w:p>
    <w:p>
      <w:pPr>
        <w:spacing w:after="0" w:line="17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I understand that this Arbitration Agreement does not restrict my rights to engage in concerted activities under Section 7 of the National Labor Relations Act.</w:t>
      </w:r>
    </w:p>
    <w:p>
      <w:pPr>
        <w:spacing w:after="0" w:line="158" w:lineRule="exact"/>
        <w:rPr>
          <w:sz w:val="20"/>
          <w:szCs w:val="20"/>
          <w:color w:val="auto"/>
        </w:rPr>
      </w:pPr>
    </w:p>
    <w:p>
      <w:pPr>
        <w:jc w:val="both"/>
        <w:ind w:firstLine="656"/>
        <w:spacing w:after="0" w:line="254" w:lineRule="auto"/>
        <w:tabs>
          <w:tab w:leader="none" w:pos="10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Class Action Waiver. This Arbitration Agreement affects your ability to bring or participate in class, collective or representative actions. </w:t>
      </w:r>
      <w:r>
        <w:rPr>
          <w:rFonts w:ascii="Times New Roman" w:cs="Times New Roman" w:eastAsia="Times New Roman" w:hAnsi="Times New Roman"/>
          <w:sz w:val="18"/>
          <w:szCs w:val="18"/>
          <w:color w:val="auto"/>
        </w:rPr>
        <w:t>Both the Company and I agree to bring any Covered Claim in arbitration on an individual basis only, and not on a class, collective,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action basis on behalf of others. There will be no right or authority for any Covered Claim to be brought, heard or arbitrated as a class, collective, or representative action. Except for those representative claims which cannot be waived under applicable law and which are therefore excluded from this Agreement, I expressly intend and agree that: (a) class, collective, or representative action procedures are hereby waived and shall not be asserted, nor will they apply, in any arbitration pursuant to this Arbitration Agreement; (b) each Party will not assert class, collective, or representative action claims against the other in arbitration, (c) I and the Company shall only submit our own individual claims in arbitration and will not seek to represent the interests of any other person in arbitration, or act as a participant in class, collective, or representative action against the Company, including claims made under PAGA; and (d) that any PAGA action I may file will be stayed pending a determination of whether I may lawfully bring a non-individual PAGA claim. In addition, to the extent that any charge is filed under the National Labor Relations Act with regard to this provision, the Company and I agree that such claim will also be similarly stayed pending the outcome of arbitration. (</w:t>
      </w:r>
      <w:r>
        <w:rPr>
          <w:rFonts w:ascii="Times New Roman" w:cs="Times New Roman" w:eastAsia="Times New Roman" w:hAnsi="Times New Roman"/>
          <w:sz w:val="18"/>
          <w:szCs w:val="18"/>
          <w:b w:val="1"/>
          <w:bCs w:val="1"/>
          <w:color w:val="auto"/>
        </w:rPr>
        <w:t>“Class Action Waiver”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of this Arbitration Agreement or the JAMS Rules (defined below), disputes in court or arbitration regarding the validity, enforceability or breach of the Class Action Waiver may be resolved only by the court and not by an arbitrator. In any case in which (1) Covered Claim is filed as a class or collective action and (2) there is a final judicial determination that all or part of the Class Action Waiver is unenforceable, the class and/or collective action to that extent must be litigated in a civil court of competent jurisdiction, but the portion of the Class Action Waiver that is enforceable shall be enforced in arbitration. You will not be retaliated against, disciplined or threatened with discipline as a result of your filing of or participation in a class or collective action in any forum. However, the Company may lawfully seek enforcement of this Arbitration Agreement and the Class Action Waiver under the Federal Arbitration Act and seek dismissal of such class,collective, or representative actions or claims. The Class Action Waiver shall be severable in any case in which</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dispute is filed as an individual action and severance is necessary to ensure that the individual action proceeds in arbitration.</w:t>
      </w:r>
    </w:p>
    <w:p>
      <w:pPr>
        <w:spacing w:after="0" w:line="221" w:lineRule="exact"/>
        <w:rPr>
          <w:sz w:val="20"/>
          <w:szCs w:val="20"/>
          <w:color w:val="auto"/>
        </w:rPr>
      </w:pPr>
    </w:p>
    <w:p>
      <w:pPr>
        <w:jc w:val="both"/>
        <w:ind w:firstLine="656"/>
        <w:spacing w:after="0" w:line="268" w:lineRule="auto"/>
        <w:tabs>
          <w:tab w:leader="none" w:pos="9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Right to Court or Jury Trial</w:t>
      </w:r>
      <w:r>
        <w:rPr>
          <w:rFonts w:ascii="Times New Roman" w:cs="Times New Roman" w:eastAsia="Times New Roman" w:hAnsi="Times New Roman"/>
          <w:sz w:val="18"/>
          <w:szCs w:val="18"/>
          <w:color w:val="auto"/>
        </w:rPr>
        <w:t>. I understand that, by signing this Arbitration Agreement, both the Company and I are giving up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we may have to a trial by judge or jury and are giving up rights of appeal following the rendering of a decision except as applicable law provides for judicial review of arbitration decisions.</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00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Arbitration Procedures. </w:t>
      </w:r>
      <w:r>
        <w:rPr>
          <w:rFonts w:ascii="Times New Roman" w:cs="Times New Roman" w:eastAsia="Times New Roman" w:hAnsi="Times New Roman"/>
          <w:sz w:val="18"/>
          <w:szCs w:val="18"/>
          <w:color w:val="auto"/>
        </w:rPr>
        <w:t>The Company and I agree that any arbitration will be administered by Judicial Arbitration &amp; Mediation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pursuant to its Employment Rules &amp; Procedures (the “</w:t>
      </w:r>
      <w:r>
        <w:rPr>
          <w:rFonts w:ascii="Times New Roman" w:cs="Times New Roman" w:eastAsia="Times New Roman" w:hAnsi="Times New Roman"/>
          <w:sz w:val="18"/>
          <w:szCs w:val="18"/>
          <w:b w:val="1"/>
          <w:bCs w:val="1"/>
          <w:color w:val="auto"/>
        </w:rPr>
        <w:t>JAMS Rules</w:t>
      </w:r>
      <w:r>
        <w:rPr>
          <w:rFonts w:ascii="Times New Roman" w:cs="Times New Roman" w:eastAsia="Times New Roman" w:hAnsi="Times New Roman"/>
          <w:sz w:val="18"/>
          <w:szCs w:val="18"/>
          <w:color w:val="auto"/>
        </w:rPr>
        <w:t>”), which are available at http://www.jamsadr.com/rules-employment-arbitration/. Arbitration may be initiated using JAMS’ Demand for Arbitration form (the “</w:t>
      </w:r>
      <w:r>
        <w:rPr>
          <w:rFonts w:ascii="Times New Roman" w:cs="Times New Roman" w:eastAsia="Times New Roman" w:hAnsi="Times New Roman"/>
          <w:sz w:val="18"/>
          <w:szCs w:val="18"/>
          <w:b w:val="1"/>
          <w:bCs w:val="1"/>
          <w:color w:val="auto"/>
        </w:rPr>
        <w:t>Demand</w:t>
      </w:r>
      <w:r>
        <w:rPr>
          <w:rFonts w:ascii="Times New Roman" w:cs="Times New Roman" w:eastAsia="Times New Roman" w:hAnsi="Times New Roman"/>
          <w:sz w:val="18"/>
          <w:szCs w:val="18"/>
          <w:color w:val="auto"/>
        </w:rPr>
        <w:t>”), and submitting a copy of it to JAMS.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copy of the Demand form may be requested from JAMS or found on its website, https://www.jamsadr.com/files/Uploads/Documents/JAMS_Arbitration_Demand.pdf. Any arbitration procedure must be demanded or initiated within the same period of time that a civil action or administrative claim based on the Covered Claim could be commenced. Failure to make a written demand within the applicable statutory period constitutes a waiver to raise that claim in any forum. I agree to provide written notice of any claim by email to the Company’s Counsel Team at legal@nextdoor.com. Written notice of any claim by the Company will be mailed to my last known address. The written notice shall identify and describe the nature of all claims asserted and the facts upon which such claims are based.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and I agree that any arbitration under this Arbitration Agreement shall be submitted before a single arbitrator and conducted in San Francisco County or the site of the closest JAMS office to my most recent primary place of employment for the Company. The Company and I will attempt to agree upon an arbitrator within twenty-one (21) calendar days of notice to the non-initiating Party of the Demand. If the Parties are not able to agree upon a neutral arbitrator within that timeframe, the arbitrator will be selected pursuant to JAMS’ Employment Rules &amp; Procedures.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arbitrator must follow substantive state or federal law (and the laws of remedies, if applicable) as applicable to the claim(s) asserted. The Parties will be entitled to conduct reasonable discovery and the arbitrator will have the authority to determine what constitutes reasonable discovery. The Parties agree that the arbitrator shall have the power to decide any motions brought by any Party to the arbitration, including motions for summary judgment and/or adjudications, motions to dismiss and demurrers. The arbitrator may award only those remedies in law or equity which are requested by the Parties, allowed by law, and would have been available had the matter been heard in court.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arbitrator’s decision must be in writing and contain findings of fact and conclusions of law on the issues submitted by the Parties. The arbitrator will not decide any issue not submitted. The Company and I agree that the decree or award rendered by the arbitrator may be entered as a final and binding judgment in any court having proper jurisdiction to compel arbitration under this Arbitration Agreement, and to confirm, modify, vacate or enforce an arbitration award, to the extent permitted by applicable law.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agrees that it will pay for any administrative or hearing fees charged by the arbitrator or JAMS except that I shall pay any filing fees associated with any arbitration that I initiate, but only so much of the filing fees as I would have paid had I filed a complaint in the federal or state court in the jurisdiction in which the Covered Claim arose, whichever is less. Each Party is responsible for their own attorney fees and costs in any arbitration proceeding. However, if any Party prevails on a statutory claim which affords the prevailing Party attorney’s fees and costs, or if there is a written agreement providing for such attorney’s fees and costs, the arbitrator may award reasonable attorney’s fees and costs to the prevailing Party. Any dispute as to the reasonableness of any fee or cost shall be resolved by the arbitrator.</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3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arbitrator, and not any court or governmental agency, shall have the exclusive authority to resolve any controversy, dispute, or claim relating to the interpretation, enforceability or formation of the Arbitration Agreement, consistent with applicable law.</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decision of the arbitrator will be final and binding on the Parties and cannot be reviewed for error of fact or law of any kind, except as required by applicable law.</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JAMS Rules are inconsistent with the terms of this Agreement, the terms of this Agreement shall govern unless such terms are not enforceable under applicable law.</w:t>
      </w:r>
    </w:p>
    <w:p>
      <w:pPr>
        <w:spacing w:after="0" w:line="158" w:lineRule="exact"/>
        <w:rPr>
          <w:sz w:val="20"/>
          <w:szCs w:val="20"/>
          <w:color w:val="auto"/>
        </w:rPr>
      </w:pPr>
    </w:p>
    <w:p>
      <w:pPr>
        <w:jc w:val="both"/>
        <w:ind w:firstLine="575"/>
        <w:spacing w:after="0" w:line="257" w:lineRule="auto"/>
        <w:tabs>
          <w:tab w:leader="none" w:pos="89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Modification/Entire Agreement</w:t>
      </w:r>
      <w:r>
        <w:rPr>
          <w:rFonts w:ascii="Times New Roman" w:cs="Times New Roman" w:eastAsia="Times New Roman" w:hAnsi="Times New Roman"/>
          <w:sz w:val="18"/>
          <w:szCs w:val="18"/>
          <w:color w:val="auto"/>
        </w:rPr>
        <w:t>. This Arbitration Agreement shall survive the termination of my employment with the Company. It can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revoked or modified by a writing that specifically states an intent to revoke or modify this Arbitration Agreement and is signed by me and the Company’s Chief Legal Officer (“CLO”), except that upon 30 days’ written notice, the Company’s CLO may modify and/or terminate this Arbitration Agreement as to future controversy, dispute, or claim to the extent necessary or desired to comply with any future developments or changes in the law. This is the complete agreement of the Parties on the subject of arbitration of Covered Claims and supersedes any and all provisions of prior agreements between the Parties that cover the subject of arbitration (except for any arbitration agreement in connection with any pension or benefit plan).</w:t>
      </w:r>
    </w:p>
    <w:p>
      <w:pPr>
        <w:spacing w:after="0" w:line="186"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No Party is relying on any representations, oral or written, on the subject of the effect, enforceability, or meaning of this Arbitration Agreement, except as specifically set forth in this Agreement.</w:t>
      </w:r>
    </w:p>
    <w:p>
      <w:pPr>
        <w:spacing w:after="0" w:line="158" w:lineRule="exact"/>
        <w:rPr>
          <w:sz w:val="20"/>
          <w:szCs w:val="20"/>
          <w:color w:val="auto"/>
        </w:rPr>
      </w:pPr>
    </w:p>
    <w:p>
      <w:pPr>
        <w:jc w:val="both"/>
        <w:ind w:firstLine="575"/>
        <w:spacing w:after="0" w:line="268" w:lineRule="auto"/>
        <w:tabs>
          <w:tab w:leader="none" w:pos="94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Arbitration Agreement is found by a court of competent jurisdiction or an arbitrator to be void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whole or in part, the void or unenforceable provision shall be severed and such adjudication shall not affect the validity of the remainder of this Arbitration Agreement.</w:t>
      </w:r>
    </w:p>
    <w:p>
      <w:pPr>
        <w:spacing w:after="0" w:line="170"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99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The arbitration shall be confidential to the extent allowed by law, including, without limitation, the claims made,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pleadings and papers filed, proceedings, rulings, testimony, hearings and award, if any. I understand that nothing in this Agreement prevents me from disclosing information or facts about conduct in the workplace that I have reason to believe are unlawful (such as harassment or discrimination).</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1093"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Compelling Arbitration/Enforcing Award</w:t>
      </w:r>
      <w:r>
        <w:rPr>
          <w:rFonts w:ascii="Times New Roman" w:cs="Times New Roman" w:eastAsia="Times New Roman" w:hAnsi="Times New Roman"/>
          <w:sz w:val="18"/>
          <w:szCs w:val="18"/>
          <w:color w:val="auto"/>
        </w:rPr>
        <w:t>. Either Party may bring an action in court to compel arbitration under this Agreement,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 modify, vacate or enforce an arbitration award.</w:t>
      </w:r>
    </w:p>
    <w:p>
      <w:pPr>
        <w:spacing w:after="0" w:line="154" w:lineRule="exact"/>
        <w:rPr>
          <w:rFonts w:ascii="Times New Roman" w:cs="Times New Roman" w:eastAsia="Times New Roman" w:hAnsi="Times New Roman"/>
          <w:sz w:val="18"/>
          <w:szCs w:val="18"/>
          <w:color w:val="auto"/>
        </w:rPr>
      </w:pPr>
    </w:p>
    <w:p>
      <w:pPr>
        <w:ind w:right="100" w:firstLine="188"/>
        <w:spacing w:after="0" w:line="262" w:lineRule="auto"/>
        <w:tabs>
          <w:tab w:leader="none" w:pos="57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Governed by Federal Arbitration Act. </w:t>
      </w:r>
      <w:r>
        <w:rPr>
          <w:rFonts w:ascii="Times New Roman" w:cs="Times New Roman" w:eastAsia="Times New Roman" w:hAnsi="Times New Roman"/>
          <w:sz w:val="18"/>
          <w:szCs w:val="18"/>
          <w:color w:val="auto"/>
        </w:rPr>
        <w:t>The Company and I recognize that the Company operates in many states in interstate commerce.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Therefore, it is agreed that this Agreement and any Covered Claims under this Agreement shall be governed by the Federal Arbitration Act (FAA) to the exclusion of any state law inconsistent with or preempted by the FAA. If it is determined by a court that the FAA does not apply to this Agreement and the Covered Claims, then the state law where the Covered Claims arose shall apply.</w:t>
      </w:r>
    </w:p>
    <w:p>
      <w:pPr>
        <w:spacing w:after="0" w:line="203" w:lineRule="exact"/>
        <w:rPr>
          <w:rFonts w:ascii="Times New Roman" w:cs="Times New Roman" w:eastAsia="Times New Roman" w:hAnsi="Times New Roman"/>
          <w:sz w:val="18"/>
          <w:szCs w:val="18"/>
          <w:color w:val="auto"/>
        </w:rPr>
      </w:pPr>
    </w:p>
    <w:p>
      <w:pPr>
        <w:ind w:firstLine="575"/>
        <w:spacing w:after="0" w:line="286" w:lineRule="auto"/>
        <w:tabs>
          <w:tab w:leader="none" w:pos="97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an Employment Agreement</w:t>
      </w:r>
      <w:r>
        <w:rPr>
          <w:rFonts w:ascii="Times New Roman" w:cs="Times New Roman" w:eastAsia="Times New Roman" w:hAnsi="Times New Roman"/>
          <w:sz w:val="18"/>
          <w:szCs w:val="18"/>
          <w:color w:val="auto"/>
        </w:rPr>
        <w:t>. This Arbitration Agreement is not and shall not be construed to create any contract of employment, express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implied. Nor does this Arbitration Agreement alter the at-will status of any employment.</w:t>
      </w:r>
    </w:p>
    <w:p>
      <w:pPr>
        <w:spacing w:after="0" w:line="154"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Acknowledgements</w:t>
      </w:r>
      <w:r>
        <w:rPr>
          <w:rFonts w:ascii="Times New Roman" w:cs="Times New Roman" w:eastAsia="Times New Roman" w:hAnsi="Times New Roman"/>
          <w:sz w:val="18"/>
          <w:szCs w:val="18"/>
          <w:color w:val="auto"/>
        </w:rPr>
        <w:t>. The Company and I acknowledge my right to:</w:t>
      </w:r>
    </w:p>
    <w:p>
      <w:pPr>
        <w:spacing w:after="0" w:line="229" w:lineRule="exact"/>
        <w:rPr>
          <w:sz w:val="20"/>
          <w:szCs w:val="20"/>
          <w:color w:val="auto"/>
        </w:rPr>
      </w:pPr>
    </w:p>
    <w:p>
      <w:pPr>
        <w:ind w:firstLine="575"/>
        <w:spacing w:after="0" w:line="282" w:lineRule="auto"/>
        <w:tabs>
          <w:tab w:leader="none" w:pos="9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any good faith allegation of unlawful employment practices to any appropriate federal, state, or local government agency that enforces anti-discrimination laws;</w:t>
      </w:r>
    </w:p>
    <w:p>
      <w:pPr>
        <w:spacing w:after="0" w:line="161" w:lineRule="exact"/>
        <w:rPr>
          <w:rFonts w:ascii="Times New Roman" w:cs="Times New Roman" w:eastAsia="Times New Roman" w:hAnsi="Times New Roman"/>
          <w:sz w:val="18"/>
          <w:szCs w:val="18"/>
          <w:color w:val="auto"/>
        </w:rPr>
      </w:pPr>
    </w:p>
    <w:p>
      <w:pPr>
        <w:ind w:left="960" w:hanging="385"/>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any good faith allegation of criminal conduct to any appropriate federal, state, or local official;</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356" w:lineRule="exact"/>
        <w:rPr>
          <w:sz w:val="20"/>
          <w:szCs w:val="20"/>
          <w:color w:val="auto"/>
        </w:rPr>
      </w:pPr>
    </w:p>
    <w:p>
      <w:pPr>
        <w:ind w:left="385" w:hanging="385"/>
        <w:spacing w:after="0"/>
        <w:tabs>
          <w:tab w:leader="none" w:pos="38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 in a proceeding with any appropriate federal, state, or local government agency that enforces anti-discrimination laws;</w:t>
      </w:r>
    </w:p>
    <w:p>
      <w:pPr>
        <w:spacing w:after="0" w:line="236" w:lineRule="exact"/>
        <w:rPr>
          <w:rFonts w:ascii="Times New Roman" w:cs="Times New Roman" w:eastAsia="Times New Roman" w:hAnsi="Times New Roman"/>
          <w:sz w:val="17"/>
          <w:szCs w:val="17"/>
          <w:color w:val="auto"/>
        </w:rPr>
      </w:pPr>
    </w:p>
    <w:p>
      <w:pPr>
        <w:ind w:left="385" w:hanging="385"/>
        <w:spacing w:after="0"/>
        <w:tabs>
          <w:tab w:leader="none" w:pos="3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truthful statements or disclosures required by law, regulation, or legal process; and</w:t>
      </w:r>
    </w:p>
    <w:p>
      <w:pPr>
        <w:spacing w:after="0" w:line="225" w:lineRule="exact"/>
        <w:rPr>
          <w:rFonts w:ascii="Times New Roman" w:cs="Times New Roman" w:eastAsia="Times New Roman" w:hAnsi="Times New Roman"/>
          <w:sz w:val="18"/>
          <w:szCs w:val="18"/>
          <w:color w:val="auto"/>
        </w:rPr>
      </w:pPr>
    </w:p>
    <w:p>
      <w:pPr>
        <w:ind w:left="385" w:hanging="385"/>
        <w:spacing w:after="0"/>
        <w:tabs>
          <w:tab w:leader="none" w:pos="3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receive confidential legal advice.</w:t>
      </w:r>
    </w:p>
    <w:p>
      <w:pPr>
        <w:spacing w:after="0" w:line="223" w:lineRule="exact"/>
        <w:rPr>
          <w:sz w:val="20"/>
          <w:szCs w:val="20"/>
          <w:color w:val="auto"/>
        </w:rPr>
      </w:pPr>
    </w:p>
    <w:p>
      <w:pPr>
        <w:ind w:left="440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9685"/>
          </w:cols>
          <w:pgMar w:left="895" w:top="1440" w:right="131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w:t>
      </w:r>
    </w:p>
    <w:p>
      <w:pPr>
        <w:spacing w:after="0" w:line="252" w:lineRule="exact"/>
        <w:rPr>
          <w:sz w:val="20"/>
          <w:szCs w:val="20"/>
          <w:color w:val="auto"/>
        </w:rPr>
      </w:pPr>
    </w:p>
    <w:p>
      <w:pPr>
        <w:ind w:left="700" w:right="1279" w:hanging="320"/>
        <w:spacing w:after="0" w:line="282" w:lineRule="auto"/>
        <w:tabs>
          <w:tab w:leader="none" w:pos="68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and acknowledge that I have read, understand and voluntarily agree to the terms of this Arbitration Agreement.</w:t>
      </w:r>
    </w:p>
    <w:p>
      <w:pPr>
        <w:spacing w:after="0" w:line="215" w:lineRule="exact"/>
        <w:rPr>
          <w:rFonts w:ascii="Times New Roman" w:cs="Times New Roman" w:eastAsia="Times New Roman" w:hAnsi="Times New Roman"/>
          <w:sz w:val="18"/>
          <w:szCs w:val="18"/>
          <w:color w:val="auto"/>
        </w:rPr>
      </w:pPr>
    </w:p>
    <w:p>
      <w:pPr>
        <w:ind w:left="700" w:right="1279" w:hanging="320"/>
        <w:spacing w:after="0" w:line="282" w:lineRule="auto"/>
        <w:tabs>
          <w:tab w:leader="none" w:pos="70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and acknowledge that I have been given sufficient time to fully review this Arbitration Agreement and an opportunity to ask questions about it before signing this document.</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ind w:left="700" w:right="1279" w:hanging="320"/>
        <w:spacing w:after="0" w:line="282" w:lineRule="auto"/>
        <w:tabs>
          <w:tab w:leader="none" w:pos="7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and acknowledge that any questions I have about the Arbitration Agreement have been fully answered prior to my signing the Arbitration Agreement.</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jc w:val="both"/>
        <w:ind w:left="700" w:right="1279" w:hanging="320"/>
        <w:spacing w:after="0" w:line="266" w:lineRule="auto"/>
        <w:tabs>
          <w:tab w:leader="none" w:pos="68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signing this Arbitration Agreement, I acknowledge and understand that I am relinquishing the right to a court or jury trial of any Covered Claim, except as otherwise provided by law or this Arbitration Agreement, and further that I have waived the right to proceed in a class action involving a Covered Claim.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4"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signature of the Parties below indicates their agreement to be bound by this Arbitration Agreement.</w:t>
      </w:r>
    </w:p>
    <w:p>
      <w:pPr>
        <w:spacing w:after="0" w:line="3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Amresh Indrajit Ponnambalam</w:t>
      </w: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Amresh Indrajit Ponnambalam</w:t>
      </w: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(Print)</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Accepted and Agreed to:</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NEXTDOOR,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By: /s/ 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-7620</wp:posOffset>
            </wp:positionV>
            <wp:extent cx="6870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687070" cy="8890"/>
                    </a:xfrm>
                    <a:prstGeom prst="rect">
                      <a:avLst/>
                    </a:prstGeom>
                    <a:noFill/>
                  </pic:spPr>
                </pic:pic>
              </a:graphicData>
            </a:graphic>
          </wp:anchor>
        </w:drawing>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Name: Nirav Tolia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Title: CEO</w:t>
      </w:r>
    </w:p>
    <w:p>
      <w:pPr>
        <w:sectPr>
          <w:pgSz w:w="11900" w:h="16838" w:orient="portrait"/>
          <w:cols w:equalWidth="0" w:num="1">
            <w:col w:w="10119"/>
          </w:cols>
          <w:pgMar w:left="340" w:top="1440"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1534160" cy="214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15341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875 Stevenson St, Suite 700</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San Francisco, CA 94103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12, 2019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Craig Lisowski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Offer of Employment by Nextdoor.com,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Craig,</w:t>
      </w:r>
    </w:p>
    <w:p>
      <w:pPr>
        <w:spacing w:after="0" w:line="214"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22"/>
          <w:szCs w:val="22"/>
          <w:color w:val="auto"/>
        </w:rPr>
        <w:t>We believe that you will add substantially to the team at Nextdoor,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contribute greatly to the success of the Company by providing the extraordinary vision and leadership abilities that you have demonstrated throughout your career. On behalf of our entire team, we look forward to your help in taking the Company to the next level and are pleased to offer you the terms of employment set forth below:</w:t>
      </w:r>
    </w:p>
    <w:p>
      <w:pPr>
        <w:spacing w:after="0" w:line="187"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be appointed as Platform Integrity Lead, reporting to the Company’s CEO.</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Compensation</w:t>
      </w:r>
    </w:p>
    <w:p>
      <w:pPr>
        <w:spacing w:after="0" w:line="220" w:lineRule="exact"/>
        <w:rPr>
          <w:sz w:val="20"/>
          <w:szCs w:val="20"/>
          <w:color w:val="auto"/>
        </w:rPr>
      </w:pPr>
    </w:p>
    <w:p>
      <w:pPr>
        <w:jc w:val="both"/>
        <w:ind w:firstLine="656"/>
        <w:spacing w:after="0" w:line="253" w:lineRule="auto"/>
        <w:tabs>
          <w:tab w:leader="none" w:pos="98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Your starting salary will be $250,000 per year (less withholding and applicable deductions). Your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and salary will be subject to review on an annual basis. The salary will be payable in semi-monthly installments on the Company’s regular paydays and any compensation under this letter shall be subject to applicable withholdings and deductions.</w:t>
      </w:r>
    </w:p>
    <w:p>
      <w:pPr>
        <w:spacing w:after="0" w:line="188" w:lineRule="exact"/>
        <w:rPr>
          <w:rFonts w:ascii="Times New Roman" w:cs="Times New Roman" w:eastAsia="Times New Roman" w:hAnsi="Times New Roman"/>
          <w:sz w:val="22"/>
          <w:szCs w:val="22"/>
          <w:color w:val="auto"/>
        </w:rPr>
      </w:pPr>
    </w:p>
    <w:p>
      <w:pPr>
        <w:jc w:val="both"/>
        <w:ind w:firstLine="656"/>
        <w:spacing w:after="0" w:line="250" w:lineRule="auto"/>
        <w:tabs>
          <w:tab w:leader="none" w:pos="96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Signing Bonus. </w:t>
      </w:r>
      <w:r>
        <w:rPr>
          <w:rFonts w:ascii="Times New Roman" w:cs="Times New Roman" w:eastAsia="Times New Roman" w:hAnsi="Times New Roman"/>
          <w:sz w:val="22"/>
          <w:szCs w:val="22"/>
          <w:color w:val="auto"/>
        </w:rPr>
        <w:t>You are eligible for a cash bonus comprising of a $50,000 signing bonus provided that you remain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employed with the Company for one year. This signing bonus will be made as a salary advance to you 30 days after the commencement of your employment, payable in accordance with the Company’s standard payroll schedule and subject to applicable deductions and withholdings. Should you resign voluntarily, or if the Company terminates you with Cause (as defined below), in either case within one year of your first day of employment, you shall repay the signing bonus in full (the gross amount, without taking into account any net amount actually received after taxes), with such repayment to be in the form of a check, wire transfer, cash or cash equivalents, within 30 days of such termination or resignation.</w:t>
      </w:r>
    </w:p>
    <w:p>
      <w:pPr>
        <w:spacing w:after="0" w:line="112" w:lineRule="exact"/>
        <w:rPr>
          <w:rFonts w:ascii="Times New Roman" w:cs="Times New Roman" w:eastAsia="Times New Roman" w:hAnsi="Times New Roman"/>
          <w:sz w:val="22"/>
          <w:szCs w:val="22"/>
          <w:color w:val="auto"/>
        </w:rPr>
      </w:pPr>
    </w:p>
    <w:p>
      <w:pPr>
        <w:jc w:val="both"/>
        <w:ind w:firstLine="656"/>
        <w:spacing w:after="0" w:line="259" w:lineRule="auto"/>
        <w:tabs>
          <w:tab w:leader="none" w:pos="95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Benefits</w:t>
      </w:r>
      <w:r>
        <w:rPr>
          <w:rFonts w:ascii="Times New Roman" w:cs="Times New Roman" w:eastAsia="Times New Roman" w:hAnsi="Times New Roman"/>
          <w:sz w:val="22"/>
          <w:szCs w:val="22"/>
          <w:color w:val="auto"/>
        </w:rPr>
        <w:t>. As an employee of the Company, you will be eligible for company benefits (e.g., health insurance, 401(k),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paid time off, etc.) in accordance with our policies for similarly-situated employees (which policies are subject to change from time to time).</w:t>
      </w:r>
    </w:p>
    <w:p>
      <w:pPr>
        <w:spacing w:after="0" w:line="166" w:lineRule="exact"/>
        <w:rPr>
          <w:rFonts w:ascii="Times New Roman" w:cs="Times New Roman" w:eastAsia="Times New Roman" w:hAnsi="Times New Roman"/>
          <w:sz w:val="22"/>
          <w:szCs w:val="22"/>
          <w:color w:val="auto"/>
        </w:rPr>
      </w:pPr>
    </w:p>
    <w:p>
      <w:pPr>
        <w:jc w:val="both"/>
        <w:ind w:firstLine="656"/>
        <w:spacing w:after="0" w:line="265" w:lineRule="auto"/>
        <w:tabs>
          <w:tab w:leader="none" w:pos="95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Vacation</w:t>
      </w:r>
      <w:r>
        <w:rPr>
          <w:rFonts w:ascii="Times New Roman" w:cs="Times New Roman" w:eastAsia="Times New Roman" w:hAnsi="Times New Roman"/>
          <w:sz w:val="22"/>
          <w:szCs w:val="22"/>
          <w:color w:val="auto"/>
        </w:rPr>
        <w:t>. You will be entitled to 15 days of paid vacation per year, accruing on a per paycheck basis according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Company’s policy, subject to the accruing maximum of 260 hours of unused vacation at any time during your employment with the Company. Such vacation</w:t>
      </w:r>
    </w:p>
    <w:p>
      <w:pPr>
        <w:sectPr>
          <w:pgSz w:w="11900" w:h="16838" w:orient="portrait"/>
          <w:cols w:equalWidth="0" w:num="1">
            <w:col w:w="11240"/>
          </w:cols>
          <w:pgMar w:left="320" w:top="603" w:right="339" w:bottom="1440" w:gutter="0" w:footer="0" w:header="0"/>
        </w:sectPr>
      </w:pPr>
    </w:p>
    <w:bookmarkStart w:id="126" w:name="page127"/>
    <w:bookmarkEnd w:id="126"/>
    <w:p>
      <w:pPr>
        <w:jc w:val="both"/>
        <w:spacing w:after="0" w:line="257" w:lineRule="auto"/>
        <w:rPr>
          <w:sz w:val="20"/>
          <w:szCs w:val="20"/>
          <w:color w:val="auto"/>
        </w:rPr>
      </w:pPr>
      <w:r>
        <w:rPr>
          <w:rFonts w:ascii="Times New Roman" w:cs="Times New Roman" w:eastAsia="Times New Roman" w:hAnsi="Times New Roman"/>
          <w:sz w:val="22"/>
          <w:szCs w:val="22"/>
          <w:color w:val="auto"/>
        </w:rPr>
        <w:t>accrual shall be considered wages, which accrue as earned, and cannot be forfeited, even upon termination of employment, regardless of the reason for the termination. Upon termination of employment, all earned and unused vacation will be paid to you at your final rate of pay.</w:t>
      </w:r>
    </w:p>
    <w:p>
      <w:pPr>
        <w:spacing w:after="0" w:line="180" w:lineRule="exact"/>
        <w:rPr>
          <w:sz w:val="20"/>
          <w:szCs w:val="20"/>
          <w:color w:val="auto"/>
        </w:rPr>
      </w:pPr>
    </w:p>
    <w:p>
      <w:pPr>
        <w:jc w:val="both"/>
        <w:ind w:firstLine="656"/>
        <w:spacing w:after="0" w:line="248" w:lineRule="auto"/>
        <w:tabs>
          <w:tab w:leader="none" w:pos="109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Options</w:t>
      </w:r>
      <w:r>
        <w:rPr>
          <w:rFonts w:ascii="Times New Roman" w:cs="Times New Roman" w:eastAsia="Times New Roman" w:hAnsi="Times New Roman"/>
          <w:sz w:val="22"/>
          <w:szCs w:val="22"/>
          <w:color w:val="auto"/>
        </w:rPr>
        <w:t>. We will recommend to the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that you be granted an option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to purchase 350,000 shares of the Common Stock of the Company under the Company’s 2018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The per share exercise price of the Option will be equal to the fair market value of the Company’s Common Stock, as determined by the Board on the date of grant (the “</w:t>
      </w:r>
      <w:r>
        <w:rPr>
          <w:rFonts w:ascii="Times New Roman" w:cs="Times New Roman" w:eastAsia="Times New Roman" w:hAnsi="Times New Roman"/>
          <w:sz w:val="22"/>
          <w:szCs w:val="22"/>
          <w:b w:val="1"/>
          <w:bCs w:val="1"/>
          <w:i w:val="1"/>
          <w:iCs w:val="1"/>
          <w:color w:val="auto"/>
        </w:rPr>
        <w:t>Grant Date</w:t>
      </w:r>
      <w:r>
        <w:rPr>
          <w:rFonts w:ascii="Times New Roman" w:cs="Times New Roman" w:eastAsia="Times New Roman" w:hAnsi="Times New Roman"/>
          <w:sz w:val="22"/>
          <w:szCs w:val="22"/>
          <w:color w:val="auto"/>
        </w:rPr>
        <w:t>”). The Option will vest at the rate of 25% at the end of the first anniversary of your date of hire, and an additional 2.0833% of the original grant per full calendar month thereafter, so long as you remain employed by the Company. The Option will be subject to such additional terms and conditions as set forth in the Company’s standard form option agreement and the Plan. The vesting of the shares subject to the Option will be subject to acceleration as follows: (i) upon the closing of a Change of Control, and (ii) within 12 months after the closing of a Change of Control, if your employment with the Company is terminated without Cause or you resign for a Good Reason, then all of the remaining unvested shares subject to the Option shall immediately become vested shares, but only if you return and make effective a general release of claims in a form prescribed by the Company within sixty (60) days following your termination (the “</w:t>
      </w:r>
      <w:r>
        <w:rPr>
          <w:rFonts w:ascii="Times New Roman" w:cs="Times New Roman" w:eastAsia="Times New Roman" w:hAnsi="Times New Roman"/>
          <w:sz w:val="22"/>
          <w:szCs w:val="22"/>
          <w:b w:val="1"/>
          <w:bCs w:val="1"/>
          <w:i w:val="1"/>
          <w:iCs w:val="1"/>
          <w:color w:val="auto"/>
        </w:rPr>
        <w:t>Release Condition</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Option is subject to the Board’s approval and this promise to recommend such approval is not a promise of compensation and is not intended to create any obligation on the part of the Company. Further details on the Plan and any specific option grant to you will be provided upon approval of such grant by the Board.</w:t>
      </w:r>
    </w:p>
    <w:p>
      <w:pPr>
        <w:spacing w:after="0" w:line="169" w:lineRule="exact"/>
        <w:rPr>
          <w:sz w:val="20"/>
          <w:szCs w:val="20"/>
          <w:color w:val="auto"/>
        </w:rPr>
      </w:pPr>
    </w:p>
    <w:p>
      <w:pPr>
        <w:jc w:val="both"/>
        <w:ind w:firstLine="656"/>
        <w:spacing w:after="0" w:line="262" w:lineRule="auto"/>
        <w:tabs>
          <w:tab w:leader="none" w:pos="110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color w:val="auto"/>
        </w:rPr>
        <w:t>. As an employee of the Company, you will have access to certain confidential information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Company and you may, during the course of your employment, develop certain information or inventions that will be the property of the Company. To protect the interests of the Company, you will need to sign the Company’s standard “Employee Invention Assignment and Confidentiality Agreement” as a condition of your employment, which is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We wish to impress upon you that we do not want you to, and we hereby direct you not to, bring with you any confidential or proprietary material of any former employer or to violate any other obligations you may have to any former employer. During the period that you render services to the Company, you agree to not engage in any employment, business, or activity that is in any way competitive with the business or proposed business of the Company. You represent that your signing of this offer letter and the Company’s Employee Invention Assignment and Confidentiality Agreement and your commencement of employment with the Company will not violate any agreement currently in place between yourself and current or past employers. Notwithstanding anything in this Agreement to the contrary, you may engage in charitable activities and community affairs.</w:t>
      </w:r>
    </w:p>
    <w:p>
      <w:pPr>
        <w:spacing w:after="0" w:line="164" w:lineRule="exact"/>
        <w:rPr>
          <w:rFonts w:ascii="Times New Roman" w:cs="Times New Roman" w:eastAsia="Times New Roman" w:hAnsi="Times New Roman"/>
          <w:sz w:val="21"/>
          <w:szCs w:val="21"/>
          <w:color w:val="auto"/>
        </w:rPr>
      </w:pPr>
    </w:p>
    <w:p>
      <w:pPr>
        <w:jc w:val="both"/>
        <w:ind w:firstLine="656"/>
        <w:spacing w:after="0" w:line="265" w:lineRule="auto"/>
        <w:tabs>
          <w:tab w:leader="none" w:pos="1296"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At-Will Employment</w:t>
      </w:r>
      <w:r>
        <w:rPr>
          <w:rFonts w:ascii="Times New Roman" w:cs="Times New Roman" w:eastAsia="Times New Roman" w:hAnsi="Times New Roman"/>
          <w:sz w:val="22"/>
          <w:szCs w:val="22"/>
          <w:color w:val="auto"/>
        </w:rPr>
        <w:t>. While we look forward to a profitable relationship, should you decide to accept our offer,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be an at-will employee of the Company, which means your employment or other relationship can be terminated by either of us for any reason, at</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53" w:lineRule="auto"/>
        <w:rPr>
          <w:sz w:val="20"/>
          <w:szCs w:val="20"/>
          <w:color w:val="auto"/>
        </w:rPr>
      </w:pPr>
      <w:r>
        <w:rPr>
          <w:rFonts w:ascii="Times New Roman" w:cs="Times New Roman" w:eastAsia="Times New Roman" w:hAnsi="Times New Roman"/>
          <w:sz w:val="22"/>
          <w:szCs w:val="22"/>
          <w:color w:val="auto"/>
        </w:rPr>
        <w:t>any time, with or without prior notice, and with or without cause. You should regard any statements or representations to the contrary (and, indeed, any statements contradicting any provision in this letter) as ineffective. Further, your participation in any stock option or benefit program is not to be regarded as assuring you of continuing employment or service for any particular period of time. Any modification or change in your at-will employment status may only occur by way of a written employment agreement signed by you and an authorized officer of the Company (other than you) and approved by the Board.</w:t>
      </w:r>
    </w:p>
    <w:p>
      <w:pPr>
        <w:spacing w:after="0" w:line="175" w:lineRule="exact"/>
        <w:rPr>
          <w:sz w:val="20"/>
          <w:szCs w:val="20"/>
          <w:color w:val="auto"/>
        </w:rPr>
      </w:pPr>
    </w:p>
    <w:p>
      <w:pPr>
        <w:jc w:val="both"/>
        <w:ind w:firstLine="656"/>
        <w:spacing w:after="0" w:line="268" w:lineRule="auto"/>
        <w:tabs>
          <w:tab w:leader="none" w:pos="129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your termination of service without Cause or your resignation for 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that you satisfy the Release Condition, you will be entitled to a lump-sum cash payment equal to three-months of your then current base salary, payable on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following the date of your termination.</w:t>
      </w:r>
    </w:p>
    <w:p>
      <w:pPr>
        <w:spacing w:after="0" w:line="74"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purposes of this letter, the following terms have the meanings set forth below:</w:t>
      </w:r>
    </w:p>
    <w:p>
      <w:pPr>
        <w:spacing w:after="0" w:line="21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means (i) a sale of all or substantially all of the Company’s assets, or (ii) any merger, consolidation or other business combination transaction of the Company with or into another corporation, entity or person, other than a transaction in which the holders of at least a majority of the shares of voting capital stock of the Company outstanding immediately prior to such transaction continue to hold (either by such shares remaining outstanding or by their being converted into shares of voting capital stock of the surviving entity) a majority of the total voting power represented by the shares of voting capital stock of the Company (or the surviving entity) outstanding immediately after such transaction, or (iii)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for your termination will exist at any time after the happening of one or more of the following events: (i) any willful and material violation by you of any law or regulation applicable to the business of the Company or a parent or subsidiary of the Company, (ii) your conviction for, or guilty plea to, a felony or a crime involving moral turpitude or any willful perpetration by you of a common law fraud, (iii) your commission of an act of personal dishonesty which involves personal profit in connection with the Company or any other entity having a business relationship with the Company, (iv) any material breach by you of any provision of any agreement or understanding between the Company or any parent or subsidiary of the Company and you regarding the terms of your service as an employee to the Company or a parent or subsidiary of the Company, or any breach of any applicable invention assignment and confidentiality agreement or similar agreement between you and the Company, (v) your disregard of the policies or regulations of the Company or any parent or subsidiary of the Company so as to cause material loss, damage or injury to the property, reputation or employees of the Company or a parent or subsidiary of the Company, (vi) your failure to cooperate in good faith with a governmental or internal investigation of the Company or its director, officers or employees, if the Company has requested your cooperation, or (vii) your</w:t>
      </w:r>
    </w:p>
    <w:p>
      <w:pPr>
        <w:sectPr>
          <w:pgSz w:w="11900" w:h="16838" w:orient="portrait"/>
          <w:cols w:equalWidth="0" w:num="1">
            <w:col w:w="11240"/>
          </w:cols>
          <w:pgMar w:left="320" w:top="1422" w:right="339" w:bottom="1440" w:gutter="0" w:footer="0" w:header="0"/>
        </w:sectPr>
      </w:pPr>
    </w:p>
    <w:bookmarkStart w:id="128" w:name="page129"/>
    <w:bookmarkEnd w:id="128"/>
    <w:p>
      <w:pPr>
        <w:jc w:val="both"/>
        <w:spacing w:after="0" w:line="271" w:lineRule="auto"/>
        <w:rPr>
          <w:sz w:val="20"/>
          <w:szCs w:val="20"/>
          <w:color w:val="auto"/>
        </w:rPr>
      </w:pPr>
      <w:r>
        <w:rPr>
          <w:rFonts w:ascii="Times New Roman" w:cs="Times New Roman" w:eastAsia="Times New Roman" w:hAnsi="Times New Roman"/>
          <w:sz w:val="22"/>
          <w:szCs w:val="22"/>
          <w:color w:val="auto"/>
        </w:rPr>
        <w:t>willful and continuing failure to perform assigned duties after receiving written notification of the failure from the Company or its directors or officers.</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shall mean any of the following taken without your written consent and provided (a) the Company receives, within thirty (30) days following the occurrence of any of the events set forth in clauses (i) through (iii) below, written notice from you indicating the specific basis for your belief that you are entitled to terminate employment for Good Reason, (b) the Company fails to cure the event constituting Good Reason within thirty (30) days after receipt of such written notice thereof, and</w:t>
      </w:r>
    </w:p>
    <w:p>
      <w:pPr>
        <w:spacing w:after="0" w:line="3" w:lineRule="exact"/>
        <w:rPr>
          <w:sz w:val="20"/>
          <w:szCs w:val="20"/>
          <w:color w:val="auto"/>
        </w:rPr>
      </w:pPr>
    </w:p>
    <w:p>
      <w:pPr>
        <w:jc w:val="both"/>
        <w:ind w:firstLine="8"/>
        <w:spacing w:after="0" w:line="247" w:lineRule="auto"/>
        <w:tabs>
          <w:tab w:leader="none" w:pos="32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terminate employment within ten (10) days following expiration of such cure period: (i) a material decrease in your annual base compensation, other than in connection with a general decrease applied to similarly-ranked executives of the Company; (ii) a requirement by the Company that you regularly work out of an office location that increases your one-way commute by more than twenty-five (25) miles based on your primary residence at the time the relocation is announced; or (iii) a material diminution in your authority, duties, or responsibilities (provided, however, that having a similar position, authority, duties or responsibilities after a Change in Control with respect to a division or line of business, rather than a substantially comparable position, authority, reporting structure, duties or responsibilities with respect to the Company’s successor or acquirer, as a whole, shall not alone be considered such a diminution and that a mere change in title, a change in the person or office to which you report shall not constitute “Good Reason”).</w:t>
      </w:r>
    </w:p>
    <w:p>
      <w:pPr>
        <w:spacing w:after="0" w:line="180"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6"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Authorization to Work</w:t>
      </w:r>
      <w:r>
        <w:rPr>
          <w:rFonts w:ascii="Times New Roman" w:cs="Times New Roman" w:eastAsia="Times New Roman" w:hAnsi="Times New Roman"/>
          <w:sz w:val="22"/>
          <w:szCs w:val="22"/>
          <w:color w:val="auto"/>
        </w:rPr>
        <w:t>. Please note that because of employer regulations adopted in the Immigration Reform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Act of 1986, within three business days of starting your new position you will need to present documentation demonstrating that you have authorization to work in the United States. If you have questions about this requirement, which applies to U.S. citizens and non-U.S. citizens alike, you may contact our personnel office. Your anticipated start date is November 26, 2018, which shall be determined by mutual agreement between you and the Company.</w:t>
      </w:r>
    </w:p>
    <w:p>
      <w:pPr>
        <w:spacing w:after="0" w:line="173"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96"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Background Check</w:t>
      </w:r>
      <w:r>
        <w:rPr>
          <w:rFonts w:ascii="Times New Roman" w:cs="Times New Roman" w:eastAsia="Times New Roman" w:hAnsi="Times New Roman"/>
          <w:sz w:val="22"/>
          <w:szCs w:val="22"/>
          <w:color w:val="auto"/>
        </w:rPr>
        <w:t>. This offer is contingent upon a satisfactory verification of your prior employment history,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education, criminal background and/or any other necessary reference checks, and clearance of any conflicts of interest. This offer can be rescinded based upon data received in the verification.</w:t>
      </w:r>
    </w:p>
    <w:p>
      <w:pPr>
        <w:spacing w:after="0" w:line="166"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96"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 You and the Company agree to submit to mandatory binding arbitration any and all claims arising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 of or related to your employment with the Company and the termination thereof, including, but not limited to, claims for unpaid 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 court related to the improper use, disclosure or misappropriation of a party’s private, or proprietary, or confidential or trade secret information. All arbitration hearings shall be conducted in San Francisco County, California. THE PARTIES HEREBY WAIVE ANY RIGHTS THEY MAY HAVE TO TRIAL BY JURY IN REGARD TO SUCH CLAIMS. This Agreement does not restrict your right to file administrative claims you may bring before any</w:t>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49" w:lineRule="auto"/>
        <w:rPr>
          <w:sz w:val="20"/>
          <w:szCs w:val="20"/>
          <w:color w:val="auto"/>
        </w:rPr>
      </w:pPr>
      <w:r>
        <w:rPr>
          <w:rFonts w:ascii="Times New Roman" w:cs="Times New Roman" w:eastAsia="Times New Roman" w:hAnsi="Times New Roman"/>
          <w:sz w:val="22"/>
          <w:szCs w:val="22"/>
          <w:color w:val="auto"/>
        </w:rPr>
        <w:t>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The arbitration shall be conducted through JAMS before a single neutral arbitrator, in accordance with the JAMS employment arbitration rules then in effect. The JAMS rules may be found and reviewed at http://www.jamsadr.com/rules-employment-arbitration. If you are unable to access these rules, please let me know and I will provide you with a hardcopy. The arbitrator shall issue a written decision that contains the essential findings and conclusions on which the decision is based.</w:t>
      </w:r>
    </w:p>
    <w:p>
      <w:pPr>
        <w:spacing w:after="0" w:line="191" w:lineRule="exact"/>
        <w:rPr>
          <w:sz w:val="20"/>
          <w:szCs w:val="20"/>
          <w:color w:val="auto"/>
        </w:rPr>
      </w:pPr>
    </w:p>
    <w:p>
      <w:pPr>
        <w:jc w:val="both"/>
        <w:ind w:firstLine="656"/>
        <w:spacing w:after="0" w:line="251" w:lineRule="auto"/>
        <w:tabs>
          <w:tab w:leader="none" w:pos="1288"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Successors, Binding Agreement</w:t>
      </w:r>
      <w:r>
        <w:rPr>
          <w:rFonts w:ascii="Times New Roman" w:cs="Times New Roman" w:eastAsia="Times New Roman" w:hAnsi="Times New Roman"/>
          <w:sz w:val="22"/>
          <w:szCs w:val="22"/>
          <w:color w:val="auto"/>
        </w:rPr>
        <w:t>. This Agreement shall not automatically be terminated by the voluntary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involuntary dissolution of the Company or by any merger or consolidation, whether or not the Company is the surviving or resulting corporation, or upon any transfer of all or substantially all of the assets of the Company. In the event of any such merger, consolidation, or transfer of assets, the provisions of this Agreement shall bind and inure to the benefit of the surviving or resulting corporation, or the corporation to which such assets shall have been transferred, as the case may be.</w:t>
      </w:r>
    </w:p>
    <w:p>
      <w:pPr>
        <w:spacing w:after="0" w:line="175" w:lineRule="exact"/>
        <w:rPr>
          <w:rFonts w:ascii="Times New Roman" w:cs="Times New Roman" w:eastAsia="Times New Roman" w:hAnsi="Times New Roman"/>
          <w:sz w:val="22"/>
          <w:szCs w:val="22"/>
          <w:color w:val="010000"/>
        </w:rPr>
      </w:pPr>
    </w:p>
    <w:p>
      <w:pPr>
        <w:jc w:val="both"/>
        <w:ind w:firstLine="656"/>
        <w:spacing w:after="0" w:line="247" w:lineRule="auto"/>
        <w:tabs>
          <w:tab w:leader="none" w:pos="1296"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severance benefits provided in this letter shall be payable only to the extent that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service constitutes a “separation from service” within the meaning of Treasury Regulation Section 1.409A-1(h). Notwithstanding any provision to the contrary in this letter, if you are deemed at the time of your termination of service to be a “specified employee” for purposes of Section 409A(a)(2)(B)(i)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to the extent delayed commencement of any portion of the benefits to which you are entitled pursuant to this letter is required in order to avoid a prohibited distributions under Section 409(a)(2)(B)(i) of the Code which would subject you to a tax obligation under Section 409A of the Code, such portion of your benefits will not be provided to you until the earlier of (a) the expiration of the six-month period measured from the date of your termination or (b) the date of your death. Upon expiration of the applicable period, all payments deferred pursuant to this section will be paid to you in a single lump sum. It is intended that all severance benefits and other payments under this letter qualify, to the greatest extent possible, for the short-term deferral exemption under Section 409A of the Code and, if that and any other exemption under Section 409A is not available, to comply with the requirements of Section 409A of the Code. To the extent any payment under this letter may be classified as a “short-term deferral” within the meaning of Section 409A, such payment will be deemed a short-term deferral, even if it may also qualify for an exemption from Section 409A under another provision of Section 409A. For purposes of Section 409A of the Code (including, without limitation, for purposes of Treasury Regulation Section 1.409A-2(b)(2)(iii)), any right to receive installment payments pursuant to this letter shall be treated as a right to receive a series of separate payments and, accordingly, each installment payment hereunder shall at all times be considered a separate and distinct payment.</w:t>
      </w:r>
    </w:p>
    <w:p>
      <w:pPr>
        <w:sectPr>
          <w:pgSz w:w="11900" w:h="16838" w:orient="portrait"/>
          <w:cols w:equalWidth="0" w:num="1">
            <w:col w:w="11240"/>
          </w:cols>
          <w:pgMar w:left="320" w:top="1422" w:right="339" w:bottom="1440" w:gutter="0" w:footer="0" w:header="0"/>
        </w:sectPr>
      </w:pPr>
    </w:p>
    <w:bookmarkStart w:id="130" w:name="page131"/>
    <w:bookmarkEnd w:id="130"/>
    <w:p>
      <w:pPr>
        <w:ind w:right="20" w:firstLine="656"/>
        <w:spacing w:after="0" w:line="275" w:lineRule="auto"/>
        <w:tabs>
          <w:tab w:leader="none" w:pos="1296"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construed and enforced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California without giving effect to California’s choice of law rules.</w:t>
      </w:r>
    </w:p>
    <w:p>
      <w:pPr>
        <w:spacing w:after="0" w:line="149"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296"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together with agreements referred to herein, including the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 Assignment and Confidentiality Agreement form the complete and exclusive statement of your employment agreement with the Company. Such documents supersede all prior understandings, agreements and promises, whether oral or written, between you and the Company with respect to your relationship with the Company, and can only be modified by a written agreement signed by you and by and a representative of the Company authorized to do so by the Board. No waiver of any term of this Agreement constitutes a waiver of any other term of this Agreement.</w:t>
      </w:r>
    </w:p>
    <w:p>
      <w:pPr>
        <w:spacing w:after="0" w:line="188" w:lineRule="exact"/>
        <w:rPr>
          <w:rFonts w:ascii="Times New Roman" w:cs="Times New Roman" w:eastAsia="Times New Roman" w:hAnsi="Times New Roman"/>
          <w:sz w:val="22"/>
          <w:szCs w:val="22"/>
          <w:color w:val="010000"/>
        </w:rPr>
      </w:pPr>
    </w:p>
    <w:p>
      <w:pPr>
        <w:ind w:firstLine="656"/>
        <w:spacing w:after="0" w:line="275" w:lineRule="auto"/>
        <w:tabs>
          <w:tab w:leader="none" w:pos="1296"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In the event that a court or other trier of fact invalidates one or more terms of this Agreement, all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terms of this Agreement shall remain valid and enforceable.</w:t>
      </w:r>
    </w:p>
    <w:p>
      <w:pPr>
        <w:spacing w:after="0" w:line="149" w:lineRule="exact"/>
        <w:rPr>
          <w:rFonts w:ascii="Times New Roman" w:cs="Times New Roman" w:eastAsia="Times New Roman" w:hAnsi="Times New Roman"/>
          <w:sz w:val="22"/>
          <w:szCs w:val="22"/>
          <w:color w:val="010000"/>
        </w:rPr>
      </w:pPr>
    </w:p>
    <w:p>
      <w:pPr>
        <w:jc w:val="both"/>
        <w:ind w:firstLine="656"/>
        <w:spacing w:after="0" w:line="269" w:lineRule="auto"/>
        <w:tabs>
          <w:tab w:leader="none" w:pos="1296" w:val="left"/>
        </w:tabs>
        <w:numPr>
          <w:ilvl w:val="0"/>
          <w:numId w:val="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Acceptance</w:t>
      </w:r>
      <w:r>
        <w:rPr>
          <w:rFonts w:ascii="Times New Roman" w:cs="Times New Roman" w:eastAsia="Times New Roman" w:hAnsi="Times New Roman"/>
          <w:sz w:val="21"/>
          <w:szCs w:val="21"/>
          <w:color w:val="auto"/>
        </w:rPr>
        <w:t>. If you decide to accept our offer, and I hope you will, please sign the enclosed copy of this letter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space indicated and return it to me. Your signature will acknowledge that you have read and understood and agreed to the terms and conditions of this offer letter and the attached documents, if any. Should you have anything else that you wish to discuss, please do not hesitate to call me. Note that this offer will expire at noon on October 26, 2018 if it is not accepted by then.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look forward to the opportunity to welcome you to the Company,</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w:t>
      </w:r>
    </w:p>
    <w:p>
      <w:pPr>
        <w:spacing w:after="0" w:line="3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3258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Sarah Friar, CEO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I have read and understood this offer letter and hereby acknowledge, accept, and agree to the terms as set forth above and further acknowledge that no other commitments were made to me as part of my employment offer except as specifically set forth herein.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/s/ Craig Lisowski</w:t>
            </w:r>
          </w:p>
        </w:tc>
        <w:tc>
          <w:tcPr>
            <w:tcW w:w="28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w w:val="97"/>
              </w:rPr>
              <w:t>Date signed: January 13, 2019</w:t>
            </w:r>
          </w:p>
        </w:tc>
      </w:tr>
      <w:tr>
        <w:trPr>
          <w:trHeight w:val="289"/>
        </w:trPr>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Craig Lisowski</w:t>
            </w:r>
          </w:p>
        </w:tc>
        <w:tc>
          <w:tcPr>
            <w:tcW w:w="130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418"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1"/>
          <w:szCs w:val="21"/>
          <w:color w:val="auto"/>
        </w:rPr>
        <w:t>Exhibit A: Employee Invention Assignment and Confidentiality Agreement</w:t>
      </w:r>
    </w:p>
    <w:p>
      <w:pPr>
        <w:sectPr>
          <w:pgSz w:w="11900" w:h="16838" w:orient="portrait"/>
          <w:cols w:equalWidth="0" w:num="1">
            <w:col w:w="9019"/>
          </w:cols>
          <w:pgMar w:left="1440" w:top="1422"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2"/>
          <w:szCs w:val="22"/>
          <w:b w:val="1"/>
          <w:bCs w:val="1"/>
          <w:color w:val="auto"/>
        </w:rPr>
        <w:t>EMPLOYEE INVENTION ASSIGNMENT AND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AGREEMENT</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 consideration of, and as a condition of my employment with Nextdoor.com,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 hereby represent to, and agree with the Company as follows:</w:t>
      </w:r>
    </w:p>
    <w:p>
      <w:pPr>
        <w:spacing w:after="0" w:line="140" w:lineRule="exact"/>
        <w:rPr>
          <w:sz w:val="20"/>
          <w:szCs w:val="20"/>
          <w:color w:val="auto"/>
        </w:rPr>
      </w:pPr>
    </w:p>
    <w:p>
      <w:pPr>
        <w:jc w:val="both"/>
        <w:ind w:firstLine="656"/>
        <w:spacing w:after="0" w:line="252" w:lineRule="auto"/>
        <w:tabs>
          <w:tab w:leader="none" w:pos="1296"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Purpose of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understand that the Company is engaged in a continuous program of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production and marketing in connection with its business and that it is critical for the Company to preserve and protect its “</w:t>
      </w:r>
      <w:r>
        <w:rPr>
          <w:rFonts w:ascii="Times New Roman" w:cs="Times New Roman" w:eastAsia="Times New Roman" w:hAnsi="Times New Roman"/>
          <w:sz w:val="22"/>
          <w:szCs w:val="22"/>
          <w:b w:val="1"/>
          <w:bCs w:val="1"/>
          <w:i w:val="1"/>
          <w:iCs w:val="1"/>
          <w:color w:val="auto"/>
        </w:rPr>
        <w:t>Proprietary Information</w:t>
      </w:r>
      <w:r>
        <w:rPr>
          <w:rFonts w:ascii="Times New Roman" w:cs="Times New Roman" w:eastAsia="Times New Roman" w:hAnsi="Times New Roman"/>
          <w:sz w:val="22"/>
          <w:szCs w:val="22"/>
          <w:color w:val="auto"/>
        </w:rPr>
        <w:t>” (as defined in Section 7 below), its rights in “</w:t>
      </w:r>
      <w:r>
        <w:rPr>
          <w:rFonts w:ascii="Times New Roman" w:cs="Times New Roman" w:eastAsia="Times New Roman" w:hAnsi="Times New Roman"/>
          <w:sz w:val="22"/>
          <w:szCs w:val="22"/>
          <w:b w:val="1"/>
          <w:bCs w:val="1"/>
          <w:i w:val="1"/>
          <w:iCs w:val="1"/>
          <w:color w:val="auto"/>
        </w:rPr>
        <w:t>Inventions</w:t>
      </w:r>
      <w:r>
        <w:rPr>
          <w:rFonts w:ascii="Times New Roman" w:cs="Times New Roman" w:eastAsia="Times New Roman" w:hAnsi="Times New Roman"/>
          <w:sz w:val="22"/>
          <w:szCs w:val="22"/>
          <w:color w:val="auto"/>
        </w:rPr>
        <w:t>” (as defined in Section 2 below) and in all related intellectual property rights. Accordingly, I am entering into this Employee Invention Assignment and Confidentiality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as a condition of my employment with the Company, whether or not I am expected to create inventions of value for the Company.</w:t>
      </w:r>
    </w:p>
    <w:p>
      <w:pPr>
        <w:spacing w:after="0" w:line="174" w:lineRule="exact"/>
        <w:rPr>
          <w:rFonts w:ascii="Times New Roman" w:cs="Times New Roman" w:eastAsia="Times New Roman" w:hAnsi="Times New Roman"/>
          <w:sz w:val="22"/>
          <w:szCs w:val="22"/>
          <w:color w:val="010000"/>
        </w:rPr>
      </w:pPr>
    </w:p>
    <w:p>
      <w:pPr>
        <w:jc w:val="both"/>
        <w:ind w:firstLine="656"/>
        <w:spacing w:after="0" w:line="254" w:lineRule="auto"/>
        <w:tabs>
          <w:tab w:leader="none" w:pos="1296"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Disclosure of Inventions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will promptly disclose in confidence to the Company all inventions,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designs, original works of authorship, formulas, processes, compositions of matter, computer software programs, databases, mask works and trade secrets that I make or conceive or first reduce to practice or create, either alone or jointly with others, during the period of my employment, whether or not in the course of my employment, and whether or not patentable, copyrightable or protectable as trade secrets (the “</w:t>
      </w:r>
      <w:r>
        <w:rPr>
          <w:rFonts w:ascii="Times New Roman" w:cs="Times New Roman" w:eastAsia="Times New Roman" w:hAnsi="Times New Roman"/>
          <w:sz w:val="22"/>
          <w:szCs w:val="22"/>
          <w:b w:val="1"/>
          <w:bCs w:val="1"/>
          <w:i w:val="1"/>
          <w:iCs w:val="1"/>
          <w:color w:val="auto"/>
        </w:rPr>
        <w:t>Inventions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296"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Work for Hire: Assignment of Inventions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acknowledge and agree that any copyrightable works prepared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 within the scope of my employment are “works for hire” under the Copyright Act and that the Company will be considered the author and owner of such copyrightable works. I agree that all Inventions that (i) are developed using equipment, supplies, facilities or trade secrets of the Company, (ii) result from work performed by me for the Company, or (iii) relate to the Company’s business or actual or demonstrably anticipated research and development (the “</w:t>
      </w:r>
      <w:r>
        <w:rPr>
          <w:rFonts w:ascii="Times New Roman" w:cs="Times New Roman" w:eastAsia="Times New Roman" w:hAnsi="Times New Roman"/>
          <w:sz w:val="22"/>
          <w:szCs w:val="22"/>
          <w:b w:val="1"/>
          <w:bCs w:val="1"/>
          <w:i w:val="1"/>
          <w:iCs w:val="1"/>
          <w:color w:val="auto"/>
        </w:rPr>
        <w:t>Assigned Inventions</w:t>
      </w:r>
      <w:r>
        <w:rPr>
          <w:rFonts w:ascii="Times New Roman" w:cs="Times New Roman" w:eastAsia="Times New Roman" w:hAnsi="Times New Roman"/>
          <w:sz w:val="22"/>
          <w:szCs w:val="22"/>
          <w:color w:val="auto"/>
        </w:rPr>
        <w:t>”), will be the sole and exclusive property of the Company. I agree to assign, and do hereby assign, the Assigned Inventions to the Company.</w:t>
      </w:r>
    </w:p>
    <w:p>
      <w:pPr>
        <w:spacing w:after="0" w:line="174"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96"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Labor Code Section 2870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have been notified and understand that the provisions of Sections 3 and 5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do not apply to any Assigned Invention that qualifies fully under the provisions of Section 2870 of the California Labor Code, which states as follows:</w:t>
      </w:r>
    </w:p>
    <w:p>
      <w:pPr>
        <w:spacing w:after="0" w:line="180" w:lineRule="exact"/>
        <w:rPr>
          <w:sz w:val="20"/>
          <w:szCs w:val="20"/>
          <w:color w:val="auto"/>
        </w:rPr>
      </w:pPr>
    </w:p>
    <w:p>
      <w:pPr>
        <w:jc w:val="both"/>
        <w:ind w:left="780" w:right="780"/>
        <w:spacing w:after="0" w:line="279" w:lineRule="auto"/>
        <w:rPr>
          <w:sz w:val="20"/>
          <w:szCs w:val="20"/>
          <w:color w:val="auto"/>
        </w:rPr>
      </w:pPr>
      <w:r>
        <w:rPr>
          <w:rFonts w:ascii="Times New Roman" w:cs="Times New Roman" w:eastAsia="Times New Roman" w:hAnsi="Times New Roman"/>
          <w:sz w:val="21"/>
          <w:szCs w:val="21"/>
          <w:i w:val="1"/>
          <w:iCs w:val="1"/>
          <w:color w:val="404040"/>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w:t>
      </w:r>
    </w:p>
    <w:p>
      <w:pPr>
        <w:sectPr>
          <w:pgSz w:w="11900" w:h="16838" w:orient="portrait"/>
          <w:cols w:equalWidth="0" w:num="1">
            <w:col w:w="11240"/>
          </w:cols>
          <w:pgMar w:left="320" w:top="1417" w:right="339" w:bottom="1440" w:gutter="0" w:footer="0" w:header="0"/>
        </w:sectPr>
      </w:pPr>
    </w:p>
    <w:bookmarkStart w:id="133" w:name="page134"/>
    <w:bookmarkEnd w:id="133"/>
    <w:p>
      <w:pPr>
        <w:spacing w:after="0" w:line="153" w:lineRule="exact"/>
        <w:rPr>
          <w:sz w:val="20"/>
          <w:szCs w:val="20"/>
          <w:color w:val="auto"/>
        </w:rPr>
      </w:pPr>
    </w:p>
    <w:p>
      <w:pPr>
        <w:jc w:val="both"/>
        <w:ind w:left="580" w:right="780"/>
        <w:spacing w:after="0" w:line="260" w:lineRule="auto"/>
        <w:rPr>
          <w:sz w:val="20"/>
          <w:szCs w:val="20"/>
          <w:color w:val="auto"/>
        </w:rPr>
      </w:pPr>
      <w:r>
        <w:rPr>
          <w:rFonts w:ascii="Times New Roman" w:cs="Times New Roman" w:eastAsia="Times New Roman" w:hAnsi="Times New Roman"/>
          <w:sz w:val="22"/>
          <w:szCs w:val="22"/>
          <w:i w:val="1"/>
          <w:iCs w:val="1"/>
          <w:color w:val="404040"/>
        </w:rPr>
        <w:t>EITHER: (1) RELATE AT THE TIME OF CONCEPTION OR REDUCTION TO PRACTICE OF THE INVENTION TO THE EMPLOYER’S BUSINESS, OR ACTUAL OR DEMONSTRABLY ANTICIPATED RESEARCH OR DEVELOPMENT OF THE EMPLOYER OR (2) RESULT FROM ANY WORK PERFORMED BY THE EMPLOYEE FOR THE EMPLOYER. TO THE EXTENT A PROVISION IN AN EMPLOYMENT AGREEMENT PURPORTS TO REQUIRE AN EMPLOYEE TO ASSIGN AN INVENTION OTHERWISE EXCLUDED FROM BEING REQUIRED TO BE ASSIGNED UNDER CALIFORNIA LABOR CODE SECTION 2870(a), THE PROVISION IS AGAINST THE PUBLIC POLICY OF THIS STATE AND IS UNENFORCEABLE.</w:t>
      </w:r>
    </w:p>
    <w:p>
      <w:pPr>
        <w:spacing w:after="0" w:line="116" w:lineRule="exact"/>
        <w:rPr>
          <w:sz w:val="20"/>
          <w:szCs w:val="20"/>
          <w:color w:val="auto"/>
        </w:rPr>
      </w:pPr>
    </w:p>
    <w:p>
      <w:pPr>
        <w:jc w:val="both"/>
        <w:ind w:left="-200" w:firstLine="656"/>
        <w:spacing w:after="0" w:line="249" w:lineRule="auto"/>
        <w:tabs>
          <w:tab w:leader="none" w:pos="1096"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Assignment of Other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addition to the foregoing assignment of Assigned Inventions to the Company,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to assign, and do hereby irrevocably transfer and assign, to the Company: (i) all worldwide patents, patent applications, copyrights, mask works, trade secrets and other intellectual property rights, including but not limited to rights in databases, in any Assigned Inventions, along with any registrations of or applications to register such rights; and (ii) any and all “Moral Rights” (as defined below) that I may have in or with respect to any Assigned Inventions. I also hereby forever waive and agree never to assert any and all Moral Rights I may have in or with respect to any Assigned Inventions, even after termination of my work on behalf of the Company. “</w:t>
      </w:r>
      <w:r>
        <w:rPr>
          <w:rFonts w:ascii="Times New Roman" w:cs="Times New Roman" w:eastAsia="Times New Roman" w:hAnsi="Times New Roman"/>
          <w:sz w:val="22"/>
          <w:szCs w:val="22"/>
          <w:b w:val="1"/>
          <w:bCs w:val="1"/>
          <w:i w:val="1"/>
          <w:iCs w:val="1"/>
          <w:color w:val="auto"/>
        </w:rPr>
        <w:t>Moral Rights</w:t>
      </w:r>
      <w:r>
        <w:rPr>
          <w:rFonts w:ascii="Times New Roman" w:cs="Times New Roman" w:eastAsia="Times New Roman" w:hAnsi="Times New Roman"/>
          <w:sz w:val="22"/>
          <w:szCs w:val="22"/>
          <w:color w:val="auto"/>
        </w:rPr>
        <w:t>” mean any rights to claim authorship of or credit on an Assigned Inventions, to object to or prevent the modification or destruction of any Assigned Inventions, or to withdraw from circulation or control the publication or distribution of any Assigned Inventions, and any similar right, existing under judicial or statutory law of any country or subdivision thereof in the world, or under any treaty, regardless of whether or not such right is denominated or generally referred to as a “moral right.”</w:t>
      </w:r>
    </w:p>
    <w:p>
      <w:pPr>
        <w:spacing w:after="0" w:line="177" w:lineRule="exact"/>
        <w:rPr>
          <w:rFonts w:ascii="Times New Roman" w:cs="Times New Roman" w:eastAsia="Times New Roman" w:hAnsi="Times New Roman"/>
          <w:sz w:val="22"/>
          <w:szCs w:val="22"/>
          <w:color w:val="010000"/>
        </w:rPr>
      </w:pPr>
    </w:p>
    <w:p>
      <w:pPr>
        <w:jc w:val="both"/>
        <w:ind w:left="-200" w:firstLine="656"/>
        <w:spacing w:after="0" w:line="250" w:lineRule="auto"/>
        <w:tabs>
          <w:tab w:leader="none" w:pos="1096"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Assistance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agree to assist the Company in every proper way to obtain for the Company and enforce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copyrights, mask work rights, trade secret rights and other legal protections for the Company’s Assigned Inventions in any and all countries. I will execute any documents that the Company may reasonably request for use in obtaining or enforcing such patents, copyrights, mask work rights, trade secrets and other legal protections.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appoint the Secretary of the Company as my attorney-in-fact to execute documents on my behalf for this purpose.</w:t>
      </w:r>
    </w:p>
    <w:p>
      <w:pPr>
        <w:spacing w:after="0" w:line="180" w:lineRule="exact"/>
        <w:rPr>
          <w:rFonts w:ascii="Times New Roman" w:cs="Times New Roman" w:eastAsia="Times New Roman" w:hAnsi="Times New Roman"/>
          <w:sz w:val="22"/>
          <w:szCs w:val="22"/>
          <w:color w:val="010000"/>
        </w:rPr>
      </w:pPr>
    </w:p>
    <w:p>
      <w:pPr>
        <w:jc w:val="both"/>
        <w:ind w:left="-200" w:firstLine="656"/>
        <w:spacing w:after="0" w:line="252" w:lineRule="auto"/>
        <w:tabs>
          <w:tab w:leader="none" w:pos="1096"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Proprietary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understand that my employment by the Company creates a relationship of confidence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trust with respect to any information of a confidential or secret nature that may be disclosed to me by the Company or a third party that relates to the business of the Company or to the business of any parent, subsidiary, affiliate, customer or supplier of the Company or any other party with whom the Company agrees to hold information of such party in confidence (the “</w:t>
      </w:r>
      <w:r>
        <w:rPr>
          <w:rFonts w:ascii="Times New Roman" w:cs="Times New Roman" w:eastAsia="Times New Roman" w:hAnsi="Times New Roman"/>
          <w:sz w:val="22"/>
          <w:szCs w:val="22"/>
          <w:b w:val="1"/>
          <w:bCs w:val="1"/>
          <w:i w:val="1"/>
          <w:iCs w:val="1"/>
          <w:color w:val="auto"/>
        </w:rPr>
        <w:t>Proprietary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Such Proprietary Information includes, but is not limited to, Assigned Inventions, marketing plans, product plans,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40"/>
          </w:cols>
          <w:pgMar w:left="520" w:top="144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color w:val="auto"/>
        </w:rPr>
        <w:t>strategies, financial information, forecasts, personnel information, customer lists and data, and domain names.</w:t>
      </w:r>
    </w:p>
    <w:p>
      <w:pPr>
        <w:spacing w:after="0" w:line="216" w:lineRule="exact"/>
        <w:rPr>
          <w:sz w:val="20"/>
          <w:szCs w:val="20"/>
          <w:color w:val="auto"/>
        </w:rPr>
      </w:pPr>
    </w:p>
    <w:p>
      <w:pPr>
        <w:jc w:val="both"/>
        <w:ind w:firstLine="656"/>
        <w:spacing w:after="0" w:line="254" w:lineRule="auto"/>
        <w:tabs>
          <w:tab w:leader="none" w:pos="1296"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all times, both during my employment and after its termination, I will keep and hold all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Proprietary Information in strict confidence and trust. I will not use or disclose any Proprietary Information without the prior written consent of the Company, except as may be necessary to perform my duties as an employee of the Company for the benefit of the Company. I will not take with me or retain any documents or materials or copies thereof containing any Proprietary Information.</w:t>
      </w:r>
    </w:p>
    <w:p>
      <w:pPr>
        <w:spacing w:after="0" w:line="173" w:lineRule="exact"/>
        <w:rPr>
          <w:rFonts w:ascii="Times New Roman" w:cs="Times New Roman" w:eastAsia="Times New Roman" w:hAnsi="Times New Roman"/>
          <w:sz w:val="22"/>
          <w:szCs w:val="22"/>
          <w:color w:val="010000"/>
        </w:rPr>
      </w:pPr>
    </w:p>
    <w:p>
      <w:pPr>
        <w:jc w:val="both"/>
        <w:ind w:firstLine="656"/>
        <w:spacing w:after="0" w:line="254" w:lineRule="auto"/>
        <w:tabs>
          <w:tab w:leader="none" w:pos="1296"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No Breach of Prior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represent that my performance of all the terms of this Agreement and my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duties as an employee of the Company will not breach any invention assignment, proprietary information, confidentiality or similar agreement with any former employer or other party. I represent that I will not bring with me to the Company or use in the performance of my duties for the Company any documents or materials or intangibles of a former employer or third party that are not generally available to the public or have not been legally transferred to the Company.</w:t>
      </w:r>
    </w:p>
    <w:p>
      <w:pPr>
        <w:spacing w:after="0" w:line="173" w:lineRule="exact"/>
        <w:rPr>
          <w:rFonts w:ascii="Times New Roman" w:cs="Times New Roman" w:eastAsia="Times New Roman" w:hAnsi="Times New Roman"/>
          <w:sz w:val="22"/>
          <w:szCs w:val="22"/>
          <w:color w:val="010000"/>
        </w:rPr>
      </w:pPr>
    </w:p>
    <w:p>
      <w:pPr>
        <w:jc w:val="both"/>
        <w:ind w:firstLine="656"/>
        <w:spacing w:after="0" w:line="254" w:lineRule="auto"/>
        <w:tabs>
          <w:tab w:leader="none" w:pos="1296"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Efforts; Duty Not to Compete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understand that my employment with the Company requires my undivided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attention and effort. As a result, during my employment, I will not, without the company’s express written consent, engage in any other employment or business that (i) directly competes with the current or future business of the Company; (ii) uses any Company information, equipment, supplies, facilities or materials; or (iii) otherwise conflicts with the Company’s business interest and causes a disruption of its operations.</w:t>
      </w:r>
    </w:p>
    <w:p>
      <w:pPr>
        <w:spacing w:after="0" w:line="173" w:lineRule="exact"/>
        <w:rPr>
          <w:rFonts w:ascii="Times New Roman" w:cs="Times New Roman" w:eastAsia="Times New Roman" w:hAnsi="Times New Roman"/>
          <w:sz w:val="22"/>
          <w:szCs w:val="22"/>
          <w:color w:val="010000"/>
        </w:rPr>
      </w:pPr>
    </w:p>
    <w:p>
      <w:pPr>
        <w:ind w:firstLine="656"/>
        <w:spacing w:after="0" w:line="275" w:lineRule="auto"/>
        <w:tabs>
          <w:tab w:leader="none" w:pos="1288"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Notification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hereby authorize the Company to notify third parties, including, without limitation, customers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actual or potential employers, of the terms of this Agreement and my responsibilities hereunder.</w:t>
      </w:r>
    </w:p>
    <w:p>
      <w:pPr>
        <w:spacing w:after="0" w:line="14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Non-Solicitation of Employees/Consultants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my employment with the Company and for a period of one</w:t>
      </w:r>
    </w:p>
    <w:p>
      <w:pPr>
        <w:spacing w:after="0" w:line="44" w:lineRule="exact"/>
        <w:rPr>
          <w:rFonts w:ascii="Times New Roman" w:cs="Times New Roman" w:eastAsia="Times New Roman" w:hAnsi="Times New Roman"/>
          <w:sz w:val="21"/>
          <w:szCs w:val="21"/>
          <w:color w:val="010000"/>
        </w:rPr>
      </w:pPr>
    </w:p>
    <w:p>
      <w:pPr>
        <w:ind w:right="20" w:firstLine="8"/>
        <w:spacing w:after="0" w:line="259" w:lineRule="auto"/>
        <w:tabs>
          <w:tab w:leader="none" w:pos="31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 thereafter, I will not directly or indirectly solicit away employees or consultants of the Company for my own benefit or for the benefit of any other person or entity.</w:t>
      </w:r>
    </w:p>
    <w:p>
      <w:pPr>
        <w:spacing w:after="0" w:line="16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1"/>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Non-Solicitation of Suppliers/Customers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and after the termination of my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 will not directly or indirectly solicit or otherwise take away customers or suppliers of the Company if, in so doing, I use or disclose any trade secrets or proprietary or confidential information of the Company. I agree that the non-public names and addresses of the Company’s customers and suppliers, and all other confidential information related to them, including their buying and selling habits and special needs, created or obtained by me during my employment, constitute trade secrets or proprietary or confidential information of the Company.</w:t>
      </w:r>
    </w:p>
    <w:p>
      <w:pPr>
        <w:spacing w:after="0" w:line="174"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96" w:val="left"/>
        </w:tabs>
        <w:numPr>
          <w:ilvl w:val="1"/>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Name &amp; Likeness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hereby authorize the Company to use, reuse, and to grant others the right to use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reuse, my name, photograph, likeness (including caricature), voice, and biographical information, and any reproduction or simulation thereof, in any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line="257" w:lineRule="auto"/>
        <w:rPr>
          <w:sz w:val="20"/>
          <w:szCs w:val="20"/>
          <w:color w:val="auto"/>
        </w:rPr>
      </w:pPr>
      <w:r>
        <w:rPr>
          <w:rFonts w:ascii="Times New Roman" w:cs="Times New Roman" w:eastAsia="Times New Roman" w:hAnsi="Times New Roman"/>
          <w:sz w:val="22"/>
          <w:szCs w:val="22"/>
          <w:color w:val="auto"/>
        </w:rPr>
        <w:t>media or technology now known or hereafter developed (including, but not limited to, film, video and digital or other electronic media), both during and after my employment, for any purposes related to the Company’s business, such as marketing, advertising, credits, and presentations.</w:t>
      </w:r>
    </w:p>
    <w:p>
      <w:pPr>
        <w:spacing w:after="0" w:line="182" w:lineRule="exact"/>
        <w:rPr>
          <w:sz w:val="20"/>
          <w:szCs w:val="20"/>
          <w:color w:val="auto"/>
        </w:rPr>
      </w:pPr>
    </w:p>
    <w:p>
      <w:pPr>
        <w:jc w:val="both"/>
        <w:ind w:firstLine="656"/>
        <w:spacing w:after="0" w:line="262" w:lineRule="auto"/>
        <w:tabs>
          <w:tab w:leader="none" w:pos="1296" w:val="left"/>
        </w:tabs>
        <w:numPr>
          <w:ilvl w:val="0"/>
          <w:numId w:val="10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Return of Company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termination of my employment or upon Company’s request at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I will deliver to Company all of Company’s property, equipment, and documents, together with all copies thereof, and any other material containing or disclosing any Assigned Inventions or Proprietary Information and certify in writing that I have fully complied with the foregoing obligation.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(upon the Company’s request) to provide the Company with a computer-useable copy of all such Proprietary Information and then permanently delete and expunge such Proprietary Information from those systems; and I agree to provide the Company access to my system as reasonably requested to verify that the necessary copying and/or deletion is completed.</w:t>
      </w:r>
    </w:p>
    <w:p>
      <w:pPr>
        <w:spacing w:after="0" w:line="165" w:lineRule="exact"/>
        <w:rPr>
          <w:rFonts w:ascii="Times New Roman" w:cs="Times New Roman" w:eastAsia="Times New Roman" w:hAnsi="Times New Roman"/>
          <w:sz w:val="21"/>
          <w:szCs w:val="21"/>
          <w:color w:val="010000"/>
        </w:rPr>
      </w:pPr>
    </w:p>
    <w:p>
      <w:pPr>
        <w:ind w:firstLine="656"/>
        <w:spacing w:after="0" w:line="275" w:lineRule="auto"/>
        <w:tabs>
          <w:tab w:leader="none" w:pos="12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Injunctive Relief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understand that in the event of a breach or threatened breach of this Agreement by 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suffer irreparable harm and will therefore be entitled to injunctive relief to enforce this Agreement.</w:t>
      </w:r>
    </w:p>
    <w:p>
      <w:pPr>
        <w:spacing w:after="0" w:line="162"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Governing Law; 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will be governed by and construed in accordance with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California, without giving effect to its laws pertaining to conflict of laws.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80" w:lineRule="exact"/>
        <w:rPr>
          <w:rFonts w:ascii="Times New Roman" w:cs="Times New Roman" w:eastAsia="Times New Roman" w:hAnsi="Times New Roman"/>
          <w:sz w:val="22"/>
          <w:szCs w:val="22"/>
          <w:color w:val="010000"/>
        </w:rPr>
      </w:pPr>
    </w:p>
    <w:p>
      <w:pPr>
        <w:ind w:firstLine="656"/>
        <w:spacing w:after="0" w:line="275" w:lineRule="auto"/>
        <w:tabs>
          <w:tab w:leader="none" w:pos="12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any number of counterparts, each of which when so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delivered will be deemed an original, and all of which together shall constitute one and the same agreement.</w:t>
      </w:r>
    </w:p>
    <w:p>
      <w:pPr>
        <w:spacing w:after="0" w:line="149" w:lineRule="exact"/>
        <w:rPr>
          <w:rFonts w:ascii="Times New Roman" w:cs="Times New Roman" w:eastAsia="Times New Roman" w:hAnsi="Times New Roman"/>
          <w:sz w:val="22"/>
          <w:szCs w:val="22"/>
          <w:color w:val="010000"/>
        </w:rPr>
      </w:pPr>
    </w:p>
    <w:p>
      <w:pPr>
        <w:jc w:val="both"/>
        <w:ind w:firstLine="656"/>
        <w:spacing w:after="0" w:line="265" w:lineRule="auto"/>
        <w:tabs>
          <w:tab w:leader="none" w:pos="12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the documents referred to herein constitute the entire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 of the parties with respect to the subject matter of this Agreement, and supersede all prior understandings and agreements, whether oral or written, between or among the parties hereto with respect to the specific subject matter hereof.</w:t>
      </w:r>
    </w:p>
    <w:p>
      <w:pPr>
        <w:spacing w:after="0" w:line="161"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Amendment and Waivers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amended only by a written agreement executed by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No amendment of or waiver of, or modification of any obligation under this Agreement will be enforceable unless set forth in a writing signed by the party against which enforcement is sought. Any amendment effected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22"/>
          <w:szCs w:val="22"/>
          <w:color w:val="auto"/>
        </w:rPr>
        <w:t>accordance with this Section 20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75" w:lineRule="exact"/>
        <w:rPr>
          <w:sz w:val="20"/>
          <w:szCs w:val="20"/>
          <w:color w:val="auto"/>
        </w:rPr>
      </w:pPr>
    </w:p>
    <w:p>
      <w:pPr>
        <w:jc w:val="both"/>
        <w:ind w:firstLine="656"/>
        <w:spacing w:after="0" w:line="254" w:lineRule="auto"/>
        <w:tabs>
          <w:tab w:leader="none" w:pos="1296"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Successors and Assigns; 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this Agreement,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and obligations of 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73" w:lineRule="exact"/>
        <w:rPr>
          <w:rFonts w:ascii="Times New Roman" w:cs="Times New Roman" w:eastAsia="Times New Roman" w:hAnsi="Times New Roman"/>
          <w:sz w:val="22"/>
          <w:szCs w:val="22"/>
          <w:color w:val="010000"/>
        </w:rPr>
      </w:pPr>
    </w:p>
    <w:p>
      <w:pPr>
        <w:ind w:firstLine="656"/>
        <w:spacing w:after="0" w:line="275" w:lineRule="auto"/>
        <w:tabs>
          <w:tab w:leader="none" w:pos="1296"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agree to execute such further documents and instruments and to take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 actions as may be reasonably necessary to carry out the purposes and intent of this Agreement.</w:t>
      </w:r>
    </w:p>
    <w:p>
      <w:pPr>
        <w:spacing w:after="0" w:line="149"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296"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“At Will”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understand that this Agreement does not constitute a contract of employment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 the Company to employ me for any stated period of time. I understand that I am an “at will” employee of the Company and that my employment can be terminated at any time, with or without notice and with or without cause, for any reason or for no reason, by either the Company or myself. I acknowledge that any statements or representations to the contrary are ineffective, unless put into a writing signed by the Company. I further acknowledge that my participation in any stock option or benefit program is not to be construed as any assurance of continuing employment for any particular period of time.</w:t>
      </w:r>
    </w:p>
    <w:p>
      <w:pPr>
        <w:spacing w:after="0" w:line="174" w:lineRule="exact"/>
        <w:rPr>
          <w:rFonts w:ascii="Times New Roman" w:cs="Times New Roman" w:eastAsia="Times New Roman" w:hAnsi="Times New Roman"/>
          <w:sz w:val="22"/>
          <w:szCs w:val="22"/>
          <w:color w:val="010000"/>
        </w:rPr>
      </w:pPr>
    </w:p>
    <w:p>
      <w:pPr>
        <w:ind w:firstLine="656"/>
        <w:spacing w:after="0" w:line="287" w:lineRule="auto"/>
        <w:tabs>
          <w:tab w:leader="none" w:pos="1296"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Effective Date of Agreement</w:t>
      </w:r>
      <w:r>
        <w:rPr>
          <w:rFonts w:ascii="Times New Roman" w:cs="Times New Roman" w:eastAsia="Times New Roman" w:hAnsi="Times New Roman"/>
          <w:sz w:val="22"/>
          <w:szCs w:val="22"/>
          <w:color w:val="auto"/>
        </w:rPr>
        <w:t>. This Employee Invention Assignment and Confidentiality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effective as of the first day of my employment by the Company, which is </w:t>
      </w:r>
      <w:r>
        <w:rPr>
          <w:rFonts w:ascii="Times New Roman" w:cs="Times New Roman" w:eastAsia="Times New Roman" w:hAnsi="Times New Roman"/>
          <w:sz w:val="22"/>
          <w:szCs w:val="22"/>
          <w:u w:val="single" w:color="auto"/>
          <w:color w:val="auto"/>
        </w:rPr>
        <w:t>February 4, 2019.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8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5420" w:type="dxa"/>
            <w:vAlign w:val="bottom"/>
            <w:gridSpan w:val="4"/>
          </w:tcPr>
          <w:p>
            <w:pPr>
              <w:ind w:left="3620"/>
              <w:spacing w:after="0"/>
              <w:rPr>
                <w:sz w:val="20"/>
                <w:szCs w:val="20"/>
                <w:color w:val="auto"/>
              </w:rPr>
            </w:pPr>
            <w:r>
              <w:rPr>
                <w:rFonts w:ascii="Times New Roman" w:cs="Times New Roman" w:eastAsia="Times New Roman" w:hAnsi="Times New Roman"/>
                <w:sz w:val="22"/>
                <w:szCs w:val="22"/>
                <w:b w:val="1"/>
                <w:bCs w:val="1"/>
                <w:color w:val="auto"/>
              </w:rPr>
              <w:t>EMPLOYEE:</w:t>
            </w:r>
          </w:p>
        </w:tc>
      </w:tr>
      <w:tr>
        <w:trPr>
          <w:trHeight w:val="20"/>
        </w:trPr>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59"/>
        </w:trPr>
        <w:tc>
          <w:tcPr>
            <w:tcW w:w="18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Nextdoor.com, Inc.</w:t>
            </w:r>
          </w:p>
        </w:tc>
        <w:tc>
          <w:tcPr>
            <w:tcW w:w="3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2"/>
        </w:trPr>
        <w:tc>
          <w:tcPr>
            <w:tcW w:w="18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Sarah Friar</w:t>
            </w:r>
          </w:p>
        </w:tc>
        <w:tc>
          <w:tcPr>
            <w:tcW w:w="5420" w:type="dxa"/>
            <w:vAlign w:val="bottom"/>
            <w:gridSpan w:val="4"/>
          </w:tcPr>
          <w:p>
            <w:pPr>
              <w:ind w:left="3620"/>
              <w:spacing w:after="0"/>
              <w:rPr>
                <w:sz w:val="20"/>
                <w:szCs w:val="20"/>
                <w:color w:val="auto"/>
              </w:rPr>
            </w:pPr>
            <w:r>
              <w:rPr>
                <w:rFonts w:ascii="Times New Roman" w:cs="Times New Roman" w:eastAsia="Times New Roman" w:hAnsi="Times New Roman"/>
                <w:sz w:val="22"/>
                <w:szCs w:val="22"/>
                <w:color w:val="auto"/>
              </w:rPr>
              <w:t>/s/ Craig Lisowski</w:t>
            </w:r>
          </w:p>
        </w:tc>
      </w:tr>
      <w:tr>
        <w:trPr>
          <w:trHeight w:val="289"/>
        </w:trPr>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8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Signature</w:t>
            </w:r>
          </w:p>
        </w:tc>
      </w:tr>
      <w:tr>
        <w:trPr>
          <w:trHeight w:val="474"/>
        </w:trPr>
        <w:tc>
          <w:tcPr>
            <w:tcW w:w="18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Name: Sarah Friar</w:t>
            </w:r>
          </w:p>
        </w:tc>
        <w:tc>
          <w:tcPr>
            <w:tcW w:w="5420" w:type="dxa"/>
            <w:vAlign w:val="bottom"/>
            <w:gridSpan w:val="4"/>
          </w:tcPr>
          <w:p>
            <w:pPr>
              <w:ind w:left="3620"/>
              <w:spacing w:after="0"/>
              <w:rPr>
                <w:sz w:val="20"/>
                <w:szCs w:val="20"/>
                <w:color w:val="auto"/>
              </w:rPr>
            </w:pPr>
            <w:r>
              <w:rPr>
                <w:rFonts w:ascii="Times New Roman" w:cs="Times New Roman" w:eastAsia="Times New Roman" w:hAnsi="Times New Roman"/>
                <w:sz w:val="22"/>
                <w:szCs w:val="22"/>
                <w:color w:val="auto"/>
              </w:rPr>
              <w:t>Craig Lisowski</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89"/>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(Please Print)</w:t>
            </w:r>
          </w:p>
        </w:tc>
      </w:tr>
      <w:tr>
        <w:trPr>
          <w:trHeight w:val="474"/>
        </w:trPr>
        <w:tc>
          <w:tcPr>
            <w:tcW w:w="18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Title: CEO</w:t>
            </w:r>
          </w:p>
        </w:tc>
        <w:tc>
          <w:tcPr>
            <w:tcW w:w="3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1" w:right="339" w:bottom="1440" w:gutter="0" w:footer="0" w:header="0"/>
        </w:sectPr>
      </w:pPr>
    </w:p>
    <w:bookmarkStart w:id="137" w:name="page138"/>
    <w:bookmarkEnd w:id="137"/>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153416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FFFFFF"/>
        </w:rPr>
        <w:t>Paid Time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6299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1062990" cy="145415"/>
                    </a:xfrm>
                    <a:prstGeom prst="rect">
                      <a:avLst/>
                    </a:prstGeom>
                    <a:noFill/>
                  </pic:spPr>
                </pic:pic>
              </a:graphicData>
            </a:graphic>
          </wp:anchor>
        </w:drawing>
      </w:r>
    </w:p>
    <w:p>
      <w:pPr>
        <w:spacing w:after="0" w:line="21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As a full-time employee, you’ll receive 15 days (3 weeks) of paid time off per calendar year. This accrue on a per pay-period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Paid Holidays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354455"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1354455" cy="145415"/>
                    </a:xfrm>
                    <a:prstGeom prst="rect">
                      <a:avLst/>
                    </a:prstGeom>
                    <a:noFill/>
                  </pic:spPr>
                </pic:pic>
              </a:graphicData>
            </a:graphic>
          </wp:anchor>
        </w:drawing>
      </w:r>
    </w:p>
    <w:p>
      <w:pPr>
        <w:spacing w:after="0" w:line="200"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New Year’s Day, Monday, January 1, 2019</w:t>
      </w:r>
    </w:p>
    <w:p>
      <w:pPr>
        <w:spacing w:after="0" w:line="12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Martin Luther King Jr. Day, Monday, January 21, 2019</w:t>
      </w:r>
    </w:p>
    <w:p>
      <w:pPr>
        <w:spacing w:after="0" w:line="11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President’s Day, Monday, February 18, 2019</w:t>
      </w:r>
    </w:p>
    <w:p>
      <w:pPr>
        <w:spacing w:after="0" w:line="12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Memorial Day, Monday, May 27, 2018</w:t>
      </w:r>
    </w:p>
    <w:p>
      <w:pPr>
        <w:spacing w:after="0" w:line="12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Independence Day Thursday, July 4, 2019</w:t>
      </w:r>
    </w:p>
    <w:p>
      <w:pPr>
        <w:spacing w:after="0" w:line="11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Day after Independence Day, Friday, July 5, 2019</w:t>
      </w:r>
    </w:p>
    <w:p>
      <w:pPr>
        <w:spacing w:after="0" w:line="12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Labor Day, Monday, September 2, 2019</w:t>
      </w:r>
    </w:p>
    <w:p>
      <w:pPr>
        <w:spacing w:after="0" w:line="11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Thanksgiving Day, Thursday, November 28, 2019</w:t>
      </w:r>
    </w:p>
    <w:p>
      <w:pPr>
        <w:spacing w:after="0" w:line="12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Day After Thanksgiving, Friday, November 29, 2019</w:t>
      </w:r>
    </w:p>
    <w:p>
      <w:pPr>
        <w:spacing w:after="0" w:line="12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Christmas Break, Tuesday, December 24 and Wednesday, December 25, 2019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Medical, Dental,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8559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1585595" cy="1460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Medical</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Effective first day of employment, Nextdoor offers a choice of three medical plans; Cigna Open Access PPO, Cigna Open Access In Network HMO, and Kaiser Permanente Platinum HMO. Coverage for employees and their dependents is 100% paid by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Vision</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Also 100% covered by Nextdoor, our vision plan is provided by Vision Service Plan (</w:t>
      </w:r>
      <w:r>
        <w:rPr>
          <w:rFonts w:ascii="Times New Roman" w:cs="Times New Roman" w:eastAsia="Times New Roman" w:hAnsi="Times New Roman"/>
          <w:sz w:val="22"/>
          <w:szCs w:val="22"/>
          <w:u w:val="single" w:color="auto"/>
          <w:color w:val="0563C1"/>
        </w:rPr>
        <w:t>www.vsp.com</w:t>
      </w:r>
      <w:r>
        <w:rPr>
          <w:rFonts w:ascii="Times New Roman" w:cs="Times New Roman" w:eastAsia="Times New Roman" w:hAnsi="Times New Roman"/>
          <w:sz w:val="22"/>
          <w:szCs w:val="22"/>
          <w:color w:val="auto"/>
        </w:rPr>
        <w:t>). Under the plan, you are able to get an eye exam plus prescription glasses or contact lenses every 12 months, subject to a small co-payment and maximum allowances.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Dental</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Delta Dental is the provider of our dental plan, which is under the Premier PPO coverage. You guessed it – Dental is also 100% covered by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Additional Benefits Offered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59715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2597150" cy="146050"/>
                    </a:xfrm>
                    <a:prstGeom prst="rect">
                      <a:avLst/>
                    </a:prstGeom>
                    <a:noFill/>
                  </pic:spPr>
                </pic:pic>
              </a:graphicData>
            </a:graphic>
          </wp:anchor>
        </w:drawing>
      </w:r>
    </w:p>
    <w:p>
      <w:pPr>
        <w:spacing w:after="0" w:line="213"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Parental Leave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Pre-tax Commuter Benefits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Supplemental Life Insurance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Group Term Life and Accidental Death &amp; Dismemberment (AD&amp;D) Insurance</w:t>
      </w:r>
    </w:p>
    <w:p>
      <w:pPr>
        <w:sectPr>
          <w:pgSz w:w="11900" w:h="16838" w:orient="portrait"/>
          <w:cols w:equalWidth="0" w:num="1">
            <w:col w:w="11240"/>
          </w:cols>
          <w:pgMar w:left="320" w:top="1440" w:right="339" w:bottom="1440" w:gutter="0" w:footer="0" w:header="0"/>
        </w:sectPr>
      </w:pPr>
    </w:p>
    <w:bookmarkStart w:id="138" w:name="page139"/>
    <w:bookmarkEnd w:id="138"/>
    <w:p>
      <w:pPr>
        <w:ind w:left="660" w:hanging="328"/>
        <w:spacing w:after="0"/>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Term and Long Term Disability</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Flexible Spending Accounts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401(k)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28587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1285875" cy="1454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Eligible first of the month after your hire date. This is a traditional plan on a pre-tax basis. There is currently not a 401(k) match.</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The Fun Stuff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36955"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1036955" cy="145415"/>
                    </a:xfrm>
                    <a:prstGeom prst="rect">
                      <a:avLst/>
                    </a:prstGeom>
                    <a:noFill/>
                  </pic:spPr>
                </pic:pic>
              </a:graphicData>
            </a:graphic>
          </wp:anchor>
        </w:drawing>
      </w:r>
    </w:p>
    <w:p>
      <w:pPr>
        <w:spacing w:after="0" w:line="200"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Cool Get-Togethers</w:t>
      </w:r>
    </w:p>
    <w:p>
      <w:pPr>
        <w:spacing w:after="0" w:line="220" w:lineRule="exact"/>
        <w:rPr>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Speaker series, recorded for remote employees</w:t>
      </w:r>
    </w:p>
    <w:p>
      <w:pPr>
        <w:spacing w:after="0" w:line="234" w:lineRule="exact"/>
        <w:rPr>
          <w:rFonts w:ascii="Courier New" w:cs="Courier New" w:eastAsia="Courier New" w:hAnsi="Courier New"/>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Company Milestone Celebrations</w:t>
      </w:r>
    </w:p>
    <w:p>
      <w:pPr>
        <w:spacing w:after="0" w:line="23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Wellness Program</w:t>
      </w:r>
    </w:p>
    <w:p>
      <w:pPr>
        <w:spacing w:after="0" w:line="21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$60 monthly fitness reimbursement</w:t>
      </w:r>
    </w:p>
    <w:p>
      <w:pPr>
        <w:spacing w:after="0" w:line="126" w:lineRule="exact"/>
        <w:rPr>
          <w:rFonts w:ascii="Courier New" w:cs="Courier New" w:eastAsia="Courier New" w:hAnsi="Courier New"/>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Corporate discounts at local gyms</w:t>
      </w:r>
    </w:p>
    <w:p>
      <w:pPr>
        <w:spacing w:after="0" w:line="112" w:lineRule="exact"/>
        <w:rPr>
          <w:rFonts w:ascii="Courier New" w:cs="Courier New" w:eastAsia="Courier New" w:hAnsi="Courier New"/>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50% of Color Genomics preventative screening</w:t>
      </w:r>
    </w:p>
    <w:p>
      <w:pPr>
        <w:spacing w:after="0" w:line="126" w:lineRule="exact"/>
        <w:rPr>
          <w:rFonts w:ascii="Courier New" w:cs="Courier New" w:eastAsia="Courier New" w:hAnsi="Courier New"/>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5 o’clock Stretch</w:t>
      </w:r>
    </w:p>
    <w:p>
      <w:pPr>
        <w:spacing w:after="0" w:line="112" w:lineRule="exact"/>
        <w:rPr>
          <w:rFonts w:ascii="Courier New" w:cs="Courier New" w:eastAsia="Courier New" w:hAnsi="Courier New"/>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Two days Volunteer Time Off</w:t>
      </w:r>
    </w:p>
    <w:p>
      <w:pPr>
        <w:spacing w:after="0" w:line="234" w:lineRule="exact"/>
        <w:rPr>
          <w:rFonts w:ascii="Courier New" w:cs="Courier New" w:eastAsia="Courier New" w:hAnsi="Courier New"/>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More food/drink than you can imagine</w:t>
      </w:r>
    </w:p>
    <w:p>
      <w:pPr>
        <w:spacing w:after="0" w:line="23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Gourmet coffee and espresso machines</w:t>
      </w:r>
    </w:p>
    <w:p>
      <w:pPr>
        <w:spacing w:after="0" w:line="112" w:lineRule="exact"/>
        <w:rPr>
          <w:rFonts w:ascii="Courier New" w:cs="Courier New" w:eastAsia="Courier New" w:hAnsi="Courier New"/>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Limitless snacks, sodas and other drinks</w:t>
      </w:r>
    </w:p>
    <w:p>
      <w:pPr>
        <w:spacing w:after="0" w:line="234" w:lineRule="exact"/>
        <w:rPr>
          <w:rFonts w:ascii="Courier New" w:cs="Courier New" w:eastAsia="Courier New" w:hAnsi="Courier New"/>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Company Swag</w:t>
      </w:r>
    </w:p>
    <w:p>
      <w:pPr>
        <w:spacing w:after="0" w:line="21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$500 annual learning and development stipend</w:t>
      </w:r>
    </w:p>
    <w:p>
      <w:pPr>
        <w:spacing w:after="0" w:line="23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One-time mobile phone reimbursement up to $500 to buy the device of your choice</w:t>
      </w:r>
    </w:p>
    <w:p>
      <w:pPr>
        <w:spacing w:after="0" w:line="23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One-time headphone reimbursement up to $300</w:t>
      </w:r>
    </w:p>
    <w:p>
      <w:pPr>
        <w:spacing w:after="0" w:line="21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Special Interest Groups</w:t>
      </w:r>
    </w:p>
    <w:p>
      <w:pPr>
        <w:spacing w:after="0" w:line="23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Women in the Neighborhood (WIN)</w:t>
      </w:r>
    </w:p>
    <w:p>
      <w:pPr>
        <w:spacing w:after="0" w:line="112" w:lineRule="exact"/>
        <w:rPr>
          <w:rFonts w:ascii="Courier New" w:cs="Courier New" w:eastAsia="Courier New" w:hAnsi="Courier New"/>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Welcome @ Nextdoor (W@ND)</w:t>
      </w:r>
    </w:p>
    <w:p>
      <w:pPr>
        <w:spacing w:after="0" w:line="126" w:lineRule="exact"/>
        <w:rPr>
          <w:rFonts w:ascii="Courier New" w:cs="Courier New" w:eastAsia="Courier New" w:hAnsi="Courier New"/>
          <w:sz w:val="20"/>
          <w:szCs w:val="20"/>
          <w:color w:val="auto"/>
        </w:rPr>
      </w:pPr>
    </w:p>
    <w:p>
      <w:pPr>
        <w:ind w:left="1300" w:hanging="320"/>
        <w:spacing w:after="0"/>
        <w:tabs>
          <w:tab w:leader="none" w:pos="1300" w:val="left"/>
        </w:tabs>
        <w:numPr>
          <w:ilvl w:val="1"/>
          <w:numId w:val="108"/>
        </w:numPr>
        <w:rPr>
          <w:rFonts w:ascii="Courier New" w:cs="Courier New" w:eastAsia="Courier New" w:hAnsi="Courier New"/>
          <w:sz w:val="20"/>
          <w:szCs w:val="20"/>
          <w:color w:val="auto"/>
        </w:rPr>
      </w:pPr>
      <w:r>
        <w:rPr>
          <w:rFonts w:ascii="Times New Roman" w:cs="Times New Roman" w:eastAsia="Times New Roman" w:hAnsi="Times New Roman"/>
          <w:sz w:val="22"/>
          <w:szCs w:val="22"/>
          <w:color w:val="auto"/>
        </w:rPr>
        <w:t>Book Club</w:t>
      </w:r>
    </w:p>
    <w:p>
      <w:pPr>
        <w:sectPr>
          <w:pgSz w:w="11900" w:h="16838" w:orient="portrait"/>
          <w:cols w:equalWidth="0" w:num="1">
            <w:col w:w="11120"/>
          </w:cols>
          <w:pgMar w:left="320" w:top="116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20"/>
          </w:cols>
          <w:pgMar w:left="320" w:top="1165" w:right="459" w:bottom="1440" w:gutter="0" w:footer="0" w:header="0"/>
          <w:type w:val="continuous"/>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3585845</wp:posOffset>
            </wp:positionH>
            <wp:positionV relativeFrom="page">
              <wp:posOffset>1306195</wp:posOffset>
            </wp:positionV>
            <wp:extent cx="2100580" cy="377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21005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Dear Employee:</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following pages contain an Arbitration Agreement (the “</w:t>
      </w:r>
      <w:r>
        <w:rPr>
          <w:rFonts w:ascii="Times New Roman" w:cs="Times New Roman" w:eastAsia="Times New Roman" w:hAnsi="Times New Roman"/>
          <w:sz w:val="22"/>
          <w:szCs w:val="22"/>
          <w:b w:val="1"/>
          <w:bCs w:val="1"/>
          <w:color w:val="auto"/>
        </w:rPr>
        <w:t>Arbitration Agreement</w:t>
      </w:r>
      <w:r>
        <w:rPr>
          <w:rFonts w:ascii="Times New Roman" w:cs="Times New Roman" w:eastAsia="Times New Roman" w:hAnsi="Times New Roman"/>
          <w:sz w:val="22"/>
          <w:szCs w:val="22"/>
          <w:color w:val="auto"/>
        </w:rPr>
        <w:t>”). If there is a dispute between you and Nextdoor about your employment that cannot be resolved, this Arbitration Agreement relates to how such disputes would be decided.</w:t>
      </w:r>
    </w:p>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 the Arbitration Agreement, in many, but not all cases, employment disputes would be decided by a neutral arbitrator, instead of in a court or administrative hearing. You also agree that any disputes covered by the Arbitration Agreement would not proceed as class actions or class arbitrations. This means that you would pursue most employment related claims as an individual on your own behalf and that the final resolution would be only of your claims.</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Arbitration Agreement provides that Nextdoor will pay for any administrative or hearing fees charged by the arbitrator or JAMS except that if you initiate arbitration, you must the filing fees up to the amount you would have paid had you filed a complaint in a court of law. The Arbitration Agreement does not ask you to waive any of the grounds on which you could make an employment-related claim or any types of remedies or damages that you could otherwise receive from a court or in an administrative hearing.</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Judicial Arbitration &amp; Mediation Services, Inc.’s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Employment Rules &amp; Procedures (the “</w:t>
      </w:r>
      <w:r>
        <w:rPr>
          <w:rFonts w:ascii="Times New Roman" w:cs="Times New Roman" w:eastAsia="Times New Roman" w:hAnsi="Times New Roman"/>
          <w:sz w:val="22"/>
          <w:szCs w:val="22"/>
          <w:b w:val="1"/>
          <w:bCs w:val="1"/>
          <w:color w:val="auto"/>
        </w:rPr>
        <w:t>JAMS Rules</w:t>
      </w:r>
      <w:r>
        <w:rPr>
          <w:rFonts w:ascii="Times New Roman" w:cs="Times New Roman" w:eastAsia="Times New Roman" w:hAnsi="Times New Roman"/>
          <w:sz w:val="22"/>
          <w:szCs w:val="22"/>
          <w:color w:val="auto"/>
        </w:rPr>
        <w:t xml:space="preserve">”) referenced in the Arbitration Agreement are available at </w:t>
      </w:r>
      <w:r>
        <w:rPr>
          <w:rFonts w:ascii="Times New Roman" w:cs="Times New Roman" w:eastAsia="Times New Roman" w:hAnsi="Times New Roman"/>
          <w:sz w:val="22"/>
          <w:szCs w:val="22"/>
          <w:u w:val="single" w:color="auto"/>
          <w:color w:val="0000FF"/>
        </w:rPr>
        <w:t>http://www.jamsadr.com/rules-employment-arbitration</w:t>
      </w:r>
      <w:r>
        <w:rPr>
          <w:rFonts w:ascii="Times New Roman" w:cs="Times New Roman" w:eastAsia="Times New Roman" w:hAnsi="Times New Roman"/>
          <w:sz w:val="22"/>
          <w:szCs w:val="22"/>
          <w:color w:val="auto"/>
        </w:rPr>
        <w:t xml:space="preserve">. The JAM’s Demand for Arbitration form referenced in the Arbitration Agreement is available at </w:t>
      </w:r>
      <w:r>
        <w:rPr>
          <w:rFonts w:ascii="Times New Roman" w:cs="Times New Roman" w:eastAsia="Times New Roman" w:hAnsi="Times New Roman"/>
          <w:sz w:val="22"/>
          <w:szCs w:val="22"/>
          <w:color w:val="0000FF"/>
        </w:rPr>
        <w:t>https://www.jamsadr.com/files/Uploads/Documents/JAMS_Arbitration_Demand.pdf</w:t>
      </w:r>
      <w:r>
        <w:rPr>
          <w:rFonts w:ascii="Times New Roman" w:cs="Times New Roman" w:eastAsia="Times New Roman" w:hAnsi="Times New Roman"/>
          <w:sz w:val="22"/>
          <w:szCs w:val="22"/>
          <w:color w:val="000000"/>
        </w:rPr>
        <w:t>.</w:t>
      </w:r>
    </w:p>
    <w:p>
      <w:pPr>
        <w:spacing w:after="0" w:line="1"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2"/>
          <w:szCs w:val="22"/>
          <w:color w:val="auto"/>
        </w:rPr>
        <w:t>Please read the Arbitration Agreement carefully and ask any questions you may have before you sign it. If you have any questions, you should direct them to the Nextdoor People team at peopleteam@nextdoor.com.</w:t>
      </w:r>
    </w:p>
    <w:p>
      <w:pPr>
        <w:spacing w:after="0" w:line="20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I acknowledge receipt of this letter and a copy of the Arbitration Agreement.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August 26, 2021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Employee Signature </w:t>
      </w:r>
      <w:r>
        <w:rPr>
          <w:rFonts w:ascii="Times New Roman" w:cs="Times New Roman" w:eastAsia="Times New Roman" w:hAnsi="Times New Roman"/>
          <w:sz w:val="22"/>
          <w:szCs w:val="22"/>
          <w:u w:val="single" w:color="auto"/>
          <w:color w:val="auto"/>
        </w:rPr>
        <w:t>/s/ Craig Lisowski</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Employee Printed Name </w:t>
      </w:r>
      <w:r>
        <w:rPr>
          <w:rFonts w:ascii="Times New Roman" w:cs="Times New Roman" w:eastAsia="Times New Roman" w:hAnsi="Times New Roman"/>
          <w:sz w:val="22"/>
          <w:szCs w:val="22"/>
          <w:u w:val="single" w:color="auto"/>
          <w:color w:val="auto"/>
        </w:rPr>
        <w:t>Craig Lisowski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MUTUAL AGREEMENT TO ARBITRATE CLAIMS</w:t>
      </w:r>
    </w:p>
    <w:p>
      <w:pPr>
        <w:spacing w:after="0" w:line="200" w:lineRule="exact"/>
        <w:rPr>
          <w:sz w:val="20"/>
          <w:szCs w:val="20"/>
          <w:color w:val="auto"/>
        </w:rPr>
      </w:pPr>
    </w:p>
    <w:p>
      <w:pPr>
        <w:spacing w:after="0" w:line="2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 RECOGNIZE THAT DIFFERENCES MAY ARISE BETWEEN NEXTDOOR,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ME DURING OR FOLLOWING MY EMPLOYMENT WITH THE COMPANY. IN CONSIDERATION OF MY NEW OR CONTINUED EMPLOYMENT WITH THE COMPANY, ITS PROMISE TO ARBITRATE ALL EMPLOYMENT-RELATED DISPUTES, AND MY RECEIPT OF THE COMPENSATION, PAY RAISES, AND OTHER BENEFITS PAID TO ME BY THE COMPANY, AT PRESENT AND IN THE FUTURE, THE COMPANY AND I AGREE THAT ANY AND ALL CONTROVERSIES, CLAIMS, OR DISPUTES WITH ANYONE (INCLUDING THE COMPANY AND ANY EMPLOYEE, OFFICER, DIRECTOR, SHAREHOLDER, OR BENEFIT PLAN OF THE COMPANY, IN THEIR CAPACITY AS SUCH OR OTHERWISE), ARISING OUT OF, RELATING TO, OR RESULTING FROM MY EMPLOYMENT WITH THE COMPANY OR THE TERMINATION OF MY EMPLOYMENT WITH THE COMPANY SHALL BE SUBJECT TO BINDING ARBITRATION UNDER THE ARBITRATION PROVISIONS SET FORTH IN THE FEDERAL ARBITRATION ACT.</w:t>
      </w:r>
    </w:p>
    <w:p>
      <w:pPr>
        <w:spacing w:after="0" w:line="171" w:lineRule="exact"/>
        <w:rPr>
          <w:sz w:val="20"/>
          <w:szCs w:val="20"/>
          <w:color w:val="auto"/>
        </w:rPr>
      </w:pPr>
    </w:p>
    <w:p>
      <w:pPr>
        <w:ind w:left="420" w:hanging="331"/>
        <w:spacing w:after="0" w:line="236" w:lineRule="auto"/>
        <w:tabs>
          <w:tab w:leader="none" w:pos="32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Claims Covered by this Arbitration Agreement</w:t>
      </w:r>
      <w:r>
        <w:rPr>
          <w:rFonts w:ascii="Times New Roman" w:cs="Times New Roman" w:eastAsia="Times New Roman" w:hAnsi="Times New Roman"/>
          <w:sz w:val="22"/>
          <w:szCs w:val="22"/>
          <w:color w:val="auto"/>
        </w:rPr>
        <w:t>. This Arbitration Agreement (the “</w:t>
      </w:r>
      <w:r>
        <w:rPr>
          <w:rFonts w:ascii="Times New Roman" w:cs="Times New Roman" w:eastAsia="Times New Roman" w:hAnsi="Times New Roman"/>
          <w:sz w:val="22"/>
          <w:szCs w:val="22"/>
          <w:b w:val="1"/>
          <w:bCs w:val="1"/>
          <w:color w:val="auto"/>
        </w:rPr>
        <w:t>Arbitration Agreement</w:t>
      </w:r>
      <w:r>
        <w:rPr>
          <w:rFonts w:ascii="Times New Roman" w:cs="Times New Roman" w:eastAsia="Times New Roman" w:hAnsi="Times New Roman"/>
          <w:sz w:val="22"/>
          <w:szCs w:val="22"/>
          <w:color w:val="auto"/>
        </w:rPr>
        <w:t>”) to arbitrate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covers all grievances, disputes, claims, or causes of action arising out of my employment with the Company and the termination thereof, whether under federal, state or local laws, but not including Excluded Claims (“</w:t>
      </w:r>
      <w:r>
        <w:rPr>
          <w:rFonts w:ascii="Times New Roman" w:cs="Times New Roman" w:eastAsia="Times New Roman" w:hAnsi="Times New Roman"/>
          <w:sz w:val="22"/>
          <w:szCs w:val="22"/>
          <w:b w:val="1"/>
          <w:bCs w:val="1"/>
          <w:color w:val="auto"/>
        </w:rPr>
        <w:t>Covered Claims</w:t>
      </w:r>
      <w:r>
        <w:rPr>
          <w:rFonts w:ascii="Times New Roman" w:cs="Times New Roman" w:eastAsia="Times New Roman" w:hAnsi="Times New Roman"/>
          <w:sz w:val="22"/>
          <w:szCs w:val="22"/>
          <w:color w:val="auto"/>
        </w:rPr>
        <w:t>”). Covered Claims include claims I may have against the Company or against its officers, directors, supervisors, managers, employees, or agents in their capacity as such or otherwise, or that the Company may have against me.</w:t>
      </w:r>
    </w:p>
    <w:p>
      <w:pPr>
        <w:spacing w:after="0" w:line="19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Covered Claims include, without limitation, claims arising out of or related to your employment, application for employment, claims for overtime, unpaid wages, bonuses or commissions, claims involving meal and rest breaks, background checks, privacy, trade secrets, copyright, trademark, license, patent, unfair competition, wrongful termination, breach of contract (whether oral, electronic, or written, express or implied), intentional or negligent infliction of emotional distress, fraud, misrepresentation, interference with economic advantage, defamation, libel, slander, false light, benefits, classification of any kind, 401(k), leaves of absence, paid time off, expense reimbursement, retaliation, discrimination including gender discrimination, and harassment (but not sexual harassment, an Excluded Claim). Covered Claims also include claims arising under the Fair Credit Reporting Act, Defend Trade Secrets Act, Title VII of the Civil Rights Act of 1964, 42 U.S.C. §1981, Rehabilitation Act, Civil Rights Acts of 1866 and 1871, the Civil Rights Act of 1991, 8 U.S.C. § 1324b (unfair immigration related practices), the Pregnancy Discrimination Act, Equal Pay Act, Americans With Disabilities Act, Age Discrimination in Employment Act, Family Medical Leave Act, Fair Labor Standards Act, Employee Retirement Income Security Act (except for claims for employee benefits under any benefit plan sponsored by the Company and (a) covered by the Employee Retirement Income Security Act of 1974 or (b) funded by insurance), Affordable Care Act, Genetic Information Non-Discrimination Act, Uniformed Services Employment and Reemployment Rights Act, Worker Adjustment and Retraining Notification Act, Older Workers Benefits Protection Act of 1990, Occupational Safety and Health Act, Consolidated Omnibus Budget Reconciliation Act of 1985, False Claims Act, state or local statutes or regulations addressing the same or similar subject matters, and all other federal, state or local statutory and legal claims arising out of or relating to your employment or the termination of employment (including without limitation torts and post-employment defamation, libel, slander, false light, or retaliation). All claims in arbitration are subject to the same statutes of limitation that would apply in court.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41" w:name="page142"/>
    <w:bookmarkEnd w:id="141"/>
    <w:p>
      <w:pPr>
        <w:ind w:left="420" w:hanging="331"/>
        <w:spacing w:after="0" w:line="263" w:lineRule="auto"/>
        <w:tabs>
          <w:tab w:leader="none" w:pos="31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Claims Not Covered</w:t>
      </w:r>
      <w:r>
        <w:rPr>
          <w:rFonts w:ascii="Times New Roman" w:cs="Times New Roman" w:eastAsia="Times New Roman" w:hAnsi="Times New Roman"/>
          <w:sz w:val="21"/>
          <w:szCs w:val="21"/>
          <w:color w:val="auto"/>
        </w:rPr>
        <w:t>. Specifically excluded from this Arbitration Agreement are claims for Sexual Harassment (unwelcome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sexual advances, requests for sexual favors, and other verbal or physical harassment of a sexual nature) or sexual assault, and any claims that are not arbitrable by law (collectively, the “</w:t>
      </w:r>
      <w:r>
        <w:rPr>
          <w:rFonts w:ascii="Times New Roman" w:cs="Times New Roman" w:eastAsia="Times New Roman" w:hAnsi="Times New Roman"/>
          <w:sz w:val="21"/>
          <w:szCs w:val="21"/>
          <w:b w:val="1"/>
          <w:bCs w:val="1"/>
          <w:color w:val="auto"/>
        </w:rPr>
        <w:t>Excluded Claims</w:t>
      </w:r>
      <w:r>
        <w:rPr>
          <w:rFonts w:ascii="Times New Roman" w:cs="Times New Roman" w:eastAsia="Times New Roman" w:hAnsi="Times New Roman"/>
          <w:sz w:val="21"/>
          <w:szCs w:val="21"/>
          <w:color w:val="auto"/>
        </w:rPr>
        <w:t>”), which include claims for:</w:t>
      </w:r>
    </w:p>
    <w:p>
      <w:pPr>
        <w:spacing w:after="0" w:line="168" w:lineRule="exact"/>
        <w:rPr>
          <w:rFonts w:ascii="Times New Roman" w:cs="Times New Roman" w:eastAsia="Times New Roman" w:hAnsi="Times New Roman"/>
          <w:sz w:val="21"/>
          <w:szCs w:val="21"/>
          <w:color w:val="auto"/>
        </w:rPr>
      </w:pPr>
    </w:p>
    <w:p>
      <w:pPr>
        <w:ind w:left="780" w:hanging="286"/>
        <w:spacing w:after="0"/>
        <w:tabs>
          <w:tab w:leader="none" w:pos="78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workers’ compensation;</w:t>
      </w:r>
    </w:p>
    <w:p>
      <w:pPr>
        <w:spacing w:after="0" w:line="219" w:lineRule="exact"/>
        <w:rPr>
          <w:rFonts w:ascii="Times New Roman" w:cs="Times New Roman" w:eastAsia="Times New Roman" w:hAnsi="Times New Roman"/>
          <w:sz w:val="22"/>
          <w:szCs w:val="22"/>
          <w:color w:val="auto"/>
        </w:rPr>
      </w:pPr>
    </w:p>
    <w:p>
      <w:pPr>
        <w:ind w:left="800" w:hanging="306"/>
        <w:spacing w:after="0"/>
        <w:tabs>
          <w:tab w:leader="none" w:pos="8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unemployment compensation benefits;</w:t>
      </w:r>
    </w:p>
    <w:p>
      <w:pPr>
        <w:spacing w:after="0" w:line="219" w:lineRule="exact"/>
        <w:rPr>
          <w:rFonts w:ascii="Times New Roman" w:cs="Times New Roman" w:eastAsia="Times New Roman" w:hAnsi="Times New Roman"/>
          <w:sz w:val="22"/>
          <w:szCs w:val="22"/>
          <w:color w:val="auto"/>
        </w:rPr>
      </w:pPr>
    </w:p>
    <w:p>
      <w:pPr>
        <w:ind w:left="780" w:hanging="286"/>
        <w:spacing w:after="0"/>
        <w:tabs>
          <w:tab w:leader="none" w:pos="78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suits brought under the Private Attorneys General Act (Cal. Labor Code § 2698);</w:t>
      </w:r>
    </w:p>
    <w:p>
      <w:pPr>
        <w:spacing w:after="0" w:line="192" w:lineRule="exact"/>
        <w:rPr>
          <w:rFonts w:ascii="Times New Roman" w:cs="Times New Roman" w:eastAsia="Times New Roman" w:hAnsi="Times New Roman"/>
          <w:sz w:val="22"/>
          <w:szCs w:val="22"/>
          <w:color w:val="auto"/>
        </w:rPr>
      </w:pPr>
    </w:p>
    <w:p>
      <w:pPr>
        <w:jc w:val="both"/>
        <w:ind w:left="500" w:hanging="6"/>
        <w:spacing w:after="0" w:line="239" w:lineRule="auto"/>
        <w:tabs>
          <w:tab w:leader="none" w:pos="89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claims filed with government agencies such as the Department of Industrial Relations Labor Commission, the Equal Employment Opportunity Commission (EEOC), Department of Fair Employment and Housing (DFEH), or the National Labor Relations Board (NLRB), except that this Arbitration Agreement does preclude you from pursuing court action regarding any such claim;</w:t>
      </w:r>
    </w:p>
    <w:p>
      <w:pPr>
        <w:spacing w:after="0" w:line="180" w:lineRule="exact"/>
        <w:rPr>
          <w:rFonts w:ascii="Times New Roman" w:cs="Times New Roman" w:eastAsia="Times New Roman" w:hAnsi="Times New Roman"/>
          <w:sz w:val="22"/>
          <w:szCs w:val="22"/>
          <w:color w:val="auto"/>
        </w:rPr>
      </w:pPr>
    </w:p>
    <w:p>
      <w:pPr>
        <w:ind w:left="500" w:right="480" w:hanging="6"/>
        <w:spacing w:after="0" w:line="245" w:lineRule="auto"/>
        <w:tabs>
          <w:tab w:leader="none" w:pos="79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that are expressly required to be arbitrated under a different procedure required by the Company's Executive benefit plans, if any;</w:t>
      </w:r>
    </w:p>
    <w:p>
      <w:pPr>
        <w:spacing w:after="0" w:line="185" w:lineRule="exact"/>
        <w:rPr>
          <w:rFonts w:ascii="Times New Roman" w:cs="Times New Roman" w:eastAsia="Times New Roman" w:hAnsi="Times New Roman"/>
          <w:sz w:val="22"/>
          <w:szCs w:val="22"/>
          <w:color w:val="auto"/>
        </w:rPr>
      </w:pPr>
    </w:p>
    <w:p>
      <w:pPr>
        <w:ind w:left="760" w:hanging="266"/>
        <w:spacing w:after="0"/>
        <w:tabs>
          <w:tab w:leader="none" w:pos="76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seeking injunctive relief intended to prohibit activities that threaten future injury to the general public;</w:t>
      </w:r>
    </w:p>
    <w:p>
      <w:pPr>
        <w:spacing w:after="0" w:line="219" w:lineRule="exact"/>
        <w:rPr>
          <w:rFonts w:ascii="Times New Roman" w:cs="Times New Roman" w:eastAsia="Times New Roman" w:hAnsi="Times New Roman"/>
          <w:sz w:val="22"/>
          <w:szCs w:val="22"/>
          <w:color w:val="auto"/>
        </w:rPr>
      </w:pPr>
    </w:p>
    <w:p>
      <w:pPr>
        <w:ind w:left="800" w:hanging="306"/>
        <w:spacing w:after="0"/>
        <w:tabs>
          <w:tab w:leader="none" w:pos="8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that could be decided by a State of California Small Claims Court; and</w:t>
      </w:r>
    </w:p>
    <w:p>
      <w:pPr>
        <w:spacing w:after="0" w:line="206" w:lineRule="exact"/>
        <w:rPr>
          <w:rFonts w:ascii="Times New Roman" w:cs="Times New Roman" w:eastAsia="Times New Roman" w:hAnsi="Times New Roman"/>
          <w:sz w:val="22"/>
          <w:szCs w:val="22"/>
          <w:color w:val="auto"/>
        </w:rPr>
      </w:pPr>
    </w:p>
    <w:p>
      <w:pPr>
        <w:ind w:left="800" w:hanging="306"/>
        <w:spacing w:after="0"/>
        <w:tabs>
          <w:tab w:leader="none" w:pos="80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claims which are expressly excluded from binding arbitration by controlling law or public policy.</w:t>
      </w:r>
    </w:p>
    <w:p>
      <w:pPr>
        <w:spacing w:after="0" w:line="193" w:lineRule="exact"/>
        <w:rPr>
          <w:sz w:val="20"/>
          <w:szCs w:val="20"/>
          <w:color w:val="auto"/>
        </w:rPr>
      </w:pPr>
    </w:p>
    <w:p>
      <w:pPr>
        <w:ind w:right="80" w:firstLine="486"/>
        <w:spacing w:after="0" w:line="236" w:lineRule="auto"/>
        <w:rPr>
          <w:sz w:val="20"/>
          <w:szCs w:val="20"/>
          <w:color w:val="auto"/>
        </w:rPr>
      </w:pPr>
      <w:r>
        <w:rPr>
          <w:rFonts w:ascii="Times New Roman" w:cs="Times New Roman" w:eastAsia="Times New Roman" w:hAnsi="Times New Roman"/>
          <w:sz w:val="22"/>
          <w:szCs w:val="22"/>
          <w:color w:val="auto"/>
        </w:rPr>
        <w:t>To the extent that the parties’ dispute involves Covered Claims and Excluded Claims, the parties agree to bifurcate and stay the Excluded Claims pending the resolution of the arbitration proceedings. Either party may apply to a court of competent jurisdiction for temporary or preliminary injunctive relief in connection with a Covered Claim, but only upon the ground that the award to which that party may be entitled may be rendered ineffectual without such relief.</w:t>
      </w:r>
    </w:p>
    <w:p>
      <w:pPr>
        <w:spacing w:after="0" w:line="179"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22"/>
          <w:szCs w:val="22"/>
          <w:color w:val="auto"/>
        </w:rPr>
        <w:t>If a dispute includes both Covered Disputes and Excluded Disputes, Covered Disputes will proceed to arbitration, while Excluded Disputes will be determined in a court or other required forum, unless I and the Company agree to the contrary after the dispute arises.</w:t>
      </w:r>
    </w:p>
    <w:p>
      <w:pPr>
        <w:spacing w:after="0" w:line="17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22"/>
          <w:szCs w:val="22"/>
          <w:color w:val="auto"/>
        </w:rPr>
        <w:t>I understand that this Arbitration Agreement does not restrict my rights to engage in concerted activities under Section 7 of the National Labor Relations Act.</w:t>
      </w:r>
    </w:p>
    <w:p>
      <w:pPr>
        <w:spacing w:after="0" w:line="154" w:lineRule="exact"/>
        <w:rPr>
          <w:sz w:val="20"/>
          <w:szCs w:val="20"/>
          <w:color w:val="auto"/>
        </w:rPr>
      </w:pPr>
    </w:p>
    <w:p>
      <w:pPr>
        <w:jc w:val="both"/>
        <w:ind w:left="340" w:hanging="251"/>
        <w:spacing w:after="0" w:line="234" w:lineRule="auto"/>
        <w:tabs>
          <w:tab w:leader="none" w:pos="347"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Class Action Waiver. This Arbitration Agreement affects your ability to bring or participate in class or collective actions. </w:t>
      </w:r>
      <w:r>
        <w:rPr>
          <w:rFonts w:ascii="Times New Roman" w:cs="Times New Roman" w:eastAsia="Times New Roman" w:hAnsi="Times New Roman"/>
          <w:sz w:val="22"/>
          <w:szCs w:val="22"/>
          <w:color w:val="auto"/>
        </w:rPr>
        <w:t>Both the Company and I agree to bring any dispute in arbitration on an individual basis only, and not on a class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collective basis on behalf of others. There will be no right or authority for any dispute to be brought, heard or arbitrated as a class or collective action, or as a member in any such class or collective proceeding (“</w:t>
      </w:r>
      <w:r>
        <w:rPr>
          <w:rFonts w:ascii="Times New Roman" w:cs="Times New Roman" w:eastAsia="Times New Roman" w:hAnsi="Times New Roman"/>
          <w:sz w:val="22"/>
          <w:szCs w:val="22"/>
          <w:b w:val="1"/>
          <w:bCs w:val="1"/>
          <w:color w:val="auto"/>
        </w:rPr>
        <w:t>Class Action Waiver</w:t>
      </w:r>
      <w:r>
        <w:rPr>
          <w:rFonts w:ascii="Times New Roman" w:cs="Times New Roman" w:eastAsia="Times New Roman" w:hAnsi="Times New Roman"/>
          <w:sz w:val="22"/>
          <w:szCs w:val="22"/>
          <w:color w:val="auto"/>
        </w:rPr>
        <w:t>”). Notwithstanding any other provision of this Arbitration Agreement or the JAMS Rules (defined below), disputes in court or arbitration regarding the validity, enforceability or breach of the Class Action Waiver may be resolved only by the court and not by an arbitrator. In any case in which (1) the dispute is filed as a class or collective action and (2) there is a final judicial determination that all or part of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63" w:right="339" w:bottom="1440" w:gutter="0" w:footer="0" w:header="0"/>
        </w:sectPr>
      </w:pPr>
    </w:p>
    <w:bookmarkStart w:id="142" w:name="page143"/>
    <w:bookmarkEnd w:id="142"/>
    <w:p>
      <w:pPr>
        <w:jc w:val="both"/>
        <w:ind w:left="340"/>
        <w:spacing w:after="0" w:line="234" w:lineRule="auto"/>
        <w:rPr>
          <w:sz w:val="20"/>
          <w:szCs w:val="20"/>
          <w:color w:val="auto"/>
        </w:rPr>
      </w:pPr>
      <w:r>
        <w:rPr>
          <w:rFonts w:ascii="Times New Roman" w:cs="Times New Roman" w:eastAsia="Times New Roman" w:hAnsi="Times New Roman"/>
          <w:sz w:val="22"/>
          <w:szCs w:val="22"/>
          <w:color w:val="auto"/>
        </w:rPr>
        <w:t>Class Action Waiver is unenforceable, the class and/or collective action to that extent must be litigated in a civil court of competent jurisdiction, but the portion of the Class Action Waiver that is enforceable shall be enforced in arbitration. You will not be retaliated against, disciplined or threatened with discipline as a result of your filing of or participation in a class or collective action in any forum. However, the Company may lawfully seek enforcement of this Arbitration Agreement and the Class Action Waiver under the Federal Arbitration Act and seek dismissal of such class or collective actions or claims. The Class Action Waiver shall be severable in any case in which the dispute is filed as an individual action and severance is necessary to ensure that the individual action proceeds in arbitration.</w:t>
      </w:r>
    </w:p>
    <w:p>
      <w:pPr>
        <w:spacing w:after="0" w:line="173" w:lineRule="exact"/>
        <w:rPr>
          <w:sz w:val="20"/>
          <w:szCs w:val="20"/>
          <w:color w:val="auto"/>
        </w:rPr>
      </w:pPr>
    </w:p>
    <w:p>
      <w:pPr>
        <w:jc w:val="both"/>
        <w:ind w:left="340" w:hanging="251"/>
        <w:spacing w:after="0" w:line="246" w:lineRule="auto"/>
        <w:tabs>
          <w:tab w:leader="none" w:pos="31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Waiver of Right to Court or Jury Trial</w:t>
      </w:r>
      <w:r>
        <w:rPr>
          <w:rFonts w:ascii="Times New Roman" w:cs="Times New Roman" w:eastAsia="Times New Roman" w:hAnsi="Times New Roman"/>
          <w:sz w:val="22"/>
          <w:szCs w:val="22"/>
          <w:color w:val="auto"/>
        </w:rPr>
        <w:t>. I understand that, by signing this Arbitration Agreement, both the Company and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giving up any right we may have to a trial by jury and are giving up rights of appeal following the rendering of a decision except as applicable law provides for judicial review of arbitration decisions.</w:t>
      </w:r>
    </w:p>
    <w:p>
      <w:pPr>
        <w:spacing w:after="0" w:line="167" w:lineRule="exact"/>
        <w:rPr>
          <w:rFonts w:ascii="Times New Roman" w:cs="Times New Roman" w:eastAsia="Times New Roman" w:hAnsi="Times New Roman"/>
          <w:sz w:val="22"/>
          <w:szCs w:val="22"/>
          <w:color w:val="auto"/>
        </w:rPr>
      </w:pPr>
    </w:p>
    <w:p>
      <w:pPr>
        <w:jc w:val="both"/>
        <w:ind w:left="340" w:hanging="251"/>
        <w:spacing w:after="0" w:line="230" w:lineRule="auto"/>
        <w:tabs>
          <w:tab w:leader="none" w:pos="3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Arbitration Procedures. </w:t>
      </w:r>
      <w:r>
        <w:rPr>
          <w:rFonts w:ascii="Times New Roman" w:cs="Times New Roman" w:eastAsia="Times New Roman" w:hAnsi="Times New Roman"/>
          <w:sz w:val="22"/>
          <w:szCs w:val="22"/>
          <w:color w:val="auto"/>
        </w:rPr>
        <w:t>The Company and I agree that any arbitration will be administered by Judicial Arbitration &amp;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Mediation Services,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pursuant to its Employment Rules &amp; Procedures (the “</w:t>
      </w:r>
      <w:r>
        <w:rPr>
          <w:rFonts w:ascii="Times New Roman" w:cs="Times New Roman" w:eastAsia="Times New Roman" w:hAnsi="Times New Roman"/>
          <w:sz w:val="22"/>
          <w:szCs w:val="22"/>
          <w:b w:val="1"/>
          <w:bCs w:val="1"/>
          <w:color w:val="auto"/>
        </w:rPr>
        <w:t>JAMS Rules</w:t>
      </w:r>
      <w:r>
        <w:rPr>
          <w:rFonts w:ascii="Times New Roman" w:cs="Times New Roman" w:eastAsia="Times New Roman" w:hAnsi="Times New Roman"/>
          <w:sz w:val="22"/>
          <w:szCs w:val="22"/>
          <w:color w:val="auto"/>
        </w:rPr>
        <w:t>”), which are available at http://www.jamsadr.com/rules-employment-arbitration/. Arbitration may be initiated using JAMS’ Demand for Arbitration form (the “</w:t>
      </w:r>
      <w:r>
        <w:rPr>
          <w:rFonts w:ascii="Times New Roman" w:cs="Times New Roman" w:eastAsia="Times New Roman" w:hAnsi="Times New Roman"/>
          <w:sz w:val="22"/>
          <w:szCs w:val="22"/>
          <w:b w:val="1"/>
          <w:bCs w:val="1"/>
          <w:color w:val="auto"/>
        </w:rPr>
        <w:t>Demand</w:t>
      </w:r>
      <w:r>
        <w:rPr>
          <w:rFonts w:ascii="Times New Roman" w:cs="Times New Roman" w:eastAsia="Times New Roman" w:hAnsi="Times New Roman"/>
          <w:sz w:val="22"/>
          <w:szCs w:val="22"/>
          <w:color w:val="auto"/>
        </w:rPr>
        <w:t>”), and submitting a copy of it to JAMS. The party filing the demand must also provide the other party with a copy of the Demand within three (3) days of submitting it to JAMS. A copy of the Demand form may be</w:t>
      </w:r>
    </w:p>
    <w:p>
      <w:pPr>
        <w:spacing w:after="0" w:line="3" w:lineRule="exact"/>
        <w:rPr>
          <w:rFonts w:ascii="Times New Roman" w:cs="Times New Roman" w:eastAsia="Times New Roman" w:hAnsi="Times New Roman"/>
          <w:sz w:val="22"/>
          <w:szCs w:val="22"/>
          <w:color w:val="auto"/>
        </w:rPr>
      </w:pPr>
    </w:p>
    <w:p>
      <w:pPr>
        <w:jc w:val="both"/>
        <w:ind w:left="34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requested from JAMS or found on its website, https://www.jamsadr.com/files/Uploads/Documents/JAMS_Arbitration_Demand.pdf. Any arbitration procedure must be demanded or initiated within the same period of time that a civil action or administrative claim based on the Covered Dispute could be commenced.</w:t>
      </w:r>
    </w:p>
    <w:p>
      <w:pPr>
        <w:spacing w:after="0" w:line="177" w:lineRule="exact"/>
        <w:rPr>
          <w:sz w:val="20"/>
          <w:szCs w:val="20"/>
          <w:color w:val="auto"/>
        </w:rPr>
      </w:pPr>
    </w:p>
    <w:p>
      <w:pPr>
        <w:jc w:val="both"/>
        <w:ind w:firstLine="486"/>
        <w:spacing w:after="0" w:line="230" w:lineRule="auto"/>
        <w:rPr>
          <w:sz w:val="20"/>
          <w:szCs w:val="20"/>
          <w:color w:val="auto"/>
        </w:rPr>
      </w:pPr>
      <w:r>
        <w:rPr>
          <w:rFonts w:ascii="Times New Roman" w:cs="Times New Roman" w:eastAsia="Times New Roman" w:hAnsi="Times New Roman"/>
          <w:sz w:val="22"/>
          <w:szCs w:val="22"/>
          <w:color w:val="auto"/>
        </w:rPr>
        <w:t>The Company and I agree that any arbitration under this Arbitration Agreement shall be conducted in San Francisco County or the site of the closest JAMS office to my primary place of employment for the Company. The Company and I will attempt to agree upon an arbitrator within twenty-one (21) calendar days of notice to the non-initiating party of the Demand. If the parties are not able to agree upon a neutral arbitrator within that timeframe, the arbitrator will be selected pursuant to JAMS’ Employment Rules &amp; Procedures. The parties agree that the arbitrator shall have the power to decide any motions brought by any party to the arbitration, including motions for summary judgment and/or adjudications, motions to dismiss and demurrers. The arbitrator must follow applicable law and may award only those remedies that would have applied had the matter been heard in court. The arbitrator’s decision must be in writing and contain findings of fact and conclusions of law. The Company and I agree that the decree or award rendered by the arbitrator may be entered as a final and binding judgment in any court having jurisdiction thereof. The Company agrees that it will pay for any administrative or hearing fees charged by the arbitrator or JAMS except that I shall pay any filing fees associated with any arbitration that I initiate, but only so much of the filing fees as I would have paid had I filed a complaint in a court of law. Each party is responsible for their own attorney fees, subject to any award of fees.</w:t>
      </w:r>
    </w:p>
    <w:p>
      <w:pPr>
        <w:spacing w:after="0" w:line="179" w:lineRule="exact"/>
        <w:rPr>
          <w:sz w:val="20"/>
          <w:szCs w:val="20"/>
          <w:color w:val="auto"/>
        </w:rPr>
      </w:pPr>
    </w:p>
    <w:p>
      <w:pPr>
        <w:ind w:left="340" w:hanging="251"/>
        <w:spacing w:after="0" w:line="235" w:lineRule="auto"/>
        <w:tabs>
          <w:tab w:leader="none" w:pos="31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Modification/Entire Agreement</w:t>
      </w:r>
      <w:r>
        <w:rPr>
          <w:rFonts w:ascii="Times New Roman" w:cs="Times New Roman" w:eastAsia="Times New Roman" w:hAnsi="Times New Roman"/>
          <w:sz w:val="22"/>
          <w:szCs w:val="22"/>
          <w:color w:val="auto"/>
        </w:rPr>
        <w:t>. This Arbitration Agreement shall survive the termination of my employment. It can only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revoked or modified by a writing signed by the parties that specifically states an intent to revoke or modify this Arbitration Agreement. This is the complete agreement of the parties on the subject of arbitration of disputes (except for any arbitration agreement in connection with any pension or benefit plan). This Arbitration Agreement supersedes any prior or contemporaneous oral or written understanding on the subject. No party is relying on any representations, oral or written, on the subject of the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67" w:right="339" w:bottom="1440" w:gutter="0" w:footer="0" w:header="0"/>
        </w:sectPr>
      </w:pPr>
    </w:p>
    <w:bookmarkStart w:id="143" w:name="page144"/>
    <w:bookmarkEnd w:id="143"/>
    <w:p>
      <w:pPr>
        <w:ind w:left="251" w:right="340"/>
        <w:spacing w:after="0" w:line="250" w:lineRule="auto"/>
        <w:rPr>
          <w:sz w:val="20"/>
          <w:szCs w:val="20"/>
          <w:color w:val="auto"/>
        </w:rPr>
      </w:pPr>
      <w:r>
        <w:rPr>
          <w:rFonts w:ascii="Times New Roman" w:cs="Times New Roman" w:eastAsia="Times New Roman" w:hAnsi="Times New Roman"/>
          <w:sz w:val="21"/>
          <w:szCs w:val="21"/>
          <w:color w:val="auto"/>
        </w:rPr>
        <w:t>effect, enforceability, or meaning of this Arbitration Agreement, except as specifically set forth in this Agreement. If any provision of this Arbitration Agreement is found to be unenforceable, in whole or in part, such finding shall not affect the validity of the remainder of this Arbitration Agreement and this Arbitration Agreement shall be reformed to the greatest extent possible to ensure that the resolution of all conflicts between the parties are resolved by neutral, binding arbitration.</w:t>
      </w:r>
    </w:p>
    <w:p>
      <w:pPr>
        <w:spacing w:after="0" w:line="164" w:lineRule="exact"/>
        <w:rPr>
          <w:sz w:val="20"/>
          <w:szCs w:val="20"/>
          <w:color w:val="auto"/>
        </w:rPr>
      </w:pPr>
    </w:p>
    <w:p>
      <w:pPr>
        <w:jc w:val="both"/>
        <w:ind w:left="251" w:hanging="251"/>
        <w:spacing w:after="0" w:line="246" w:lineRule="auto"/>
        <w:tabs>
          <w:tab w:leader="none" w:pos="23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Violation of this Arbitration Agreement</w:t>
      </w:r>
      <w:r>
        <w:rPr>
          <w:rFonts w:ascii="Times New Roman" w:cs="Times New Roman" w:eastAsia="Times New Roman" w:hAnsi="Times New Roman"/>
          <w:sz w:val="22"/>
          <w:szCs w:val="22"/>
          <w:color w:val="auto"/>
        </w:rPr>
        <w:t>. Should any party to this Arbitration Agreement pursue any arbitrable dispute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method other than arbitration, the responding party shall recover from the initiating party all damages, costs, expenses and attorneys’ fees incurred as a result of such action.</w:t>
      </w:r>
    </w:p>
    <w:p>
      <w:pPr>
        <w:spacing w:after="0" w:line="167" w:lineRule="exact"/>
        <w:rPr>
          <w:rFonts w:ascii="Times New Roman" w:cs="Times New Roman" w:eastAsia="Times New Roman" w:hAnsi="Times New Roman"/>
          <w:sz w:val="22"/>
          <w:szCs w:val="22"/>
          <w:color w:val="auto"/>
        </w:rPr>
      </w:pPr>
    </w:p>
    <w:p>
      <w:pPr>
        <w:ind w:left="251" w:hanging="251"/>
        <w:spacing w:after="0" w:line="262" w:lineRule="auto"/>
        <w:tabs>
          <w:tab w:leader="none" w:pos="23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 an Employment Agreement</w:t>
      </w:r>
      <w:r>
        <w:rPr>
          <w:rFonts w:ascii="Times New Roman" w:cs="Times New Roman" w:eastAsia="Times New Roman" w:hAnsi="Times New Roman"/>
          <w:sz w:val="22"/>
          <w:szCs w:val="22"/>
          <w:color w:val="auto"/>
        </w:rPr>
        <w:t>. This Arbitration Agreement is not and shall not be construed to create any contract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express or implied. Nor does this Arbitration Agreement alter the at-will status of any employment.</w:t>
      </w:r>
    </w:p>
    <w:p>
      <w:pPr>
        <w:spacing w:after="0" w:line="163" w:lineRule="exact"/>
        <w:rPr>
          <w:sz w:val="20"/>
          <w:szCs w:val="20"/>
          <w:color w:val="auto"/>
        </w:rPr>
      </w:pPr>
    </w:p>
    <w:p>
      <w:pPr>
        <w:ind w:left="605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11"/>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51"/>
          </w:cols>
          <w:pgMar w:left="409" w:top="1367" w:right="339" w:bottom="1440" w:gutter="0" w:footer="0" w:header="0"/>
        </w:sectPr>
      </w:pPr>
    </w:p>
    <w:bookmarkStart w:id="144" w:name="page145"/>
    <w:bookmarkEnd w:id="144"/>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w:t>
      </w:r>
    </w:p>
    <w:p>
      <w:pPr>
        <w:spacing w:after="0" w:line="200" w:lineRule="exact"/>
        <w:rPr>
          <w:sz w:val="20"/>
          <w:szCs w:val="20"/>
          <w:color w:val="auto"/>
        </w:rPr>
      </w:pPr>
    </w:p>
    <w:p>
      <w:pPr>
        <w:spacing w:after="0" w:line="276" w:lineRule="exact"/>
        <w:rPr>
          <w:sz w:val="20"/>
          <w:szCs w:val="20"/>
          <w:color w:val="auto"/>
        </w:rPr>
      </w:pPr>
    </w:p>
    <w:p>
      <w:pPr>
        <w:ind w:left="660" w:hanging="4"/>
        <w:spacing w:after="0" w:line="271" w:lineRule="auto"/>
        <w:tabs>
          <w:tab w:leader="none" w:pos="8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and acknowledge that have read, understand and agree to the terms of this Arbitration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ind w:left="660" w:hanging="4"/>
        <w:spacing w:after="0" w:line="257" w:lineRule="auto"/>
        <w:tabs>
          <w:tab w:leader="none" w:pos="8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and acknowledge that I have been given a sufficient time to fully review this Arbitration Agreement and an opportunity to ask questions about it before signing this document.</w:t>
      </w:r>
    </w:p>
    <w:p>
      <w:pPr>
        <w:spacing w:after="0" w:line="200" w:lineRule="exact"/>
        <w:rPr>
          <w:rFonts w:ascii="Times New Roman" w:cs="Times New Roman" w:eastAsia="Times New Roman" w:hAnsi="Times New Roman"/>
          <w:sz w:val="22"/>
          <w:szCs w:val="22"/>
          <w:color w:val="auto"/>
        </w:rPr>
      </w:pPr>
    </w:p>
    <w:p>
      <w:pPr>
        <w:spacing w:after="0" w:line="229" w:lineRule="exact"/>
        <w:rPr>
          <w:rFonts w:ascii="Times New Roman" w:cs="Times New Roman" w:eastAsia="Times New Roman" w:hAnsi="Times New Roman"/>
          <w:sz w:val="22"/>
          <w:szCs w:val="22"/>
          <w:color w:val="auto"/>
        </w:rPr>
      </w:pPr>
    </w:p>
    <w:p>
      <w:pPr>
        <w:ind w:left="660" w:right="140" w:hanging="4"/>
        <w:spacing w:after="0" w:line="257" w:lineRule="auto"/>
        <w:tabs>
          <w:tab w:leader="none" w:pos="8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and acknowledge that any questions I have about the Arbitration Agreement have been fully answered prior to my signing the Arbitration Agreement.</w:t>
      </w:r>
    </w:p>
    <w:p>
      <w:pPr>
        <w:spacing w:after="0" w:line="200" w:lineRule="exact"/>
        <w:rPr>
          <w:rFonts w:ascii="Times New Roman" w:cs="Times New Roman" w:eastAsia="Times New Roman" w:hAnsi="Times New Roman"/>
          <w:sz w:val="22"/>
          <w:szCs w:val="22"/>
          <w:color w:val="auto"/>
        </w:rPr>
      </w:pPr>
    </w:p>
    <w:p>
      <w:pPr>
        <w:spacing w:after="0" w:line="215" w:lineRule="exact"/>
        <w:rPr>
          <w:rFonts w:ascii="Times New Roman" w:cs="Times New Roman" w:eastAsia="Times New Roman" w:hAnsi="Times New Roman"/>
          <w:sz w:val="22"/>
          <w:szCs w:val="22"/>
          <w:color w:val="auto"/>
        </w:rPr>
      </w:pPr>
    </w:p>
    <w:p>
      <w:pPr>
        <w:ind w:left="660" w:right="200" w:hanging="4"/>
        <w:spacing w:after="0" w:line="253" w:lineRule="auto"/>
        <w:tabs>
          <w:tab w:leader="none" w:pos="84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this Arbitration Agreement, I acknowledge and understand that I am relinquishing the right to a court or jury trial of any Covered Claim, except as otherwise provided by law or this Arbitration Agreement, and further that I have waived the right to proceed in a class action involving a Covered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Accepted and Agreed to: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NEXTDOOR, INC.</w:t>
      </w:r>
    </w:p>
    <w:p>
      <w:pPr>
        <w:spacing w:after="0" w:line="200" w:lineRule="exact"/>
        <w:rPr>
          <w:sz w:val="20"/>
          <w:szCs w:val="20"/>
          <w:color w:val="auto"/>
        </w:rPr>
      </w:pPr>
    </w:p>
    <w:p>
      <w:pPr>
        <w:spacing w:after="0" w:line="38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Bryan Power</w:t>
      </w:r>
    </w:p>
    <w:p>
      <w:pPr>
        <w:spacing w:after="0" w:line="24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Bryan Power</w:t>
      </w:r>
    </w:p>
    <w:p>
      <w:pPr>
        <w:spacing w:after="0" w:line="24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Head of People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 w:right="839" w:hanging="517"/>
        <w:spacing w:after="0" w:line="295" w:lineRule="auto"/>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Craig Lisowski</w:t>
      </w:r>
      <w:r>
        <w:rPr>
          <w:rFonts w:ascii="Times New Roman" w:cs="Times New Roman" w:eastAsia="Times New Roman" w:hAnsi="Times New Roman"/>
          <w:sz w:val="21"/>
          <w:szCs w:val="21"/>
          <w:color w:val="auto"/>
        </w:rPr>
        <w:t xml:space="preserve"> (Signature)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u w:val="single" w:color="auto"/>
          <w:color w:val="auto"/>
        </w:rPr>
        <w:t>Craig Lisowski</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(Print)</w:t>
      </w:r>
    </w:p>
    <w:p>
      <w:pPr>
        <w:spacing w:after="0" w:line="2970" w:lineRule="exact"/>
        <w:rPr>
          <w:sz w:val="20"/>
          <w:szCs w:val="20"/>
          <w:color w:val="auto"/>
        </w:rPr>
      </w:pPr>
    </w:p>
    <w:p>
      <w:pPr>
        <w:sectPr>
          <w:pgSz w:w="11900" w:h="16838" w:orient="portrait"/>
          <w:cols w:equalWidth="0" w:num="2">
            <w:col w:w="6740" w:space="600"/>
            <w:col w:w="27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139"/>
          </w:cols>
          <w:pgMar w:left="320" w:top="1440" w:right="1440" w:bottom="1440" w:gutter="0" w:footer="0" w:header="0"/>
          <w:type w:val="continuous"/>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842645</wp:posOffset>
            </wp:positionV>
            <wp:extent cx="2108835" cy="3771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21088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Sophia Contreras Schwartz</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Sophia:</w:t>
      </w:r>
    </w:p>
    <w:p>
      <w:pPr>
        <w:spacing w:after="0" w:line="225" w:lineRule="exact"/>
        <w:rPr>
          <w:sz w:val="20"/>
          <w:szCs w:val="20"/>
          <w:color w:val="auto"/>
        </w:rPr>
      </w:pPr>
    </w:p>
    <w:p>
      <w:pPr>
        <w:ind w:firstLine="324"/>
        <w:spacing w:after="0" w:line="234" w:lineRule="auto"/>
        <w:rPr>
          <w:sz w:val="20"/>
          <w:szCs w:val="20"/>
          <w:color w:val="auto"/>
        </w:rPr>
      </w:pPr>
      <w:r>
        <w:rPr>
          <w:rFonts w:ascii="Times New Roman" w:cs="Times New Roman" w:eastAsia="Times New Roman" w:hAnsi="Times New Roman"/>
          <w:sz w:val="20"/>
          <w:szCs w:val="20"/>
          <w:color w:val="auto"/>
        </w:rPr>
        <w:t>This letter agreement confirms your promotion to the role of General Counsel and Secretary of Nextdoor,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effective May 8, 2024, and hereby amends and restates your prior offer letter, dated October 26, 2018 (the “</w:t>
      </w:r>
      <w:r>
        <w:rPr>
          <w:rFonts w:ascii="Times New Roman" w:cs="Times New Roman" w:eastAsia="Times New Roman" w:hAnsi="Times New Roman"/>
          <w:sz w:val="20"/>
          <w:szCs w:val="20"/>
          <w:b w:val="1"/>
          <w:bCs w:val="1"/>
          <w:color w:val="auto"/>
        </w:rPr>
        <w:t>Prior Agreement</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 your role as General Counsel of the Company you will report to the Company’s Chief Executive Officer.</w:t>
      </w:r>
    </w:p>
    <w:p>
      <w:pPr>
        <w:spacing w:after="0" w:line="225" w:lineRule="exact"/>
        <w:rPr>
          <w:sz w:val="20"/>
          <w:szCs w:val="20"/>
          <w:color w:val="auto"/>
        </w:rPr>
      </w:pPr>
    </w:p>
    <w:p>
      <w:pPr>
        <w:jc w:val="both"/>
        <w:ind w:firstLine="332"/>
        <w:spacing w:after="0" w:line="263" w:lineRule="auto"/>
        <w:tabs>
          <w:tab w:leader="none" w:pos="648" w:val="left"/>
        </w:tabs>
        <w:numPr>
          <w:ilvl w:val="0"/>
          <w:numId w:val="11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Cash Compensation</w:t>
      </w:r>
      <w:r>
        <w:rPr>
          <w:rFonts w:ascii="Times New Roman" w:cs="Times New Roman" w:eastAsia="Times New Roman" w:hAnsi="Times New Roman"/>
          <w:sz w:val="20"/>
          <w:szCs w:val="20"/>
          <w:color w:val="auto"/>
        </w:rPr>
        <w:t>. In this position, the Company will pay you an annual base salary of $550,000, subject to all applicable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withholdings, payable in accordance with the Company’s standard payroll schedule. Your pay will be periodically reviewed as a part of the Company’s regular reviews of compensation.</w:t>
      </w:r>
    </w:p>
    <w:p>
      <w:pPr>
        <w:spacing w:after="0" w:line="175" w:lineRule="exact"/>
        <w:rPr>
          <w:rFonts w:ascii="Times New Roman" w:cs="Times New Roman" w:eastAsia="Times New Roman" w:hAnsi="Times New Roman"/>
          <w:sz w:val="20"/>
          <w:szCs w:val="20"/>
          <w:b w:val="1"/>
          <w:bCs w:val="1"/>
          <w:color w:val="010000"/>
        </w:rPr>
      </w:pPr>
    </w:p>
    <w:p>
      <w:pPr>
        <w:jc w:val="both"/>
        <w:ind w:firstLine="332"/>
        <w:spacing w:after="0" w:line="255" w:lineRule="auto"/>
        <w:tabs>
          <w:tab w:leader="none" w:pos="648" w:val="left"/>
        </w:tabs>
        <w:numPr>
          <w:ilvl w:val="0"/>
          <w:numId w:val="11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Employee Benefits</w:t>
      </w:r>
      <w:r>
        <w:rPr>
          <w:rFonts w:ascii="Times New Roman" w:cs="Times New Roman" w:eastAsia="Times New Roman" w:hAnsi="Times New Roman"/>
          <w:sz w:val="20"/>
          <w:szCs w:val="20"/>
          <w:color w:val="auto"/>
        </w:rPr>
        <w:t>. You will continue to be eligible to participate in a number of Company-sponsored benefits to the extent that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comply with 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spacing w:after="0" w:line="183" w:lineRule="exact"/>
        <w:rPr>
          <w:rFonts w:ascii="Times New Roman" w:cs="Times New Roman" w:eastAsia="Times New Roman" w:hAnsi="Times New Roman"/>
          <w:sz w:val="20"/>
          <w:szCs w:val="20"/>
          <w:b w:val="1"/>
          <w:bCs w:val="1"/>
          <w:color w:val="010000"/>
        </w:rPr>
      </w:pPr>
    </w:p>
    <w:p>
      <w:pPr>
        <w:jc w:val="both"/>
        <w:ind w:firstLine="332"/>
        <w:spacing w:after="0" w:line="260" w:lineRule="auto"/>
        <w:tabs>
          <w:tab w:leader="none" w:pos="648" w:val="left"/>
        </w:tabs>
        <w:numPr>
          <w:ilvl w:val="0"/>
          <w:numId w:val="11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Termination Benefits</w:t>
      </w:r>
      <w:r>
        <w:rPr>
          <w:rFonts w:ascii="Times New Roman" w:cs="Times New Roman" w:eastAsia="Times New Roman" w:hAnsi="Times New Roman"/>
          <w:sz w:val="20"/>
          <w:szCs w:val="20"/>
          <w:color w:val="auto"/>
        </w:rPr>
        <w:t>. In connection with your promotion, you will be eligible to receive certain change in control and severance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and benefits pursuant to a Change in Control and Severance Agreement (the “</w:t>
      </w:r>
      <w:r>
        <w:rPr>
          <w:rFonts w:ascii="Times New Roman" w:cs="Times New Roman" w:eastAsia="Times New Roman" w:hAnsi="Times New Roman"/>
          <w:sz w:val="20"/>
          <w:szCs w:val="20"/>
          <w:b w:val="1"/>
          <w:bCs w:val="1"/>
          <w:color w:val="auto"/>
        </w:rPr>
        <w:t>Severance Agreement</w:t>
      </w:r>
      <w:r>
        <w:rPr>
          <w:rFonts w:ascii="Times New Roman" w:cs="Times New Roman" w:eastAsia="Times New Roman" w:hAnsi="Times New Roman"/>
          <w:sz w:val="20"/>
          <w:szCs w:val="20"/>
          <w:color w:val="auto"/>
        </w:rPr>
        <w:t xml:space="preserve">”) to be entered into between you and the Company at substantially the same time as the date of this offer letter, pursuant to the form attached to this offer letter as </w:t>
      </w:r>
      <w:r>
        <w:rPr>
          <w:rFonts w:ascii="Times New Roman" w:cs="Times New Roman" w:eastAsia="Times New Roman" w:hAnsi="Times New Roman"/>
          <w:sz w:val="20"/>
          <w:szCs w:val="20"/>
          <w:b w:val="1"/>
          <w:bCs w:val="1"/>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b w:val="1"/>
          <w:bCs w:val="1"/>
          <w:color w:val="010000"/>
        </w:rPr>
      </w:pPr>
    </w:p>
    <w:p>
      <w:pPr>
        <w:ind w:firstLine="332"/>
        <w:spacing w:after="0" w:line="287" w:lineRule="auto"/>
        <w:tabs>
          <w:tab w:leader="none" w:pos="648" w:val="left"/>
        </w:tabs>
        <w:numPr>
          <w:ilvl w:val="0"/>
          <w:numId w:val="11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Confidentiality Agreement</w:t>
      </w:r>
      <w:r>
        <w:rPr>
          <w:rFonts w:ascii="Times New Roman" w:cs="Times New Roman" w:eastAsia="Times New Roman" w:hAnsi="Times New Roman"/>
          <w:sz w:val="20"/>
          <w:szCs w:val="20"/>
          <w:color w:val="auto"/>
        </w:rPr>
        <w:t>. By signing this letter agreement, you reaffirm the terms and conditions of the Employee Invention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Assignment and Confidentiality Agreement by and between you and the Company.</w:t>
      </w:r>
    </w:p>
    <w:p>
      <w:pPr>
        <w:spacing w:after="0" w:line="151" w:lineRule="exact"/>
        <w:rPr>
          <w:rFonts w:ascii="Times New Roman" w:cs="Times New Roman" w:eastAsia="Times New Roman" w:hAnsi="Times New Roman"/>
          <w:sz w:val="20"/>
          <w:szCs w:val="20"/>
          <w:b w:val="1"/>
          <w:bCs w:val="1"/>
          <w:color w:val="010000"/>
        </w:rPr>
      </w:pPr>
    </w:p>
    <w:p>
      <w:pPr>
        <w:ind w:right="320" w:firstLine="332"/>
        <w:spacing w:after="0" w:line="273" w:lineRule="auto"/>
        <w:tabs>
          <w:tab w:leader="none" w:pos="648" w:val="left"/>
        </w:tabs>
        <w:numPr>
          <w:ilvl w:val="0"/>
          <w:numId w:val="11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Arbitration Agreement</w:t>
      </w:r>
      <w:r>
        <w:rPr>
          <w:rFonts w:ascii="Times New Roman" w:cs="Times New Roman" w:eastAsia="Times New Roman" w:hAnsi="Times New Roman"/>
          <w:sz w:val="20"/>
          <w:szCs w:val="20"/>
          <w:color w:val="auto"/>
        </w:rPr>
        <w:t>. By signing this letter agreement, you reaffirm the terms and conditions of the Arbitration Agreement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between you and the Company.</w:t>
      </w:r>
    </w:p>
    <w:p>
      <w:pPr>
        <w:spacing w:after="0" w:line="165" w:lineRule="exact"/>
        <w:rPr>
          <w:rFonts w:ascii="Times New Roman" w:cs="Times New Roman" w:eastAsia="Times New Roman" w:hAnsi="Times New Roman"/>
          <w:sz w:val="20"/>
          <w:szCs w:val="20"/>
          <w:b w:val="1"/>
          <w:bCs w:val="1"/>
          <w:color w:val="010000"/>
        </w:rPr>
      </w:pPr>
    </w:p>
    <w:p>
      <w:pPr>
        <w:jc w:val="both"/>
        <w:ind w:firstLine="332"/>
        <w:spacing w:after="0" w:line="283" w:lineRule="auto"/>
        <w:tabs>
          <w:tab w:leader="none" w:pos="648" w:val="left"/>
        </w:tabs>
        <w:numPr>
          <w:ilvl w:val="0"/>
          <w:numId w:val="116"/>
        </w:numPr>
        <w:rPr>
          <w:rFonts w:ascii="Times New Roman" w:cs="Times New Roman" w:eastAsia="Times New Roman" w:hAnsi="Times New Roman"/>
          <w:sz w:val="19"/>
          <w:szCs w:val="19"/>
          <w:b w:val="1"/>
          <w:bCs w:val="1"/>
          <w:color w:val="010000"/>
        </w:rPr>
      </w:pPr>
      <w:r>
        <w:rPr>
          <w:rFonts w:ascii="Times New Roman" w:cs="Times New Roman" w:eastAsia="Times New Roman" w:hAnsi="Times New Roman"/>
          <w:sz w:val="19"/>
          <w:szCs w:val="19"/>
          <w:b w:val="1"/>
          <w:bCs w:val="1"/>
          <w:u w:val="single" w:color="auto"/>
          <w:color w:val="auto"/>
        </w:rPr>
        <w:t>No Conflicting Obligations</w:t>
      </w:r>
      <w:r>
        <w:rPr>
          <w:rFonts w:ascii="Times New Roman" w:cs="Times New Roman" w:eastAsia="Times New Roman" w:hAnsi="Times New Roman"/>
          <w:sz w:val="19"/>
          <w:szCs w:val="19"/>
          <w:color w:val="auto"/>
        </w:rPr>
        <w:t>. You understand and agree that by signing this letter agreement, you represent to the Company that your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performance will not breach any other agreement to which you are a party and that you have not, and will not during the term of your employment with the Company, enter into any oral or written agreement in conflict with any of the provisions of this letter or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459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12" w:lineRule="exact"/>
        <w:rPr>
          <w:sz w:val="20"/>
          <w:szCs w:val="20"/>
          <w:color w:val="auto"/>
        </w:rPr>
      </w:pPr>
    </w:p>
    <w:p>
      <w:pPr>
        <w:ind w:left="120" w:hanging="112"/>
        <w:spacing w:after="0"/>
        <w:tabs>
          <w:tab w:leader="none" w:pos="120" w:val="left"/>
        </w:tabs>
        <w:numPr>
          <w:ilvl w:val="0"/>
          <w:numId w:val="1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Any reference to the Company will be understood to include any parent of the Company that employs you, including Nextdoor Holdings, Inc.</w:t>
      </w:r>
    </w:p>
    <w:p>
      <w:pPr>
        <w:sectPr>
          <w:pgSz w:w="11900" w:h="16838" w:orient="portrait"/>
          <w:cols w:equalWidth="0" w:num="1">
            <w:col w:w="11240"/>
          </w:cols>
          <w:pgMar w:left="320" w:top="563"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75" w:lineRule="exact"/>
        <w:rPr>
          <w:sz w:val="20"/>
          <w:szCs w:val="20"/>
          <w:color w:val="auto"/>
        </w:rPr>
      </w:pPr>
    </w:p>
    <w:p>
      <w:pPr>
        <w:jc w:val="both"/>
        <w:ind w:firstLine="332"/>
        <w:spacing w:after="0" w:line="260" w:lineRule="auto"/>
        <w:tabs>
          <w:tab w:leader="none" w:pos="648" w:val="left"/>
        </w:tabs>
        <w:numPr>
          <w:ilvl w:val="0"/>
          <w:numId w:val="11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Outside Activities</w:t>
      </w:r>
      <w:r>
        <w:rPr>
          <w:rFonts w:ascii="Times New Roman" w:cs="Times New Roman" w:eastAsia="Times New Roman" w:hAnsi="Times New Roman"/>
          <w:sz w:val="20"/>
          <w:szCs w:val="20"/>
          <w:color w:val="auto"/>
        </w:rPr>
        <w:t>. While you render services to the Company, you agree that you will not engage in any other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77" w:lineRule="exact"/>
        <w:rPr>
          <w:rFonts w:ascii="Times New Roman" w:cs="Times New Roman" w:eastAsia="Times New Roman" w:hAnsi="Times New Roman"/>
          <w:sz w:val="20"/>
          <w:szCs w:val="20"/>
          <w:b w:val="1"/>
          <w:bCs w:val="1"/>
          <w:color w:val="010000"/>
        </w:rPr>
      </w:pPr>
    </w:p>
    <w:p>
      <w:pPr>
        <w:jc w:val="both"/>
        <w:ind w:firstLine="332"/>
        <w:spacing w:after="0" w:line="254" w:lineRule="auto"/>
        <w:tabs>
          <w:tab w:leader="none" w:pos="648" w:val="left"/>
        </w:tabs>
        <w:numPr>
          <w:ilvl w:val="0"/>
          <w:numId w:val="11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Equal Employment Opportunity</w:t>
      </w:r>
      <w:r>
        <w:rPr>
          <w:rFonts w:ascii="Times New Roman" w:cs="Times New Roman" w:eastAsia="Times New Roman" w:hAnsi="Times New Roman"/>
          <w:sz w:val="20"/>
          <w:szCs w:val="20"/>
          <w:color w:val="auto"/>
        </w:rPr>
        <w:t>. The Company is an equal opportunity employer and conducts its employment practices based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87" w:lineRule="exact"/>
        <w:rPr>
          <w:rFonts w:ascii="Times New Roman" w:cs="Times New Roman" w:eastAsia="Times New Roman" w:hAnsi="Times New Roman"/>
          <w:sz w:val="20"/>
          <w:szCs w:val="20"/>
          <w:b w:val="1"/>
          <w:bCs w:val="1"/>
          <w:color w:val="010000"/>
        </w:rPr>
      </w:pPr>
    </w:p>
    <w:p>
      <w:pPr>
        <w:jc w:val="both"/>
        <w:ind w:firstLine="332"/>
        <w:spacing w:after="0" w:line="263" w:lineRule="auto"/>
        <w:tabs>
          <w:tab w:leader="none" w:pos="648" w:val="left"/>
        </w:tabs>
        <w:numPr>
          <w:ilvl w:val="0"/>
          <w:numId w:val="11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General Obligations</w:t>
      </w:r>
      <w:r>
        <w:rPr>
          <w:rFonts w:ascii="Times New Roman" w:cs="Times New Roman" w:eastAsia="Times New Roman" w:hAnsi="Times New Roman"/>
          <w:sz w:val="20"/>
          <w:szCs w:val="20"/>
          <w:color w:val="auto"/>
        </w:rPr>
        <w:t>. As an employee, you will be expected to continue to adhere to the Company’s standards of professionalism,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loyalty, integrity, honesty, reliability and respect for all. You will also be expected to continue to comply with the Company’s policies and procedures. The Company is an equal opportunity employer.</w:t>
      </w:r>
    </w:p>
    <w:p>
      <w:pPr>
        <w:spacing w:after="0" w:line="161" w:lineRule="exact"/>
        <w:rPr>
          <w:rFonts w:ascii="Times New Roman" w:cs="Times New Roman" w:eastAsia="Times New Roman" w:hAnsi="Times New Roman"/>
          <w:sz w:val="20"/>
          <w:szCs w:val="20"/>
          <w:b w:val="1"/>
          <w:bCs w:val="1"/>
          <w:color w:val="010000"/>
        </w:rPr>
      </w:pPr>
    </w:p>
    <w:p>
      <w:pPr>
        <w:jc w:val="both"/>
        <w:ind w:firstLine="332"/>
        <w:spacing w:after="0" w:line="254" w:lineRule="auto"/>
        <w:tabs>
          <w:tab w:leader="none" w:pos="639" w:val="left"/>
        </w:tabs>
        <w:numPr>
          <w:ilvl w:val="0"/>
          <w:numId w:val="11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Your employment with the Company continues to be for no specific period of time. Your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will continue to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spacing w:after="0" w:line="172" w:lineRule="exact"/>
        <w:rPr>
          <w:rFonts w:ascii="Times New Roman" w:cs="Times New Roman" w:eastAsia="Times New Roman" w:hAnsi="Times New Roman"/>
          <w:sz w:val="20"/>
          <w:szCs w:val="20"/>
          <w:b w:val="1"/>
          <w:bCs w:val="1"/>
          <w:color w:val="010000"/>
        </w:rPr>
      </w:pPr>
    </w:p>
    <w:p>
      <w:pPr>
        <w:ind w:left="640" w:hanging="308"/>
        <w:spacing w:after="0"/>
        <w:tabs>
          <w:tab w:leader="none" w:pos="640" w:val="left"/>
        </w:tabs>
        <w:numPr>
          <w:ilvl w:val="0"/>
          <w:numId w:val="11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Withholdings</w:t>
      </w:r>
      <w:r>
        <w:rPr>
          <w:rFonts w:ascii="Times New Roman" w:cs="Times New Roman" w:eastAsia="Times New Roman" w:hAnsi="Times New Roman"/>
          <w:sz w:val="20"/>
          <w:szCs w:val="20"/>
          <w:color w:val="auto"/>
        </w:rPr>
        <w:t>. All forms of compensation paid to you as an employee of the Company shall be less all applicable withholdings.</w:t>
      </w:r>
    </w:p>
    <w:p>
      <w:pPr>
        <w:spacing w:after="0" w:line="233" w:lineRule="exact"/>
        <w:rPr>
          <w:rFonts w:ascii="Times New Roman" w:cs="Times New Roman" w:eastAsia="Times New Roman" w:hAnsi="Times New Roman"/>
          <w:sz w:val="20"/>
          <w:szCs w:val="20"/>
          <w:b w:val="1"/>
          <w:bCs w:val="1"/>
          <w:color w:val="010000"/>
        </w:rPr>
      </w:pPr>
    </w:p>
    <w:p>
      <w:pPr>
        <w:ind w:left="4620"/>
        <w:spacing w:after="0"/>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California, without regard to its conflict of laws provisions.</w:t>
      </w:r>
    </w:p>
    <w:p>
      <w:pPr>
        <w:spacing w:after="0" w:line="1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NEXTDOOR, INC.</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8496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84963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Nirav Tolia</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Executive Chair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Sophia Contreras Schwartz</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Sophia Contreras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6433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164338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639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6390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Amended and Restated Offer Letter]</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1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Change in Control and Severance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between Sophia Schwartz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Nextdoor, Inc., a Delaware corporation (together with its parent, Nextdoor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effective as of May 8, 2024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Term of Agreement.</w:t>
      </w:r>
    </w:p>
    <w:p>
      <w:pPr>
        <w:spacing w:after="0" w:line="22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This Agreement shall terminate the earlier of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anniversary of the Effective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or the date the Executive’s employment with the Company terminates for a reason other than a Qualifying Termination or CIC Qualifying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a definitive agreement relating to a Change in Control has been signed by the Company on or before the Expiration Date, then this Agreement shall remain in effect through the earlier of:</w:t>
      </w:r>
    </w:p>
    <w:p>
      <w:pPr>
        <w:spacing w:after="0" w:line="199"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date the Executive’s employment with the Company terminates for a reason other than a Qualifying Termination or CIC Qualifying</w:t>
      </w:r>
    </w:p>
    <w:p>
      <w:pPr>
        <w:spacing w:after="0" w:line="27" w:lineRule="exact"/>
        <w:rPr>
          <w:rFonts w:ascii="Times New Roman" w:cs="Times New Roman" w:eastAsia="Times New Roman" w:hAnsi="Times New Roman"/>
          <w:sz w:val="18"/>
          <w:szCs w:val="18"/>
          <w:b w:val="1"/>
          <w:bCs w:val="1"/>
          <w:color w:val="010000"/>
        </w:rPr>
      </w:pPr>
    </w:p>
    <w:p>
      <w:pPr>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Termination, or</w:t>
      </w:r>
    </w:p>
    <w:p>
      <w:pPr>
        <w:spacing w:after="0" w:line="206" w:lineRule="exact"/>
        <w:rPr>
          <w:rFonts w:ascii="Times New Roman" w:cs="Times New Roman" w:eastAsia="Times New Roman" w:hAnsi="Times New Roman"/>
          <w:sz w:val="18"/>
          <w:szCs w:val="18"/>
          <w:b w:val="1"/>
          <w:bCs w:val="1"/>
          <w:color w:val="010000"/>
        </w:rPr>
      </w:pPr>
    </w:p>
    <w:p>
      <w:pPr>
        <w:ind w:firstLine="656"/>
        <w:spacing w:after="0" w:line="282" w:lineRule="auto"/>
        <w:tabs>
          <w:tab w:leader="none" w:pos="1286" w:val="left"/>
        </w:tabs>
        <w:numPr>
          <w:ilvl w:val="0"/>
          <w:numId w:val="12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shall renew automatically and continue in effect for three (3) year periods measured from the initial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76" w:lineRule="exact"/>
        <w:rPr>
          <w:sz w:val="20"/>
          <w:szCs w:val="20"/>
          <w:color w:val="auto"/>
        </w:rPr>
      </w:pPr>
    </w:p>
    <w:p>
      <w:pPr>
        <w:ind w:right="300" w:firstLine="8"/>
        <w:spacing w:after="0" w:line="286" w:lineRule="auto"/>
        <w:tabs>
          <w:tab w:leader="none" w:pos="648" w:val="left"/>
        </w:tabs>
        <w:numPr>
          <w:ilvl w:val="0"/>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Qualifying Termination. </w:t>
      </w:r>
      <w:r>
        <w:rPr>
          <w:rFonts w:ascii="Times New Roman" w:cs="Times New Roman" w:eastAsia="Times New Roman" w:hAnsi="Times New Roman"/>
          <w:sz w:val="18"/>
          <w:szCs w:val="18"/>
          <w:color w:val="auto"/>
        </w:rPr>
        <w:t>If the Executive is subject to a Qualifying Termination, then, subject to Sections 4, 8, and 9 below, Executive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the following benefits:</w:t>
      </w:r>
    </w:p>
    <w:p>
      <w:pPr>
        <w:spacing w:after="0" w:line="154" w:lineRule="exact"/>
        <w:rPr>
          <w:rFonts w:ascii="Times New Roman" w:cs="Times New Roman" w:eastAsia="Times New Roman" w:hAnsi="Times New Roman"/>
          <w:sz w:val="18"/>
          <w:szCs w:val="18"/>
          <w:color w:val="010000"/>
        </w:rPr>
      </w:pPr>
    </w:p>
    <w:p>
      <w:pPr>
        <w:jc w:val="both"/>
        <w:ind w:right="20" w:firstLine="656"/>
        <w:spacing w:after="0" w:line="264" w:lineRule="auto"/>
        <w:tabs>
          <w:tab w:leader="none" w:pos="1290" w:val="left"/>
        </w:tabs>
        <w:numPr>
          <w:ilvl w:val="1"/>
          <w:numId w:val="12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Severance Benefits. </w:t>
      </w:r>
      <w:r>
        <w:rPr>
          <w:rFonts w:ascii="Times New Roman" w:cs="Times New Roman" w:eastAsia="Times New Roman" w:hAnsi="Times New Roman"/>
          <w:sz w:val="18"/>
          <w:szCs w:val="18"/>
          <w:color w:val="auto"/>
        </w:rPr>
        <w:t>The Company shall pay the Executive six (6) months of his/her monthly base salary (at the rate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Separation,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Release Conditions have been satisfied.</w:t>
      </w:r>
    </w:p>
    <w:p>
      <w:pPr>
        <w:spacing w:after="0" w:line="106" w:lineRule="exact"/>
        <w:rPr>
          <w:rFonts w:ascii="Times New Roman" w:cs="Times New Roman" w:eastAsia="Times New Roman" w:hAnsi="Times New Roman"/>
          <w:sz w:val="18"/>
          <w:szCs w:val="18"/>
          <w:b w:val="1"/>
          <w:bCs w:val="1"/>
          <w:color w:val="010000"/>
        </w:rPr>
      </w:pPr>
    </w:p>
    <w:p>
      <w:pPr>
        <w:jc w:val="both"/>
        <w:ind w:firstLine="656"/>
        <w:spacing w:after="0" w:line="255" w:lineRule="auto"/>
        <w:tabs>
          <w:tab w:leader="none" w:pos="1286" w:val="left"/>
        </w:tabs>
        <w:numPr>
          <w:ilvl w:val="1"/>
          <w:numId w:val="12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Continued Employee Benefits. </w:t>
      </w:r>
      <w:r>
        <w:rPr>
          <w:rFonts w:ascii="Times New Roman" w:cs="Times New Roman" w:eastAsia="Times New Roman" w:hAnsi="Times New Roman"/>
          <w:sz w:val="18"/>
          <w:szCs w:val="18"/>
          <w:color w:val="auto"/>
        </w:rPr>
        <w:t>If Executive timely elects continued coverage under the Consolidated Omnibus Budget Reconciliation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xml:space="preserve">”), the Company shall pay the full amount of Executive’s COBRA premiums on behalf of the Executive for the Executive’s continued coverage under the Company’s health, dental and vision plans, including coverage for the Executive’s eligible dependents, for a period of six (6) months following the Executive’s Separation or, if earlier, until Executive is eligible to be covered under another substantially equivalent medical insurance plan by a subsequent employer. Notwithstanding the foregoing, the Company may elect to provide Executive, in lieu of any portion of such continued coverage, taxable installment payments equal in amount to the applicable premiums in effect as of Executive’s Separation for the remainder of the COBRA continuation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Executive shall have no right to an additional gross-up payment to account for the fact that such COBRA premium amounts are paid on an after-tax basis.</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8"/>
        <w:spacing w:after="0" w:line="286" w:lineRule="auto"/>
        <w:tabs>
          <w:tab w:leader="none" w:pos="648"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CIC Qualifying Termination. </w:t>
      </w:r>
      <w:r>
        <w:rPr>
          <w:rFonts w:ascii="Times New Roman" w:cs="Times New Roman" w:eastAsia="Times New Roman" w:hAnsi="Times New Roman"/>
          <w:sz w:val="18"/>
          <w:szCs w:val="18"/>
          <w:color w:val="auto"/>
        </w:rPr>
        <w:t>If the Executive is subject to a CIC Qualifying Termination, then, subject to Sections 4, 8, and 9 below,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entitled to the following benefits:</w:t>
      </w:r>
    </w:p>
    <w:p>
      <w:pPr>
        <w:spacing w:after="0" w:line="154" w:lineRule="exact"/>
        <w:rPr>
          <w:rFonts w:ascii="Times New Roman" w:cs="Times New Roman" w:eastAsia="Times New Roman" w:hAnsi="Times New Roman"/>
          <w:sz w:val="18"/>
          <w:szCs w:val="18"/>
          <w:color w:val="010000"/>
        </w:rPr>
      </w:pPr>
    </w:p>
    <w:p>
      <w:pPr>
        <w:jc w:val="both"/>
        <w:ind w:firstLine="656"/>
        <w:spacing w:after="0" w:line="245" w:lineRule="auto"/>
        <w:tabs>
          <w:tab w:leader="none" w:pos="1290" w:val="left"/>
        </w:tabs>
        <w:numPr>
          <w:ilvl w:val="1"/>
          <w:numId w:val="12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Severance Payments. </w:t>
      </w:r>
      <w:r>
        <w:rPr>
          <w:rFonts w:ascii="Times New Roman" w:cs="Times New Roman" w:eastAsia="Times New Roman" w:hAnsi="Times New Roman"/>
          <w:sz w:val="18"/>
          <w:szCs w:val="18"/>
          <w:color w:val="auto"/>
        </w:rPr>
        <w:t>The Company or its successor shall pay the Executive twelve (12) months of his/her monthly base salary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equal to his/her annual target bonus at 100% achievement of target, in each case, at the rate in effect immediately prior to the actions that resulted in the Separation. Such payment shall be paid in a cash lump sum in accordance with the Company’s standard payroll procedures, which payment will be made no later than the first regular payroll date occurring after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Separation,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Release Conditions have been satisfied. For the avoidance of doubt, in the event that a Change in Control occurs within three (3) months following a Qualifying Termination, then, provided that such Qualifying Termination followed a Potential Change in Control, then in addition to any prior payments under Section 2(a), Executive shall receive an additional payment in order to provide the benefits described in this Section 3(a).</w:t>
      </w:r>
    </w:p>
    <w:p>
      <w:pPr>
        <w:spacing w:after="0" w:line="190" w:lineRule="exact"/>
        <w:rPr>
          <w:rFonts w:ascii="Times New Roman" w:cs="Times New Roman" w:eastAsia="Times New Roman" w:hAnsi="Times New Roman"/>
          <w:sz w:val="18"/>
          <w:szCs w:val="18"/>
          <w:b w:val="1"/>
          <w:bCs w:val="1"/>
          <w:color w:val="010000"/>
        </w:rPr>
      </w:pPr>
    </w:p>
    <w:p>
      <w:pPr>
        <w:jc w:val="both"/>
        <w:ind w:firstLine="656"/>
        <w:spacing w:after="0" w:line="255" w:lineRule="auto"/>
        <w:tabs>
          <w:tab w:leader="none" w:pos="1286" w:val="left"/>
        </w:tabs>
        <w:numPr>
          <w:ilvl w:val="1"/>
          <w:numId w:val="12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Equity. </w:t>
      </w:r>
      <w:r>
        <w:rPr>
          <w:rFonts w:ascii="Times New Roman" w:cs="Times New Roman" w:eastAsia="Times New Roman" w:hAnsi="Times New Roman"/>
          <w:sz w:val="18"/>
          <w:szCs w:val="18"/>
          <w:color w:val="auto"/>
        </w:rPr>
        <w:t>Each of Executive’s then outstanding Equity Awards, other than awards that vest on the satisfaction of performance criteria,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accelerate and become vested and exercisable as to 100% of the total shares underlying such Equity Awards. As to outstanding Equity Awards that would vest only upon satisfaction of performance criteria, such awards shall accelerate and become vested and exercisable as if such awards had been achieved at the greater of (x) actual achievement (if measurable on the date of Executive’s Separation) or (y) target levels; provided, however, that the Company may specify, in any individual Equity Award agreement, that the acceleration provisions of such award agreement shall specifically overwrite the acceleration provisions set forth herein. Subject to Section 4, the accelerated vesting described above shall be effective as of the Separation. For the avoidance of doubt, in order to give effect to the acceleration contemplated by this Section 3(b), each of Executive’s outstanding Equity Awards shall remain outstanding and eligible for the vesting acceleration contemplated by this Section 3(b) for a period of three (3) months following a Qualifying Termination.</w:t>
      </w:r>
    </w:p>
    <w:p>
      <w:pPr>
        <w:spacing w:after="0" w:line="184"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93" w:val="left"/>
        </w:tabs>
        <w:numPr>
          <w:ilvl w:val="1"/>
          <w:numId w:val="12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COBRA; Pay in Lieu of Continued Employee Benefits. </w:t>
      </w:r>
      <w:r>
        <w:rPr>
          <w:rFonts w:ascii="Times New Roman" w:cs="Times New Roman" w:eastAsia="Times New Roman" w:hAnsi="Times New Roman"/>
          <w:sz w:val="18"/>
          <w:szCs w:val="18"/>
          <w:color w:val="auto"/>
        </w:rPr>
        <w:t>Continuation of COBRA or a cash benefit, in both cases on the same terms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2(b) above, for a period of twelve (12) months following the Executive’s Separation or, if earlier, until Executive is eligible to be covered under another substantially equivalent medical insurance plan by a subsequent employer.</w:t>
      </w:r>
    </w:p>
    <w:p>
      <w:pPr>
        <w:spacing w:after="0" w:line="170" w:lineRule="exact"/>
        <w:rPr>
          <w:rFonts w:ascii="Times New Roman" w:cs="Times New Roman" w:eastAsia="Times New Roman" w:hAnsi="Times New Roman"/>
          <w:sz w:val="18"/>
          <w:szCs w:val="18"/>
          <w:b w:val="1"/>
          <w:bCs w:val="1"/>
          <w:color w:val="010000"/>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General Release. </w:t>
      </w:r>
      <w:r>
        <w:rPr>
          <w:rFonts w:ascii="Times New Roman" w:cs="Times New Roman" w:eastAsia="Times New Roman" w:hAnsi="Times New Roman"/>
          <w:sz w:val="18"/>
          <w:szCs w:val="18"/>
          <w:color w:val="auto"/>
        </w:rPr>
        <w:t>Any other provision of this Agreement notwithstanding, the benefits under Section 2 and 3 shall not apply unless the Executive</w:t>
      </w:r>
    </w:p>
    <w:p>
      <w:pPr>
        <w:spacing w:after="0" w:line="31" w:lineRule="exact"/>
        <w:rPr>
          <w:rFonts w:ascii="Times New Roman" w:cs="Times New Roman" w:eastAsia="Times New Roman" w:hAnsi="Times New Roman"/>
          <w:sz w:val="18"/>
          <w:szCs w:val="18"/>
          <w:b w:val="1"/>
          <w:bCs w:val="1"/>
          <w:color w:val="010000"/>
        </w:rPr>
      </w:pPr>
    </w:p>
    <w:p>
      <w:pPr>
        <w:jc w:val="both"/>
        <w:spacing w:after="0" w:line="253" w:lineRule="auto"/>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The Company will deliver the form of Release to the Executive within thirty (30) days after the Executive’s Separation. The Executive must execute and return the Release within the time period specified in the form and in any event no later than sixty (60) days following the date of Executive’s Separation.</w:t>
      </w:r>
    </w:p>
    <w:p>
      <w:pPr>
        <w:spacing w:after="0" w:line="182" w:lineRule="exact"/>
        <w:rPr>
          <w:rFonts w:ascii="Times New Roman" w:cs="Times New Roman" w:eastAsia="Times New Roman" w:hAnsi="Times New Roman"/>
          <w:sz w:val="18"/>
          <w:szCs w:val="18"/>
          <w:b w:val="1"/>
          <w:bCs w:val="1"/>
          <w:color w:val="010000"/>
        </w:rPr>
      </w:pPr>
    </w:p>
    <w:p>
      <w:pPr>
        <w:jc w:val="both"/>
        <w:ind w:firstLine="8"/>
        <w:spacing w:after="0" w:line="254" w:lineRule="auto"/>
        <w:tabs>
          <w:tab w:leader="none" w:pos="648"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Accrued Compensation and Benefits. </w:t>
      </w:r>
      <w:r>
        <w:rPr>
          <w:rFonts w:ascii="Times New Roman" w:cs="Times New Roman" w:eastAsia="Times New Roman" w:hAnsi="Times New Roman"/>
          <w:sz w:val="18"/>
          <w:szCs w:val="18"/>
          <w:color w:val="auto"/>
        </w:rPr>
        <w:t>Notwithstanding anything to the contrary in Sections 2 and 3 above, in connection with any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Times New Roman" w:cs="Times New Roman" w:eastAsia="Times New Roman" w:hAnsi="Times New Roman"/>
          <w:sz w:val="18"/>
          <w:szCs w:val="18"/>
          <w:b w:val="1"/>
          <w:bCs w:val="1"/>
          <w:color w:val="auto"/>
        </w:rPr>
        <w:t>Accrued Compensation and Expenses</w:t>
      </w:r>
      <w:r>
        <w:rPr>
          <w:rFonts w:ascii="Times New Roman" w:cs="Times New Roman" w:eastAsia="Times New Roman" w:hAnsi="Times New Roman"/>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Times New Roman" w:cs="Times New Roman" w:eastAsia="Times New Roman" w:hAnsi="Times New Roman"/>
          <w:sz w:val="18"/>
          <w:szCs w:val="18"/>
          <w:b w:val="1"/>
          <w:bCs w:val="1"/>
          <w:color w:val="auto"/>
        </w:rPr>
        <w:t>Accrued Benefits</w:t>
      </w:r>
      <w:r>
        <w:rPr>
          <w:rFonts w:ascii="Times New Roman" w:cs="Times New Roman" w:eastAsia="Times New Roman" w:hAnsi="Times New Roman"/>
          <w:sz w:val="18"/>
          <w:szCs w:val="18"/>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Executive in which the termination occurs. Any Accrued Benefits to which the Executive is entitled shall be paid to the Executive as provided in the relevant plans and arrangements.</w:t>
      </w:r>
    </w:p>
    <w:p>
      <w:pPr>
        <w:spacing w:after="0" w:line="158"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any of the following events, as reasonably determined by the Company:</w:t>
      </w:r>
    </w:p>
    <w:p>
      <w:pPr>
        <w:spacing w:after="0" w:line="229"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1938" w:val="left"/>
        </w:tabs>
        <w:numPr>
          <w:ilvl w:val="2"/>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willful and material violation by Executive of any law or regulation applicable to the business of the Company or a parent or subsidiary of the Company;</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34" w:val="left"/>
        </w:tabs>
        <w:numPr>
          <w:ilvl w:val="2"/>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conviction for, or guilty plea to, a felony or a crime involving moral turpitude or any willful perpetration by Executive of a common law fraud;</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2"/>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commission of an act of personal dishonesty which involves personal profit in connection with the Company or any other entity having a business relationship with the Company;</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34" w:val="left"/>
        </w:tabs>
        <w:numPr>
          <w:ilvl w:val="2"/>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breach by Executive of any provision of any agreement or understanding between the Company or any parent or subsidiary of the Company and Executive regarding the terms of Executive’s service as an employee to the Company or a parent or subsidiary of the Company, or any breach of any applicable invention assignment and confidentiality agreement or similar agreement between Executive and the Company;</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1938" w:val="left"/>
        </w:tabs>
        <w:numPr>
          <w:ilvl w:val="2"/>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disregard of the policies or regulations of the Company or any parent or subsidiary of the Company so as to cause material loss, damage or injury to the property, reputation or employees of the Company or a parent or subsidiary of the Company;</w:t>
      </w:r>
    </w:p>
    <w:p>
      <w:pPr>
        <w:spacing w:after="0" w:line="161" w:lineRule="exact"/>
        <w:rPr>
          <w:rFonts w:ascii="Times New Roman" w:cs="Times New Roman" w:eastAsia="Times New Roman" w:hAnsi="Times New Roman"/>
          <w:sz w:val="18"/>
          <w:szCs w:val="18"/>
          <w:color w:val="010000"/>
        </w:rPr>
      </w:pPr>
    </w:p>
    <w:p>
      <w:pPr>
        <w:ind w:right="20" w:firstLine="1304"/>
        <w:spacing w:after="0" w:line="282" w:lineRule="auto"/>
        <w:tabs>
          <w:tab w:leader="none" w:pos="1934" w:val="left"/>
        </w:tabs>
        <w:numPr>
          <w:ilvl w:val="2"/>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failure to cooperate in good faith with a governmental or internal investigation of the Company or its directors, officers or employees, if the Company has requested Executive’s assistance; or</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3" w:val="left"/>
        </w:tabs>
        <w:numPr>
          <w:ilvl w:val="2"/>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willful and continuing failure to perform assigned duties after receiving written notification of the failure from the Company’s Chief Executive Officer.</w:t>
      </w:r>
    </w:p>
    <w:p>
      <w:pPr>
        <w:spacing w:after="0" w:line="161" w:lineRule="exact"/>
        <w:rPr>
          <w:rFonts w:ascii="Times New Roman" w:cs="Times New Roman" w:eastAsia="Times New Roman" w:hAnsi="Times New Roman"/>
          <w:sz w:val="18"/>
          <w:szCs w:val="18"/>
          <w:color w:val="010000"/>
        </w:rPr>
      </w:pPr>
    </w:p>
    <w:p>
      <w:pPr>
        <w:jc w:val="both"/>
        <w:ind w:left="1300" w:right="20" w:hanging="644"/>
        <w:spacing w:after="0" w:line="282" w:lineRule="auto"/>
        <w:tabs>
          <w:tab w:leader="none" w:pos="129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provide Executive with a written notice of the basis for a finding of Cause once known. Upon receiving such notice, Executive shall have a period of thirty (30) days to cure such Cause (if a cure is possible) to the satisfaction of the Company.</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86" w:val="left"/>
        </w:tabs>
        <w:numPr>
          <w:ilvl w:val="1"/>
          <w:numId w:val="1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For all purposes under this Agreement, a Change in Control shall mean a “Corporate Transaction,” as such term is defined in the Plan,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transaction (including any series of transactions) also qualifies as a change in control event under U.S. Treasury Regulation 1.409A-3(i)(5)(v) or (vii).</w:t>
      </w:r>
    </w:p>
    <w:p>
      <w:pPr>
        <w:spacing w:after="0" w:line="170"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“CIC Qualifying Termination” </w:t>
      </w:r>
      <w:r>
        <w:rPr>
          <w:rFonts w:ascii="Times New Roman" w:cs="Times New Roman" w:eastAsia="Times New Roman" w:hAnsi="Times New Roman"/>
          <w:sz w:val="18"/>
          <w:szCs w:val="18"/>
          <w:color w:val="auto"/>
        </w:rPr>
        <w:t>means a Separation (A) within twelve (12) months following a Change in Control or (B) within three</w:t>
      </w:r>
    </w:p>
    <w:p>
      <w:pPr>
        <w:spacing w:after="0" w:line="31" w:lineRule="exact"/>
        <w:rPr>
          <w:rFonts w:ascii="Times New Roman" w:cs="Times New Roman" w:eastAsia="Times New Roman" w:hAnsi="Times New Roman"/>
          <w:sz w:val="18"/>
          <w:szCs w:val="18"/>
          <w:b w:val="1"/>
          <w:bCs w:val="1"/>
          <w:color w:val="010000"/>
        </w:rPr>
      </w:pPr>
    </w:p>
    <w:p>
      <w:pPr>
        <w:jc w:val="both"/>
        <w:spacing w:after="0" w:line="252" w:lineRule="auto"/>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(3) months preceding a Change in Control (but as to part (B), only if the Separation occurs after a Potential Change in Control) resulting, in either case (A) or (B), from (i) the Company terminating the Executive’s employment for any reason other than Cause or (ii) the Executive voluntarily resigning his or her employment for Good Reason. A termination or resignation due to the Executive’s death or disability shall not constitute a CIC Qualifying Termination. A “</w:t>
      </w:r>
      <w:r>
        <w:rPr>
          <w:rFonts w:ascii="Times New Roman" w:cs="Times New Roman" w:eastAsia="Times New Roman" w:hAnsi="Times New Roman"/>
          <w:sz w:val="18"/>
          <w:szCs w:val="18"/>
          <w:b w:val="1"/>
          <w:bCs w:val="1"/>
          <w:color w:val="auto"/>
        </w:rPr>
        <w:t>Potential Change in Control</w:t>
      </w:r>
      <w:r>
        <w:rPr>
          <w:rFonts w:ascii="Times New Roman" w:cs="Times New Roman" w:eastAsia="Times New Roman" w:hAnsi="Times New Roman"/>
          <w:sz w:val="18"/>
          <w:szCs w:val="18"/>
          <w:color w:val="auto"/>
        </w:rPr>
        <w:t>” means the date of execution of a legally binding and definitive agreement for a corporate transaction which, if consummated, would constitute the applicable Change in Control (which for the avoidance of doubt, would include a merger agreement, but not a term sheet for a merger agreement). In the case of a termination following a Potential Change in Control and before a</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Change in Control, solely for purposes of benefits under this Agreement, the date of Separation will be deemed the date the Change in Control is consummated.</w:t>
      </w:r>
    </w:p>
    <w:p>
      <w:pPr>
        <w:spacing w:after="0" w:line="158" w:lineRule="exact"/>
        <w:rPr>
          <w:sz w:val="20"/>
          <w:szCs w:val="20"/>
          <w:color w:val="auto"/>
        </w:rPr>
      </w:pPr>
    </w:p>
    <w:p>
      <w:pPr>
        <w:ind w:firstLine="656"/>
        <w:spacing w:after="0" w:line="286" w:lineRule="auto"/>
        <w:tabs>
          <w:tab w:leader="none" w:pos="1287" w:val="left"/>
        </w:tabs>
        <w:numPr>
          <w:ilvl w:val="1"/>
          <w:numId w:val="1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means all options to purchase shares of common stock of Nextdoor Holdings, Inc., as well as all other stock-based awards granted to the Executive, including, but not limited to, stock bonus awards, restricted stock, restricted stock units and stock appreciation rights.</w:t>
      </w:r>
    </w:p>
    <w:p>
      <w:pPr>
        <w:spacing w:after="0" w:line="154" w:lineRule="exact"/>
        <w:rPr>
          <w:rFonts w:ascii="Times New Roman" w:cs="Times New Roman" w:eastAsia="Times New Roman" w:hAnsi="Times New Roman"/>
          <w:sz w:val="18"/>
          <w:szCs w:val="18"/>
          <w:b w:val="1"/>
          <w:bCs w:val="1"/>
          <w:color w:val="010000"/>
        </w:rPr>
      </w:pPr>
    </w:p>
    <w:p>
      <w:pPr>
        <w:jc w:val="both"/>
        <w:ind w:firstLine="656"/>
        <w:spacing w:after="0" w:line="253" w:lineRule="auto"/>
        <w:tabs>
          <w:tab w:leader="none" w:pos="1290" w:val="left"/>
        </w:tabs>
        <w:numPr>
          <w:ilvl w:val="1"/>
          <w:numId w:val="1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without the Executive’s written consent and provided (a) the Company receives, within thirty (30) days following the occurrence of any of the events set forth in clauses (i) through (iii) below, written notice from Executive indicating the specific basis for Executive’s belief that Executive is entitled to terminate employment for Good Reason, (b) the Company fails to cure the event constituting Good Reason within thirty (30) days after receipt of such written notice thereof, and (c) Executive terminates employment within ten (10) days following expiration of such cure period or receipt from the Company of notice that it will not seek to cure: (i) a material decrease in Executive’s annual base compensation, other than in connection with a general decrease applied to similarly-ranked executives of the Company; (ii) if Executive has a principal workplace (as set forth in Executive’s offer letter or employment agreement, or as otherwise subsequently agreed by the Company and Executive) (the “</w:t>
      </w:r>
      <w:r>
        <w:rPr>
          <w:rFonts w:ascii="Times New Roman" w:cs="Times New Roman" w:eastAsia="Times New Roman" w:hAnsi="Times New Roman"/>
          <w:sz w:val="18"/>
          <w:szCs w:val="18"/>
          <w:b w:val="1"/>
          <w:bCs w:val="1"/>
          <w:i w:val="1"/>
          <w:iCs w:val="1"/>
          <w:color w:val="auto"/>
        </w:rPr>
        <w:t>Principal Location</w:t>
      </w:r>
      <w:r>
        <w:rPr>
          <w:rFonts w:ascii="Times New Roman" w:cs="Times New Roman" w:eastAsia="Times New Roman" w:hAnsi="Times New Roman"/>
          <w:sz w:val="18"/>
          <w:szCs w:val="18"/>
          <w:color w:val="auto"/>
        </w:rPr>
        <w:t>”), receipt of notice that Executive’s principal workplace will be relocated more than twenty-five (25) miles from the Principal Location; or (iii) a material diminution in Executive’s authority, duties, or responsibilities (provided, however, that having a similar position, authority, duties or responsibilities after a Change in Control with respect to a division or line of business, rather than a substantially comparable position, authority, reporting structure, duties or responsibilities with respect to the Company’s successor or acquiror, as a whole, shall not alone be considered such a diminution and that a mere change in title, a change in the person or office to which you report shall not constitute “Good Reason”).</w:t>
      </w:r>
    </w:p>
    <w:p>
      <w:pPr>
        <w:spacing w:after="0" w:line="189"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1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Nextdoor Holdings, Inc. 2021 Equity Incentive Plan, as may be amended from time to time.</w:t>
      </w:r>
    </w:p>
    <w:p>
      <w:pPr>
        <w:spacing w:after="0" w:line="225" w:lineRule="exact"/>
        <w:rPr>
          <w:rFonts w:ascii="Times New Roman" w:cs="Times New Roman" w:eastAsia="Times New Roman" w:hAnsi="Times New Roman"/>
          <w:sz w:val="18"/>
          <w:szCs w:val="18"/>
          <w:b w:val="1"/>
          <w:bCs w:val="1"/>
          <w:color w:val="010000"/>
        </w:rPr>
      </w:pPr>
    </w:p>
    <w:p>
      <w:pPr>
        <w:ind w:firstLine="656"/>
        <w:spacing w:after="0" w:line="286" w:lineRule="auto"/>
        <w:tabs>
          <w:tab w:leader="none" w:pos="1290" w:val="left"/>
        </w:tabs>
        <w:numPr>
          <w:ilvl w:val="1"/>
          <w:numId w:val="1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154"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87" w:val="left"/>
        </w:tabs>
        <w:numPr>
          <w:ilvl w:val="1"/>
          <w:numId w:val="1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a Separation that is not a CIC Qualifying Termination, but which results from (i) the Company terminating the Executive’s employment for any reason other than Cause or (ii) the Executive voluntarily resigning his or her employment for Good Reason. A termination or resignation due to the Executive’s death or disability shall not constitute a Qualifying Termination.</w:t>
      </w:r>
    </w:p>
    <w:p>
      <w:pPr>
        <w:spacing w:after="0" w:line="170"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1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a “separation from service,” as defined in the regulations under Section 409A of the Code.</w:t>
      </w:r>
    </w:p>
    <w:p>
      <w:pPr>
        <w:spacing w:after="0" w:line="225" w:lineRule="exact"/>
        <w:rPr>
          <w:rFonts w:ascii="Times New Roman" w:cs="Times New Roman" w:eastAsia="Times New Roman" w:hAnsi="Times New Roman"/>
          <w:sz w:val="18"/>
          <w:szCs w:val="18"/>
          <w:b w:val="1"/>
          <w:bCs w:val="1"/>
          <w:color w:val="010000"/>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Successors.</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59" w:lineRule="auto"/>
        <w:tabs>
          <w:tab w:leader="none" w:pos="1290" w:val="left"/>
        </w:tabs>
        <w:numPr>
          <w:ilvl w:val="1"/>
          <w:numId w:val="12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Company’s Successors. </w:t>
      </w:r>
      <w:r>
        <w:rPr>
          <w:rFonts w:ascii="Times New Roman" w:cs="Times New Roman" w:eastAsia="Times New Roman" w:hAnsi="Times New Roman"/>
          <w:sz w:val="18"/>
          <w:szCs w:val="18"/>
          <w:color w:val="auto"/>
        </w:rPr>
        <w:t>The Company shall require any successor (whether direct or indirect and whether by purchase, lease,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79" w:lineRule="exact"/>
        <w:rPr>
          <w:rFonts w:ascii="Times New Roman" w:cs="Times New Roman" w:eastAsia="Times New Roman" w:hAnsi="Times New Roman"/>
          <w:sz w:val="18"/>
          <w:szCs w:val="18"/>
          <w:b w:val="1"/>
          <w:bCs w:val="1"/>
          <w:color w:val="010000"/>
        </w:rPr>
      </w:pPr>
    </w:p>
    <w:p>
      <w:pPr>
        <w:ind w:firstLine="656"/>
        <w:spacing w:after="0" w:line="286" w:lineRule="auto"/>
        <w:tabs>
          <w:tab w:leader="none" w:pos="1286" w:val="left"/>
        </w:tabs>
        <w:numPr>
          <w:ilvl w:val="1"/>
          <w:numId w:val="12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Executive’s Successors. </w:t>
      </w:r>
      <w:r>
        <w:rPr>
          <w:rFonts w:ascii="Times New Roman" w:cs="Times New Roman" w:eastAsia="Times New Roman" w:hAnsi="Times New Roman"/>
          <w:sz w:val="18"/>
          <w:szCs w:val="18"/>
          <w:color w:val="auto"/>
        </w:rPr>
        <w:t>This Agreement and all rights of the Executive hereunder shall inure to the benefit of, and be enforceable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personal or legal representatives, executors, administrators, successors, heirs, distributees, devisees and legatees.</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Golden Parachute Taxes.</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52" w:lineRule="auto"/>
        <w:tabs>
          <w:tab w:leader="none" w:pos="1290" w:val="left"/>
        </w:tabs>
        <w:numPr>
          <w:ilvl w:val="1"/>
          <w:numId w:val="12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Best After-Tax Result. </w:t>
      </w:r>
      <w:r>
        <w:rPr>
          <w:rFonts w:ascii="Times New Roman" w:cs="Times New Roman" w:eastAsia="Times New Roman" w:hAnsi="Times New Roman"/>
          <w:sz w:val="18"/>
          <w:szCs w:val="18"/>
          <w:color w:val="auto"/>
        </w:rPr>
        <w:t>In the event that any payment or benefit received or to be received by Executive pursuant to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subject to the provisions of this 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Times New Roman" w:cs="Times New Roman" w:eastAsia="Times New Roman" w:hAnsi="Times New Roman"/>
          <w:sz w:val="18"/>
          <w:szCs w:val="18"/>
          <w:b w:val="1"/>
          <w:bCs w:val="1"/>
          <w:color w:val="auto"/>
        </w:rPr>
        <w:t>Reduced Amount</w:t>
      </w:r>
      <w:r>
        <w:rPr>
          <w:rFonts w:ascii="Times New Roman" w:cs="Times New Roman" w:eastAsia="Times New Roman" w:hAnsi="Times New Roman"/>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Times New Roman" w:cs="Times New Roman" w:eastAsia="Times New Roman" w:hAnsi="Times New Roman"/>
          <w:sz w:val="18"/>
          <w:szCs w:val="18"/>
          <w:b w:val="1"/>
          <w:bCs w:val="1"/>
          <w:color w:val="auto"/>
        </w:rPr>
        <w:t>Independent Tax Counsel</w:t>
      </w:r>
      <w:r>
        <w:rPr>
          <w:rFonts w:ascii="Times New Roman" w:cs="Times New Roman" w:eastAsia="Times New Roman" w:hAnsi="Times New Roman"/>
          <w:sz w:val="18"/>
          <w:szCs w:val="18"/>
          <w:color w:val="auto"/>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determines that any Payment is subject to the Excise Tax, then Section 8(b) hereof shall apply, and the enforcement of Section 8(b) shall be the exclusive remedy to the Company.</w:t>
      </w:r>
    </w:p>
    <w:p>
      <w:pPr>
        <w:spacing w:after="0" w:line="185" w:lineRule="exact"/>
        <w:rPr>
          <w:rFonts w:ascii="Times New Roman" w:cs="Times New Roman" w:eastAsia="Times New Roman" w:hAnsi="Times New Roman"/>
          <w:sz w:val="18"/>
          <w:szCs w:val="18"/>
          <w:b w:val="1"/>
          <w:bCs w:val="1"/>
          <w:color w:val="010000"/>
        </w:rPr>
      </w:pPr>
    </w:p>
    <w:p>
      <w:pPr>
        <w:jc w:val="both"/>
        <w:ind w:firstLine="656"/>
        <w:spacing w:after="0" w:line="254" w:lineRule="auto"/>
        <w:tabs>
          <w:tab w:leader="none" w:pos="1286" w:val="left"/>
        </w:tabs>
        <w:numPr>
          <w:ilvl w:val="1"/>
          <w:numId w:val="12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18"/>
          <w:szCs w:val="18"/>
          <w:color w:val="auto"/>
        </w:rPr>
        <w:t>If, notwithstanding any reduction described in Section 8(a) hereof (or in the absence of any such reduction), the 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Times New Roman" w:cs="Times New Roman" w:eastAsia="Times New Roman" w:hAnsi="Times New Roman"/>
          <w:sz w:val="18"/>
          <w:szCs w:val="18"/>
          <w:b w:val="1"/>
          <w:bCs w:val="1"/>
          <w:color w:val="auto"/>
        </w:rPr>
        <w:t>Repayment Amount</w:t>
      </w:r>
      <w:r>
        <w:rPr>
          <w:rFonts w:ascii="Times New Roman" w:cs="Times New Roman" w:eastAsia="Times New Roman" w:hAnsi="Times New Roman"/>
          <w:sz w:val="18"/>
          <w:szCs w:val="18"/>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w:t>
      </w:r>
    </w:p>
    <w:p>
      <w:pPr>
        <w:spacing w:after="0" w:line="3" w:lineRule="exact"/>
        <w:rPr>
          <w:rFonts w:ascii="Times New Roman" w:cs="Times New Roman" w:eastAsia="Times New Roman" w:hAnsi="Times New Roman"/>
          <w:sz w:val="18"/>
          <w:szCs w:val="18"/>
          <w:b w:val="1"/>
          <w:bCs w:val="1"/>
          <w:color w:val="010000"/>
        </w:rPr>
      </w:pPr>
    </w:p>
    <w:p>
      <w:pPr>
        <w:jc w:val="both"/>
        <w:ind w:right="20"/>
        <w:spacing w:after="0" w:line="255" w:lineRule="auto"/>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spacing w:after="0" w:line="181" w:lineRule="exact"/>
        <w:rPr>
          <w:rFonts w:ascii="Times New Roman" w:cs="Times New Roman" w:eastAsia="Times New Roman" w:hAnsi="Times New Roman"/>
          <w:sz w:val="18"/>
          <w:szCs w:val="18"/>
          <w:b w:val="1"/>
          <w:bCs w:val="1"/>
          <w:color w:val="010000"/>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Miscellaneous Provisions.</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62" w:lineRule="auto"/>
        <w:tabs>
          <w:tab w:leader="none" w:pos="1290" w:val="left"/>
        </w:tabs>
        <w:numPr>
          <w:ilvl w:val="1"/>
          <w:numId w:val="12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To the extent (i) any payments to which Executive becomes entitled under this Agreement, or any agreement or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(6)-month period measured from the Executive’s Separation; or (ii) the date of Executive’s death following such Separation;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193" w:lineRule="exact"/>
        <w:rPr>
          <w:sz w:val="20"/>
          <w:szCs w:val="20"/>
          <w:color w:val="auto"/>
        </w:rPr>
      </w:pPr>
    </w:p>
    <w:p>
      <w:pPr>
        <w:jc w:val="both"/>
        <w:ind w:firstLine="656"/>
        <w:spacing w:after="0" w:line="257" w:lineRule="auto"/>
        <w:tabs>
          <w:tab w:leader="none" w:pos="1286" w:val="left"/>
        </w:tabs>
        <w:numPr>
          <w:ilvl w:val="0"/>
          <w:numId w:val="1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Other Arrangements. </w:t>
      </w:r>
      <w:r>
        <w:rPr>
          <w:rFonts w:ascii="Times New Roman" w:cs="Times New Roman" w:eastAsia="Times New Roman" w:hAnsi="Times New Roman"/>
          <w:sz w:val="18"/>
          <w:szCs w:val="18"/>
          <w:color w:val="auto"/>
        </w:rPr>
        <w:t>This Agreement supersedes any and all cash severance arrangements and vesting acceleration arrangements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governing Equity Awards, severance and salary continuation arrangements, programs and plans which were previously offered by the Company to the Executive, including under any employment agreement or offer letter, and Executive hereby waives Executive’s rights to such other benefits except as set forth in the succeeding sentence. In no event shall any individual receive cash severance benefits under both this Agreement and any other severance pay or salary continuation program, plan or other arrangement with the Company. For the avoidance of doubt, in no event shall Executive receive payment under both Section 2 and Section 3 with respect to Executive’s Separation.</w:t>
      </w:r>
    </w:p>
    <w:p>
      <w:pPr>
        <w:spacing w:after="0" w:line="182"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93" w:val="left"/>
        </w:tabs>
        <w:numPr>
          <w:ilvl w:val="0"/>
          <w:numId w:val="1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Dispute Resolution. </w:t>
      </w:r>
      <w:r>
        <w:rPr>
          <w:rFonts w:ascii="Times New Roman" w:cs="Times New Roman" w:eastAsia="Times New Roman" w:hAnsi="Times New Roman"/>
          <w:sz w:val="18"/>
          <w:szCs w:val="18"/>
          <w:color w:val="auto"/>
        </w:rPr>
        <w:t>Executive hereby acknowledges and agrees that his or her Arbitration Agreement with the Company remains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and effect and that any and all disputes arising in connection with this Agreement shall be solely governed by the terms and procedures set forth in Executive’s Arbitration Agreement.</w:t>
      </w:r>
    </w:p>
    <w:p>
      <w:pPr>
        <w:spacing w:after="0" w:line="170" w:lineRule="exact"/>
        <w:rPr>
          <w:rFonts w:ascii="Times New Roman" w:cs="Times New Roman" w:eastAsia="Times New Roman" w:hAnsi="Times New Roman"/>
          <w:sz w:val="18"/>
          <w:szCs w:val="18"/>
          <w:b w:val="1"/>
          <w:bCs w:val="1"/>
          <w:color w:val="010000"/>
        </w:rPr>
      </w:pPr>
    </w:p>
    <w:p>
      <w:pPr>
        <w:jc w:val="both"/>
        <w:ind w:firstLine="656"/>
        <w:spacing w:after="0" w:line="256" w:lineRule="auto"/>
        <w:tabs>
          <w:tab w:leader="none" w:pos="1286" w:val="left"/>
        </w:tabs>
        <w:numPr>
          <w:ilvl w:val="0"/>
          <w:numId w:val="1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Notices and all other communications contemplated by this Agreement shall be in writing (including via email)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been duly given when (i) personally delivered, (ii) when mailed by U.S. registered or certified mail, return receipt requested and postage prepaid or deposited with Federal Express Corporation, with shipping charges prepaid, or (iii) when sent by email, on the date that the email is received (provided that, if the time of deemed receipt is not before 5:30PM local time on a business day, it is deemed to have been received at the commencement of business on the next business day). In the case of the Executive, mailed notices shall be addressed to him or her at the home address or email address which he or she most recently communicated to the Company. In the case of the Company, mailed notices shall be addressed to its corporate headquarters, and all notices shall be directed to the attention of its Secretary.</w:t>
      </w:r>
    </w:p>
    <w:p>
      <w:pPr>
        <w:spacing w:after="0" w:line="182" w:lineRule="exact"/>
        <w:rPr>
          <w:rFonts w:ascii="Times New Roman" w:cs="Times New Roman" w:eastAsia="Times New Roman" w:hAnsi="Times New Roman"/>
          <w:sz w:val="18"/>
          <w:szCs w:val="18"/>
          <w:b w:val="1"/>
          <w:bCs w:val="1"/>
          <w:color w:val="010000"/>
        </w:rPr>
      </w:pPr>
    </w:p>
    <w:p>
      <w:pPr>
        <w:jc w:val="both"/>
        <w:ind w:firstLine="656"/>
        <w:spacing w:after="0" w:line="262" w:lineRule="auto"/>
        <w:tabs>
          <w:tab w:leader="none" w:pos="1293" w:val="left"/>
        </w:tabs>
        <w:numPr>
          <w:ilvl w:val="0"/>
          <w:numId w:val="1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No provision of this Agreement shall be modified, waived or discharged unless the modification, waiver or discharge is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6" w:firstLine="656"/>
        <w:spacing w:after="0" w:line="286" w:lineRule="auto"/>
        <w:tabs>
          <w:tab w:leader="none" w:pos="631" w:val="left"/>
        </w:tabs>
        <w:numPr>
          <w:ilvl w:val="0"/>
          <w:numId w:val="12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Withholding Taxes. </w:t>
      </w:r>
      <w:r>
        <w:rPr>
          <w:rFonts w:ascii="Times New Roman" w:cs="Times New Roman" w:eastAsia="Times New Roman" w:hAnsi="Times New Roman"/>
          <w:sz w:val="18"/>
          <w:szCs w:val="18"/>
          <w:color w:val="auto"/>
        </w:rPr>
        <w:t>All payments made under this Agreement shall be subject to reduction to reflect taxes or other charges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law.</w:t>
      </w:r>
    </w:p>
    <w:p>
      <w:pPr>
        <w:spacing w:after="0" w:line="154" w:lineRule="exact"/>
        <w:rPr>
          <w:rFonts w:ascii="Times New Roman" w:cs="Times New Roman" w:eastAsia="Times New Roman" w:hAnsi="Times New Roman"/>
          <w:sz w:val="18"/>
          <w:szCs w:val="18"/>
          <w:b w:val="1"/>
          <w:bCs w:val="1"/>
          <w:color w:val="010000"/>
        </w:rPr>
      </w:pPr>
    </w:p>
    <w:p>
      <w:pPr>
        <w:ind w:left="-656" w:firstLine="656"/>
        <w:spacing w:after="0" w:line="286" w:lineRule="auto"/>
        <w:tabs>
          <w:tab w:leader="none" w:pos="634" w:val="left"/>
        </w:tabs>
        <w:numPr>
          <w:ilvl w:val="0"/>
          <w:numId w:val="12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or provisions of this Agreement shall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any other provision hereof, which shall remain in full force and effect.</w:t>
      </w:r>
    </w:p>
    <w:p>
      <w:pPr>
        <w:spacing w:after="0" w:line="154" w:lineRule="exact"/>
        <w:rPr>
          <w:rFonts w:ascii="Times New Roman" w:cs="Times New Roman" w:eastAsia="Times New Roman" w:hAnsi="Times New Roman"/>
          <w:sz w:val="18"/>
          <w:szCs w:val="18"/>
          <w:b w:val="1"/>
          <w:bCs w:val="1"/>
          <w:color w:val="010000"/>
        </w:rPr>
      </w:pPr>
    </w:p>
    <w:p>
      <w:pPr>
        <w:jc w:val="both"/>
        <w:ind w:left="-656" w:right="20" w:firstLine="656"/>
        <w:spacing w:after="0" w:line="268" w:lineRule="auto"/>
        <w:tabs>
          <w:tab w:leader="none" w:pos="630" w:val="left"/>
        </w:tabs>
        <w:numPr>
          <w:ilvl w:val="0"/>
          <w:numId w:val="12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No Retention Rights. </w:t>
      </w:r>
      <w:r>
        <w:rPr>
          <w:rFonts w:ascii="Times New Roman" w:cs="Times New Roman" w:eastAsia="Times New Roman" w:hAnsi="Times New Roman"/>
          <w:sz w:val="18"/>
          <w:szCs w:val="18"/>
          <w:color w:val="auto"/>
        </w:rPr>
        <w:t>Nothing in this Agreement shall confer upon the Executive any right to continue in service for any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170" w:lineRule="exact"/>
        <w:rPr>
          <w:rFonts w:ascii="Times New Roman" w:cs="Times New Roman" w:eastAsia="Times New Roman" w:hAnsi="Times New Roman"/>
          <w:sz w:val="18"/>
          <w:szCs w:val="18"/>
          <w:b w:val="1"/>
          <w:bCs w:val="1"/>
          <w:color w:val="010000"/>
        </w:rPr>
      </w:pPr>
    </w:p>
    <w:p>
      <w:pPr>
        <w:ind w:left="-656" w:right="20" w:firstLine="656"/>
        <w:spacing w:after="0" w:line="286" w:lineRule="auto"/>
        <w:tabs>
          <w:tab w:leader="none" w:pos="634" w:val="left"/>
        </w:tabs>
        <w:numPr>
          <w:ilvl w:val="0"/>
          <w:numId w:val="12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The validity, interpretation, construction and performance of this Agreement shall be governed by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(other than its choice-of-law provisions).</w:t>
      </w:r>
    </w:p>
    <w:p>
      <w:pPr>
        <w:sectPr>
          <w:pgSz w:w="11900" w:h="16838" w:orient="portrait"/>
          <w:cols w:equalWidth="0" w:num="1">
            <w:col w:w="10584"/>
          </w:cols>
          <w:pgMar w:left="976" w:top="1440" w:right="339" w:bottom="1440" w:gutter="0" w:footer="0" w:header="0"/>
        </w:sectPr>
      </w:pPr>
    </w:p>
    <w:bookmarkStart w:id="155" w:name="page156"/>
    <w:bookmarkEnd w:id="155"/>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executed this Agreement, in the case of the Company by its duly authorized officer, as of the day and year first above written.</w:t>
      </w:r>
    </w:p>
    <w:p>
      <w:pPr>
        <w:spacing w:after="0" w:line="212"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EXECUTIVE</w:t>
      </w:r>
      <w:r>
        <w:rPr>
          <w:sz w:val="20"/>
          <w:szCs w:val="20"/>
          <w:color w:val="auto"/>
        </w:rPr>
        <w:tab/>
      </w:r>
      <w:r>
        <w:rPr>
          <w:rFonts w:ascii="Times New Roman" w:cs="Times New Roman" w:eastAsia="Times New Roman" w:hAnsi="Times New Roman"/>
          <w:sz w:val="18"/>
          <w:szCs w:val="18"/>
          <w:b w:val="1"/>
          <w:bCs w:val="1"/>
          <w:color w:val="auto"/>
        </w:rPr>
        <w:t>NEXTDOOR,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w w:val="99"/>
              </w:rPr>
              <w:t>/s/ Sophia Schwartz</w:t>
            </w:r>
          </w:p>
        </w:tc>
        <w:tc>
          <w:tcPr>
            <w:tcW w:w="2080" w:type="dxa"/>
            <w:vAlign w:val="bottom"/>
          </w:tcPr>
          <w:p>
            <w:pPr>
              <w:spacing w:after="0"/>
              <w:rPr>
                <w:sz w:val="17"/>
                <w:szCs w:val="17"/>
                <w:color w:val="auto"/>
              </w:rPr>
            </w:pPr>
          </w:p>
        </w:tc>
        <w:tc>
          <w:tcPr>
            <w:tcW w:w="426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Nirav Tolia</w:t>
            </w:r>
          </w:p>
        </w:tc>
      </w:tr>
      <w:tr>
        <w:trPr>
          <w:trHeight w:val="20"/>
        </w:trPr>
        <w:tc>
          <w:tcPr>
            <w:tcW w:w="14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Sophia Schwartz</w:t>
            </w:r>
          </w:p>
        </w:tc>
        <w:tc>
          <w:tcPr>
            <w:tcW w:w="2080" w:type="dxa"/>
            <w:vAlign w:val="bottom"/>
          </w:tcPr>
          <w:p>
            <w:pPr>
              <w:spacing w:after="0"/>
              <w:rPr>
                <w:sz w:val="18"/>
                <w:szCs w:val="18"/>
                <w:color w:val="auto"/>
              </w:rPr>
            </w:pPr>
          </w:p>
        </w:tc>
        <w:tc>
          <w:tcPr>
            <w:tcW w:w="426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Name: Nirav Tolia</w:t>
            </w:r>
          </w:p>
        </w:tc>
      </w:tr>
      <w:tr>
        <w:trPr>
          <w:trHeight w:val="234"/>
        </w:trPr>
        <w:tc>
          <w:tcPr>
            <w:tcW w:w="1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6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w w:val="98"/>
              </w:rPr>
              <w:t>Title: Chief Executive Officer</w:t>
            </w:r>
          </w:p>
        </w:tc>
      </w:tr>
    </w:tbl>
    <w:p>
      <w:pPr>
        <w:sectPr>
          <w:pgSz w:w="11900" w:h="16838" w:orient="portrait"/>
          <w:cols w:equalWidth="0" w:num="1">
            <w:col w:w="11240"/>
          </w:cols>
          <w:pgMar w:left="320" w:top="1440"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842645</wp:posOffset>
            </wp:positionV>
            <wp:extent cx="2108835" cy="377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21088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Kiernan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Michael:</w:t>
      </w:r>
    </w:p>
    <w:p>
      <w:pPr>
        <w:spacing w:after="0" w:line="225" w:lineRule="exact"/>
        <w:rPr>
          <w:sz w:val="20"/>
          <w:szCs w:val="20"/>
          <w:color w:val="auto"/>
        </w:rPr>
      </w:pPr>
    </w:p>
    <w:p>
      <w:pPr>
        <w:ind w:firstLine="324"/>
        <w:spacing w:after="0" w:line="234" w:lineRule="auto"/>
        <w:rPr>
          <w:sz w:val="20"/>
          <w:szCs w:val="20"/>
          <w:color w:val="auto"/>
        </w:rPr>
      </w:pPr>
      <w:r>
        <w:rPr>
          <w:rFonts w:ascii="Times New Roman" w:cs="Times New Roman" w:eastAsia="Times New Roman" w:hAnsi="Times New Roman"/>
          <w:sz w:val="20"/>
          <w:szCs w:val="20"/>
          <w:color w:val="auto"/>
        </w:rPr>
        <w:t>This letter agreement confirms your promotion to the role of Head of Revenue of Nextdoor,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effective January 1, 2025, and hereby amends and restates your prior offer letter, dated March 21, 2018 (the “</w:t>
      </w:r>
      <w:r>
        <w:rPr>
          <w:rFonts w:ascii="Times New Roman" w:cs="Times New Roman" w:eastAsia="Times New Roman" w:hAnsi="Times New Roman"/>
          <w:sz w:val="20"/>
          <w:szCs w:val="20"/>
          <w:b w:val="1"/>
          <w:bCs w:val="1"/>
          <w:color w:val="auto"/>
        </w:rPr>
        <w:t>Prior Agreement</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 your role as Head of Revenue of the Company you will report to the Company’s Chief Executive Officer.</w:t>
      </w:r>
    </w:p>
    <w:p>
      <w:pPr>
        <w:spacing w:after="0" w:line="225"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Compensation</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b w:val="1"/>
          <w:bCs w:val="1"/>
          <w:color w:val="010000"/>
        </w:rPr>
      </w:pPr>
    </w:p>
    <w:p>
      <w:pPr>
        <w:jc w:val="both"/>
        <w:ind w:firstLine="656"/>
        <w:spacing w:after="0" w:line="257" w:lineRule="auto"/>
        <w:tabs>
          <w:tab w:leader="none" w:pos="1284" w:val="left"/>
        </w:tabs>
        <w:numPr>
          <w:ilvl w:val="1"/>
          <w:numId w:val="129"/>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i w:val="1"/>
          <w:iCs w:val="1"/>
          <w:color w:val="auto"/>
        </w:rPr>
        <w:t>Base Salary</w:t>
      </w:r>
      <w:r>
        <w:rPr>
          <w:rFonts w:ascii="Times New Roman" w:cs="Times New Roman" w:eastAsia="Times New Roman" w:hAnsi="Times New Roman"/>
          <w:sz w:val="20"/>
          <w:szCs w:val="20"/>
          <w:color w:val="auto"/>
        </w:rPr>
        <w:t>. In this position, the Company will pay you an annual base salary of $375,000, subject to all applicable taxes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withholdings, payable in accordance with the Company’s standard payroll schedule. Your pay will be periodically reviewed as a part of the Company’s regular reviews of compensation.</w:t>
      </w:r>
    </w:p>
    <w:p>
      <w:pPr>
        <w:spacing w:after="0" w:line="195"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287" w:val="left"/>
        </w:tabs>
        <w:numPr>
          <w:ilvl w:val="1"/>
          <w:numId w:val="129"/>
        </w:numPr>
        <w:rPr>
          <w:rFonts w:ascii="Arial" w:cs="Arial" w:eastAsia="Arial" w:hAnsi="Arial"/>
          <w:sz w:val="22"/>
          <w:szCs w:val="22"/>
          <w:color w:val="010000"/>
        </w:rPr>
      </w:pPr>
      <w:r>
        <w:rPr>
          <w:rFonts w:ascii="Times New Roman" w:cs="Times New Roman" w:eastAsia="Times New Roman" w:hAnsi="Times New Roman"/>
          <w:sz w:val="20"/>
          <w:szCs w:val="20"/>
          <w:i w:val="1"/>
          <w:iCs w:val="1"/>
          <w:color w:val="auto"/>
        </w:rPr>
        <w:t>Commission</w:t>
      </w:r>
      <w:r>
        <w:rPr>
          <w:rFonts w:ascii="Times New Roman" w:cs="Times New Roman" w:eastAsia="Times New Roman" w:hAnsi="Times New Roman"/>
          <w:sz w:val="20"/>
          <w:szCs w:val="20"/>
          <w:color w:val="auto"/>
        </w:rPr>
        <w:t>. Your Annualized Target Incentive is $375,000. The terms of the commission will be governed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currently effective 2023 Incentive Compensation Plan. By signing this agreement, you reaffirm the terms and conditions of the 2023 Incentive Compensation Plan by and between you and the Company. Your Annualized Target Incentive is governed by your Incentive Compensation Schedule, which will be provided to you in accordance with the Company's standard procedures. You are required to sign any and all future Incentive Compensation Plans and your Incentive Compensation Schedules, as applicable.</w:t>
      </w:r>
    </w:p>
    <w:p>
      <w:pPr>
        <w:spacing w:after="0" w:line="199" w:lineRule="exact"/>
        <w:rPr>
          <w:rFonts w:ascii="Arial" w:cs="Arial" w:eastAsia="Arial" w:hAnsi="Arial"/>
          <w:sz w:val="22"/>
          <w:szCs w:val="22"/>
          <w:color w:val="010000"/>
        </w:rPr>
      </w:pPr>
    </w:p>
    <w:p>
      <w:pPr>
        <w:jc w:val="both"/>
        <w:ind w:firstLine="332"/>
        <w:spacing w:after="0" w:line="260" w:lineRule="auto"/>
        <w:tabs>
          <w:tab w:leader="none" w:pos="648" w:val="left"/>
        </w:tabs>
        <w:numPr>
          <w:ilvl w:val="0"/>
          <w:numId w:val="12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Employee Benefits</w:t>
      </w:r>
      <w:r>
        <w:rPr>
          <w:rFonts w:ascii="Times New Roman" w:cs="Times New Roman" w:eastAsia="Times New Roman" w:hAnsi="Times New Roman"/>
          <w:sz w:val="20"/>
          <w:szCs w:val="20"/>
          <w:color w:val="auto"/>
        </w:rPr>
        <w:t>. You will continue to be eligible to participate in a number of Company-sponsored benefits to the extent that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comply with 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spacing w:after="0" w:line="177" w:lineRule="exact"/>
        <w:rPr>
          <w:rFonts w:ascii="Times New Roman" w:cs="Times New Roman" w:eastAsia="Times New Roman" w:hAnsi="Times New Roman"/>
          <w:sz w:val="20"/>
          <w:szCs w:val="20"/>
          <w:b w:val="1"/>
          <w:bCs w:val="1"/>
          <w:color w:val="010000"/>
        </w:rPr>
      </w:pPr>
    </w:p>
    <w:p>
      <w:pPr>
        <w:jc w:val="both"/>
        <w:ind w:firstLine="332"/>
        <w:spacing w:after="0" w:line="255" w:lineRule="auto"/>
        <w:tabs>
          <w:tab w:leader="none" w:pos="648" w:val="left"/>
        </w:tabs>
        <w:numPr>
          <w:ilvl w:val="0"/>
          <w:numId w:val="12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Termination Benefits</w:t>
      </w:r>
      <w:r>
        <w:rPr>
          <w:rFonts w:ascii="Times New Roman" w:cs="Times New Roman" w:eastAsia="Times New Roman" w:hAnsi="Times New Roman"/>
          <w:sz w:val="20"/>
          <w:szCs w:val="20"/>
          <w:color w:val="auto"/>
        </w:rPr>
        <w:t>. In connection with your promotion, you will be eligible to receive certain change in control and severance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and benefits pursuant to a Change in Control and Severance Agreement (the “</w:t>
      </w:r>
      <w:r>
        <w:rPr>
          <w:rFonts w:ascii="Times New Roman" w:cs="Times New Roman" w:eastAsia="Times New Roman" w:hAnsi="Times New Roman"/>
          <w:sz w:val="20"/>
          <w:szCs w:val="20"/>
          <w:b w:val="1"/>
          <w:bCs w:val="1"/>
          <w:color w:val="auto"/>
        </w:rPr>
        <w:t>Severance Agreement</w:t>
      </w:r>
      <w:r>
        <w:rPr>
          <w:rFonts w:ascii="Times New Roman" w:cs="Times New Roman" w:eastAsia="Times New Roman" w:hAnsi="Times New Roman"/>
          <w:sz w:val="20"/>
          <w:szCs w:val="20"/>
          <w:color w:val="auto"/>
        </w:rPr>
        <w:t xml:space="preserve">”) to be entered into between you and the Company at substantially the same time as the date of this offer letter, pursuant to the form attached to this offer letter as </w:t>
      </w:r>
      <w:r>
        <w:rPr>
          <w:rFonts w:ascii="Times New Roman" w:cs="Times New Roman" w:eastAsia="Times New Roman" w:hAnsi="Times New Roman"/>
          <w:sz w:val="20"/>
          <w:szCs w:val="20"/>
          <w:b w:val="1"/>
          <w:bCs w:val="1"/>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6459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0" w:lineRule="exact"/>
        <w:rPr>
          <w:sz w:val="20"/>
          <w:szCs w:val="20"/>
          <w:color w:val="auto"/>
        </w:rPr>
      </w:pPr>
    </w:p>
    <w:p>
      <w:pPr>
        <w:ind w:left="120" w:hanging="112"/>
        <w:spacing w:after="0"/>
        <w:tabs>
          <w:tab w:leader="none" w:pos="120" w:val="left"/>
        </w:tabs>
        <w:numPr>
          <w:ilvl w:val="0"/>
          <w:numId w:val="1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Any reference to the Company will be understood to include any parent of the Company that employs you, including Nextdoor Holdings, Inc.</w:t>
      </w:r>
    </w:p>
    <w:p>
      <w:pPr>
        <w:sectPr>
          <w:pgSz w:w="11900" w:h="16838" w:orient="portrait"/>
          <w:cols w:equalWidth="0" w:num="1">
            <w:col w:w="11240"/>
          </w:cols>
          <w:pgMar w:left="320" w:top="563" w:right="339" w:bottom="1440" w:gutter="0" w:footer="0" w:header="0"/>
        </w:sectPr>
      </w:pPr>
    </w:p>
    <w:bookmarkStart w:id="157" w:name="page158"/>
    <w:bookmarkEnd w:id="157"/>
    <w:p>
      <w:pPr>
        <w:spacing w:after="0" w:line="200" w:lineRule="exact"/>
        <w:rPr>
          <w:sz w:val="20"/>
          <w:szCs w:val="20"/>
          <w:color w:val="auto"/>
        </w:rPr>
      </w:pPr>
    </w:p>
    <w:p>
      <w:pPr>
        <w:spacing w:after="0" w:line="215" w:lineRule="exact"/>
        <w:rPr>
          <w:sz w:val="20"/>
          <w:szCs w:val="20"/>
          <w:color w:val="auto"/>
        </w:rPr>
      </w:pPr>
    </w:p>
    <w:p>
      <w:pPr>
        <w:ind w:left="-332" w:firstLine="332"/>
        <w:spacing w:after="0" w:line="273" w:lineRule="auto"/>
        <w:tabs>
          <w:tab w:leader="none" w:pos="316" w:val="left"/>
        </w:tabs>
        <w:numPr>
          <w:ilvl w:val="0"/>
          <w:numId w:val="13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Confidentiality Agreement</w:t>
      </w:r>
      <w:r>
        <w:rPr>
          <w:rFonts w:ascii="Times New Roman" w:cs="Times New Roman" w:eastAsia="Times New Roman" w:hAnsi="Times New Roman"/>
          <w:sz w:val="20"/>
          <w:szCs w:val="20"/>
          <w:color w:val="auto"/>
        </w:rPr>
        <w:t>. By signing this letter agreement, you reaffirm the terms and conditions of the Employee Invention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Assignment and Confidentiality Agreement by and between you and the Company.</w:t>
      </w:r>
    </w:p>
    <w:p>
      <w:pPr>
        <w:spacing w:after="0" w:line="165" w:lineRule="exact"/>
        <w:rPr>
          <w:rFonts w:ascii="Times New Roman" w:cs="Times New Roman" w:eastAsia="Times New Roman" w:hAnsi="Times New Roman"/>
          <w:sz w:val="20"/>
          <w:szCs w:val="20"/>
          <w:b w:val="1"/>
          <w:bCs w:val="1"/>
          <w:color w:val="010000"/>
        </w:rPr>
      </w:pPr>
    </w:p>
    <w:p>
      <w:pPr>
        <w:ind w:left="328" w:hanging="328"/>
        <w:spacing w:after="0"/>
        <w:tabs>
          <w:tab w:leader="none" w:pos="328" w:val="left"/>
        </w:tabs>
        <w:numPr>
          <w:ilvl w:val="0"/>
          <w:numId w:val="13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Arbitration Agreement</w:t>
      </w:r>
      <w:r>
        <w:rPr>
          <w:rFonts w:ascii="Times New Roman" w:cs="Times New Roman" w:eastAsia="Times New Roman" w:hAnsi="Times New Roman"/>
          <w:sz w:val="20"/>
          <w:szCs w:val="20"/>
          <w:color w:val="auto"/>
        </w:rPr>
        <w:t>. You also agree to the terms and conditions of the Arbitration Agreement attached as</w:t>
      </w:r>
      <w:r>
        <w:rPr>
          <w:rFonts w:ascii="Times New Roman" w:cs="Times New Roman" w:eastAsia="Times New Roman" w:hAnsi="Times New Roman"/>
          <w:sz w:val="20"/>
          <w:szCs w:val="20"/>
          <w:b w:val="1"/>
          <w:bCs w:val="1"/>
          <w:color w:val="auto"/>
        </w:rPr>
        <w:t xml:space="preserve"> Exhibit 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010000"/>
        </w:rPr>
      </w:pPr>
    </w:p>
    <w:p>
      <w:pPr>
        <w:jc w:val="both"/>
        <w:ind w:left="-332" w:firstLine="332"/>
        <w:spacing w:after="0" w:line="252" w:lineRule="auto"/>
        <w:tabs>
          <w:tab w:leader="none" w:pos="316" w:val="left"/>
        </w:tabs>
        <w:numPr>
          <w:ilvl w:val="0"/>
          <w:numId w:val="13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Conflicting Obligations</w:t>
      </w:r>
      <w:r>
        <w:rPr>
          <w:rFonts w:ascii="Times New Roman" w:cs="Times New Roman" w:eastAsia="Times New Roman" w:hAnsi="Times New Roman"/>
          <w:sz w:val="20"/>
          <w:szCs w:val="20"/>
          <w:color w:val="auto"/>
        </w:rPr>
        <w:t>. You understand and agree that by signing this letter agreement, you represent to the Company that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will not breach any other 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89" w:lineRule="exact"/>
        <w:rPr>
          <w:rFonts w:ascii="Times New Roman" w:cs="Times New Roman" w:eastAsia="Times New Roman" w:hAnsi="Times New Roman"/>
          <w:sz w:val="20"/>
          <w:szCs w:val="20"/>
          <w:b w:val="1"/>
          <w:bCs w:val="1"/>
          <w:color w:val="010000"/>
        </w:rPr>
      </w:pPr>
    </w:p>
    <w:p>
      <w:pPr>
        <w:jc w:val="both"/>
        <w:ind w:left="-332" w:firstLine="332"/>
        <w:spacing w:after="0" w:line="260" w:lineRule="auto"/>
        <w:tabs>
          <w:tab w:leader="none" w:pos="316" w:val="left"/>
        </w:tabs>
        <w:numPr>
          <w:ilvl w:val="0"/>
          <w:numId w:val="13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Outside Activities</w:t>
      </w:r>
      <w:r>
        <w:rPr>
          <w:rFonts w:ascii="Times New Roman" w:cs="Times New Roman" w:eastAsia="Times New Roman" w:hAnsi="Times New Roman"/>
          <w:sz w:val="20"/>
          <w:szCs w:val="20"/>
          <w:color w:val="auto"/>
        </w:rPr>
        <w:t>. While you render services to the Company, you agree that you will not engage in any other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64" w:lineRule="exact"/>
        <w:rPr>
          <w:rFonts w:ascii="Times New Roman" w:cs="Times New Roman" w:eastAsia="Times New Roman" w:hAnsi="Times New Roman"/>
          <w:sz w:val="20"/>
          <w:szCs w:val="20"/>
          <w:b w:val="1"/>
          <w:bCs w:val="1"/>
          <w:color w:val="010000"/>
        </w:rPr>
      </w:pPr>
    </w:p>
    <w:p>
      <w:pPr>
        <w:jc w:val="both"/>
        <w:ind w:left="-332" w:firstLine="332"/>
        <w:spacing w:after="0" w:line="258" w:lineRule="auto"/>
        <w:tabs>
          <w:tab w:leader="none" w:pos="316" w:val="left"/>
        </w:tabs>
        <w:numPr>
          <w:ilvl w:val="0"/>
          <w:numId w:val="13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Equal Employment Opportunity</w:t>
      </w:r>
      <w:r>
        <w:rPr>
          <w:rFonts w:ascii="Times New Roman" w:cs="Times New Roman" w:eastAsia="Times New Roman" w:hAnsi="Times New Roman"/>
          <w:sz w:val="20"/>
          <w:szCs w:val="20"/>
          <w:color w:val="auto"/>
        </w:rPr>
        <w:t>. The Company is an equal opportunity employer and conducts its employment practices based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67" w:lineRule="exact"/>
        <w:rPr>
          <w:rFonts w:ascii="Times New Roman" w:cs="Times New Roman" w:eastAsia="Times New Roman" w:hAnsi="Times New Roman"/>
          <w:sz w:val="20"/>
          <w:szCs w:val="20"/>
          <w:b w:val="1"/>
          <w:bCs w:val="1"/>
          <w:color w:val="010000"/>
        </w:rPr>
      </w:pPr>
    </w:p>
    <w:p>
      <w:pPr>
        <w:jc w:val="both"/>
        <w:ind w:left="-332" w:firstLine="332"/>
        <w:spacing w:after="0" w:line="263" w:lineRule="auto"/>
        <w:tabs>
          <w:tab w:leader="none" w:pos="316" w:val="left"/>
        </w:tabs>
        <w:numPr>
          <w:ilvl w:val="0"/>
          <w:numId w:val="13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General Obligations</w:t>
      </w:r>
      <w:r>
        <w:rPr>
          <w:rFonts w:ascii="Times New Roman" w:cs="Times New Roman" w:eastAsia="Times New Roman" w:hAnsi="Times New Roman"/>
          <w:sz w:val="20"/>
          <w:szCs w:val="20"/>
          <w:color w:val="auto"/>
        </w:rPr>
        <w:t>. As an employee, you will be expected to continue to adhere to the Company’s standards of professionalism,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loyalty, integrity, honesty, reliability and respect for all. You will also be expected to continue to comply with the Company’s policies and procedures. The Company is an equal opportunity employer.</w:t>
      </w:r>
    </w:p>
    <w:p>
      <w:pPr>
        <w:spacing w:after="0" w:line="175" w:lineRule="exact"/>
        <w:rPr>
          <w:rFonts w:ascii="Times New Roman" w:cs="Times New Roman" w:eastAsia="Times New Roman" w:hAnsi="Times New Roman"/>
          <w:sz w:val="20"/>
          <w:szCs w:val="20"/>
          <w:b w:val="1"/>
          <w:bCs w:val="1"/>
          <w:color w:val="010000"/>
        </w:rPr>
      </w:pPr>
    </w:p>
    <w:p>
      <w:pPr>
        <w:jc w:val="both"/>
        <w:ind w:left="-332" w:firstLine="332"/>
        <w:spacing w:after="0" w:line="252" w:lineRule="auto"/>
        <w:tabs>
          <w:tab w:leader="none" w:pos="307" w:val="left"/>
        </w:tabs>
        <w:numPr>
          <w:ilvl w:val="0"/>
          <w:numId w:val="13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Your employment with the Company continues to be for no specific period of time. Your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will continue to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sectPr>
          <w:pgSz w:w="11900" w:h="16838" w:orient="portrait"/>
          <w:cols w:equalWidth="0" w:num="1">
            <w:col w:w="10908"/>
          </w:cols>
          <w:pgMar w:left="652" w:top="1440" w:right="339" w:bottom="1440" w:gutter="0" w:footer="0" w:header="0"/>
        </w:sectPr>
      </w:pPr>
    </w:p>
    <w:bookmarkStart w:id="158" w:name="page159"/>
    <w:bookmarkEnd w:id="158"/>
    <w:p>
      <w:pPr>
        <w:spacing w:after="0" w:line="200" w:lineRule="exact"/>
        <w:rPr>
          <w:sz w:val="20"/>
          <w:szCs w:val="20"/>
          <w:color w:val="auto"/>
        </w:rPr>
      </w:pPr>
    </w:p>
    <w:p>
      <w:pPr>
        <w:spacing w:after="0" w:line="215" w:lineRule="exact"/>
        <w:rPr>
          <w:sz w:val="20"/>
          <w:szCs w:val="20"/>
          <w:color w:val="auto"/>
        </w:rPr>
      </w:pPr>
    </w:p>
    <w:p>
      <w:pPr>
        <w:ind w:left="308" w:hanging="308"/>
        <w:spacing w:after="0"/>
        <w:tabs>
          <w:tab w:leader="none" w:pos="308" w:val="left"/>
        </w:tabs>
        <w:numPr>
          <w:ilvl w:val="0"/>
          <w:numId w:val="132"/>
        </w:numPr>
        <w:rPr>
          <w:rFonts w:ascii="Times New Roman" w:cs="Times New Roman" w:eastAsia="Times New Roman" w:hAnsi="Times New Roman"/>
          <w:sz w:val="19"/>
          <w:szCs w:val="19"/>
          <w:b w:val="1"/>
          <w:bCs w:val="1"/>
          <w:color w:val="010000"/>
        </w:rPr>
      </w:pPr>
      <w:r>
        <w:rPr>
          <w:rFonts w:ascii="Times New Roman" w:cs="Times New Roman" w:eastAsia="Times New Roman" w:hAnsi="Times New Roman"/>
          <w:sz w:val="19"/>
          <w:szCs w:val="19"/>
          <w:b w:val="1"/>
          <w:bCs w:val="1"/>
          <w:u w:val="single" w:color="auto"/>
          <w:color w:val="auto"/>
        </w:rPr>
        <w:t>Withholdings</w:t>
      </w:r>
      <w:r>
        <w:rPr>
          <w:rFonts w:ascii="Times New Roman" w:cs="Times New Roman" w:eastAsia="Times New Roman" w:hAnsi="Times New Roman"/>
          <w:sz w:val="19"/>
          <w:szCs w:val="19"/>
          <w:color w:val="auto"/>
        </w:rPr>
        <w:t>. All forms of compensation paid to you as an employee of the Company shall be less all applicable withholdings.</w:t>
      </w:r>
    </w:p>
    <w:p>
      <w:pPr>
        <w:sectPr>
          <w:pgSz w:w="11900" w:h="16838" w:orient="portrait"/>
          <w:cols w:equalWidth="0" w:num="1">
            <w:col w:w="10448"/>
          </w:cols>
          <w:pgMar w:left="652" w:top="1440" w:right="799" w:bottom="1440" w:gutter="0" w:footer="0" w:header="0"/>
        </w:sectPr>
      </w:pPr>
    </w:p>
    <w:p>
      <w:pPr>
        <w:spacing w:after="0" w:line="231"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9"/>
          <w:szCs w:val="19"/>
          <w:color w:val="auto"/>
        </w:rPr>
        <w:t>[Signature Page Follows]</w:t>
      </w:r>
    </w:p>
    <w:p>
      <w:pPr>
        <w:sectPr>
          <w:pgSz w:w="11900" w:h="16838" w:orient="portrait"/>
          <w:cols w:equalWidth="0" w:num="1">
            <w:col w:w="10448"/>
          </w:cols>
          <w:pgMar w:left="652" w:top="1440" w:right="799" w:bottom="1440" w:gutter="0" w:footer="0" w:header="0"/>
          <w:type w:val="continuous"/>
        </w:sectPr>
      </w:pPr>
    </w:p>
    <w:bookmarkStart w:id="159" w:name="page160"/>
    <w:bookmarkEnd w:id="159"/>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California, without regard to its conflict of laws provisions.</w:t>
      </w: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NEXTDOOR, INC.</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8496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Nirav Tolia</w:t>
      </w:r>
    </w:p>
    <w:p>
      <w:pPr>
        <w:spacing w:after="0" w:line="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Kiernan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Michael Kiernan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233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131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Amended and Restated Offer Letter]</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1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Change in Control and Severance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between Michael Kiernan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Nextdoor, Inc., a Delaware corporation (together with its parent, Nextdoor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effective as of January 1, 2025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Term of Agreement.</w:t>
      </w:r>
    </w:p>
    <w:p>
      <w:pPr>
        <w:spacing w:after="0" w:line="22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This Agreement shall terminate the earlier of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anniversary of the Effective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or the date the Executive’s employment with the Company terminates for a reason other than a Qualifying Termination or CIC Qualifying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a definitive agreement relating to a Change in Control has been signed by the Company on or before the Expiration Date, then this Agreement shall remain in effect through the earlier of:</w:t>
      </w:r>
    </w:p>
    <w:p>
      <w:pPr>
        <w:spacing w:after="0" w:line="199"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date the Executive’s employment with the Company terminates for a reason other than a Qualifying Termination or CIC Qualifying</w:t>
      </w:r>
    </w:p>
    <w:p>
      <w:pPr>
        <w:spacing w:after="0" w:line="27" w:lineRule="exact"/>
        <w:rPr>
          <w:rFonts w:ascii="Times New Roman" w:cs="Times New Roman" w:eastAsia="Times New Roman" w:hAnsi="Times New Roman"/>
          <w:sz w:val="18"/>
          <w:szCs w:val="18"/>
          <w:b w:val="1"/>
          <w:bCs w:val="1"/>
          <w:color w:val="010000"/>
        </w:rPr>
      </w:pPr>
    </w:p>
    <w:p>
      <w:pPr>
        <w:spacing w:after="0"/>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Termination, or</w:t>
      </w:r>
    </w:p>
    <w:p>
      <w:pPr>
        <w:spacing w:after="0" w:line="206" w:lineRule="exact"/>
        <w:rPr>
          <w:rFonts w:ascii="Times New Roman" w:cs="Times New Roman" w:eastAsia="Times New Roman" w:hAnsi="Times New Roman"/>
          <w:sz w:val="18"/>
          <w:szCs w:val="18"/>
          <w:b w:val="1"/>
          <w:bCs w:val="1"/>
          <w:color w:val="010000"/>
        </w:rPr>
      </w:pPr>
    </w:p>
    <w:p>
      <w:pPr>
        <w:ind w:firstLine="656"/>
        <w:spacing w:after="0" w:line="282" w:lineRule="auto"/>
        <w:tabs>
          <w:tab w:leader="none" w:pos="1286" w:val="left"/>
        </w:tabs>
        <w:numPr>
          <w:ilvl w:val="0"/>
          <w:numId w:val="1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shall renew automatically and continue in effect for three (3) year periods measured from the initial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76" w:lineRule="exact"/>
        <w:rPr>
          <w:sz w:val="20"/>
          <w:szCs w:val="20"/>
          <w:color w:val="auto"/>
        </w:rPr>
      </w:pPr>
    </w:p>
    <w:p>
      <w:pPr>
        <w:ind w:right="300" w:firstLine="8"/>
        <w:spacing w:after="0" w:line="286" w:lineRule="auto"/>
        <w:tabs>
          <w:tab w:leader="none" w:pos="648" w:val="left"/>
        </w:tabs>
        <w:numPr>
          <w:ilvl w:val="0"/>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Qualifying Termination. </w:t>
      </w:r>
      <w:r>
        <w:rPr>
          <w:rFonts w:ascii="Times New Roman" w:cs="Times New Roman" w:eastAsia="Times New Roman" w:hAnsi="Times New Roman"/>
          <w:sz w:val="18"/>
          <w:szCs w:val="18"/>
          <w:color w:val="auto"/>
        </w:rPr>
        <w:t>If the Executive is subject to a Qualifying Termination, then, subject to Sections 4, 8, and 9 below, Executive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the following benefits:</w:t>
      </w:r>
    </w:p>
    <w:p>
      <w:pPr>
        <w:spacing w:after="0" w:line="154" w:lineRule="exact"/>
        <w:rPr>
          <w:rFonts w:ascii="Times New Roman" w:cs="Times New Roman" w:eastAsia="Times New Roman" w:hAnsi="Times New Roman"/>
          <w:sz w:val="18"/>
          <w:szCs w:val="18"/>
          <w:color w:val="010000"/>
        </w:rPr>
      </w:pPr>
    </w:p>
    <w:p>
      <w:pPr>
        <w:jc w:val="both"/>
        <w:ind w:right="20" w:firstLine="656"/>
        <w:spacing w:after="0" w:line="264" w:lineRule="auto"/>
        <w:tabs>
          <w:tab w:leader="none" w:pos="1290" w:val="left"/>
        </w:tabs>
        <w:numPr>
          <w:ilvl w:val="1"/>
          <w:numId w:val="13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Severance Benefits. </w:t>
      </w:r>
      <w:r>
        <w:rPr>
          <w:rFonts w:ascii="Times New Roman" w:cs="Times New Roman" w:eastAsia="Times New Roman" w:hAnsi="Times New Roman"/>
          <w:sz w:val="18"/>
          <w:szCs w:val="18"/>
          <w:color w:val="auto"/>
        </w:rPr>
        <w:t>The Company shall pay the Executive six (6) months of his/her monthly base salary (at the rate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Separation,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Release Conditions have been satisfied.</w:t>
      </w:r>
    </w:p>
    <w:p>
      <w:pPr>
        <w:spacing w:after="0" w:line="106" w:lineRule="exact"/>
        <w:rPr>
          <w:rFonts w:ascii="Times New Roman" w:cs="Times New Roman" w:eastAsia="Times New Roman" w:hAnsi="Times New Roman"/>
          <w:sz w:val="18"/>
          <w:szCs w:val="18"/>
          <w:b w:val="1"/>
          <w:bCs w:val="1"/>
          <w:color w:val="010000"/>
        </w:rPr>
      </w:pPr>
    </w:p>
    <w:p>
      <w:pPr>
        <w:jc w:val="both"/>
        <w:ind w:firstLine="656"/>
        <w:spacing w:after="0" w:line="255" w:lineRule="auto"/>
        <w:tabs>
          <w:tab w:leader="none" w:pos="1286" w:val="left"/>
        </w:tabs>
        <w:numPr>
          <w:ilvl w:val="1"/>
          <w:numId w:val="13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Continued Employee Benefits. </w:t>
      </w:r>
      <w:r>
        <w:rPr>
          <w:rFonts w:ascii="Times New Roman" w:cs="Times New Roman" w:eastAsia="Times New Roman" w:hAnsi="Times New Roman"/>
          <w:sz w:val="18"/>
          <w:szCs w:val="18"/>
          <w:color w:val="auto"/>
        </w:rPr>
        <w:t>If Executive timely elects continued coverage under the Consolidated Omnibus Budget Reconciliation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xml:space="preserve">”), the Company shall pay the full amount of Executive’s COBRA premiums on behalf of the Executive for the Executive’s continued coverage under the Company’s health, dental and vision plans, including coverage for the Executive’s eligible dependents, for a period of six (6) months following the Executive’s Separation or, if earlier, until Executive is eligible to be covered under another substantially equivalent medical insurance plan by a subsequent employer. Notwithstanding the foregoing, the Company may elect to provide Executive, in lieu of any portion of such continued coverage, taxable installment payments equal in amount to the applicable premiums in effect as of Executive’s Separation for the remainder of the COBRA continuation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Executive shall have no right to an additional gross-up payment to account for the fact that such COBRA premium amounts are paid on an after-tax basis.</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0" w:lineRule="exact"/>
        <w:rPr>
          <w:sz w:val="20"/>
          <w:szCs w:val="20"/>
          <w:color w:val="auto"/>
        </w:rPr>
      </w:pPr>
    </w:p>
    <w:p>
      <w:pPr>
        <w:spacing w:after="0" w:line="219" w:lineRule="exact"/>
        <w:rPr>
          <w:sz w:val="20"/>
          <w:szCs w:val="20"/>
          <w:color w:val="auto"/>
        </w:rPr>
      </w:pPr>
    </w:p>
    <w:p>
      <w:pPr>
        <w:ind w:firstLine="8"/>
        <w:spacing w:after="0" w:line="286" w:lineRule="auto"/>
        <w:tabs>
          <w:tab w:leader="none" w:pos="648"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CIC Qualifying Termination. </w:t>
      </w:r>
      <w:r>
        <w:rPr>
          <w:rFonts w:ascii="Times New Roman" w:cs="Times New Roman" w:eastAsia="Times New Roman" w:hAnsi="Times New Roman"/>
          <w:sz w:val="18"/>
          <w:szCs w:val="18"/>
          <w:color w:val="auto"/>
        </w:rPr>
        <w:t>If the Executive is subject to a CIC Qualifying Termination, then, subject to Sections 4, 8, and 9 below,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entitled to the following benefits:</w:t>
      </w:r>
    </w:p>
    <w:p>
      <w:pPr>
        <w:spacing w:after="0" w:line="154" w:lineRule="exact"/>
        <w:rPr>
          <w:rFonts w:ascii="Times New Roman" w:cs="Times New Roman" w:eastAsia="Times New Roman" w:hAnsi="Times New Roman"/>
          <w:sz w:val="18"/>
          <w:szCs w:val="18"/>
          <w:color w:val="010000"/>
        </w:rPr>
      </w:pPr>
    </w:p>
    <w:p>
      <w:pPr>
        <w:jc w:val="both"/>
        <w:ind w:firstLine="656"/>
        <w:spacing w:after="0" w:line="245" w:lineRule="auto"/>
        <w:tabs>
          <w:tab w:leader="none" w:pos="1290" w:val="left"/>
        </w:tabs>
        <w:numPr>
          <w:ilvl w:val="1"/>
          <w:numId w:val="1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Severance Payments. </w:t>
      </w:r>
      <w:r>
        <w:rPr>
          <w:rFonts w:ascii="Times New Roman" w:cs="Times New Roman" w:eastAsia="Times New Roman" w:hAnsi="Times New Roman"/>
          <w:sz w:val="18"/>
          <w:szCs w:val="18"/>
          <w:color w:val="auto"/>
        </w:rPr>
        <w:t>The Company or its successor shall pay the Executive twelve (12) months of his/her monthly base salary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equal to his/her annual target bonus at 100% achievement of target, in each case, at the rate in effect immediately prior to the actions that resulted in the Separation. Such payment shall be paid in a cash lump sum in accordance with the Company’s standard payroll procedures, which payment will be made no later than the first regular payroll date occurring after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Separation,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Release Conditions have been satisfied. For the avoidance of doubt, in the event that a Change in Control occurs within three (3) months following a Qualifying Termination, then, provided that such Qualifying Termination followed a Potential Change in Control, then in addition to any prior payments under Section 2(a), Executive shall receive an additional payment in order to provide the benefits described in this Section 3(a).</w:t>
      </w:r>
    </w:p>
    <w:p>
      <w:pPr>
        <w:spacing w:after="0" w:line="190" w:lineRule="exact"/>
        <w:rPr>
          <w:rFonts w:ascii="Times New Roman" w:cs="Times New Roman" w:eastAsia="Times New Roman" w:hAnsi="Times New Roman"/>
          <w:sz w:val="18"/>
          <w:szCs w:val="18"/>
          <w:b w:val="1"/>
          <w:bCs w:val="1"/>
          <w:color w:val="010000"/>
        </w:rPr>
      </w:pPr>
    </w:p>
    <w:p>
      <w:pPr>
        <w:jc w:val="both"/>
        <w:ind w:firstLine="656"/>
        <w:spacing w:after="0" w:line="255" w:lineRule="auto"/>
        <w:tabs>
          <w:tab w:leader="none" w:pos="1286" w:val="left"/>
        </w:tabs>
        <w:numPr>
          <w:ilvl w:val="1"/>
          <w:numId w:val="1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Equity. </w:t>
      </w:r>
      <w:r>
        <w:rPr>
          <w:rFonts w:ascii="Times New Roman" w:cs="Times New Roman" w:eastAsia="Times New Roman" w:hAnsi="Times New Roman"/>
          <w:sz w:val="18"/>
          <w:szCs w:val="18"/>
          <w:color w:val="auto"/>
        </w:rPr>
        <w:t>Each of Executive’s then outstanding Equity Awards, other than awards that vest on the satisfaction of performance criteria,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accelerate and become vested and exercisable as to 100% of the total shares underlying such Equity Awards. As to outstanding Equity Awards that would vest only upon satisfaction of performance criteria, such awards shall accelerate and become vested and exercisable as if such awards had been achieved at the greater of (x) actual achievement (if measurable on the date of Executive’s Separation) or (y) target levels; provided, however, that the Company may specify, in any individual Equity Award agreement, that the acceleration provisions of such award agreement shall specifically overwrite the acceleration provisions set forth herein. Subject to Section 4, the accelerated vesting described above shall be effective as of the Separation. For the avoidance of doubt, in order to give effect to the acceleration contemplated by this Section 3(b), each of Executive’s outstanding Equity Awards shall remain outstanding and eligible for the vesting acceleration contemplated by this Section 3(b) for a period of three (3) months following a Qualifying Termination.</w:t>
      </w:r>
    </w:p>
    <w:p>
      <w:pPr>
        <w:spacing w:after="0" w:line="184"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93" w:val="left"/>
        </w:tabs>
        <w:numPr>
          <w:ilvl w:val="1"/>
          <w:numId w:val="1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COBRA; Pay in Lieu of Continued Employee Benefits. </w:t>
      </w:r>
      <w:r>
        <w:rPr>
          <w:rFonts w:ascii="Times New Roman" w:cs="Times New Roman" w:eastAsia="Times New Roman" w:hAnsi="Times New Roman"/>
          <w:sz w:val="18"/>
          <w:szCs w:val="18"/>
          <w:color w:val="auto"/>
        </w:rPr>
        <w:t>Continuation of COBRA or a cash benefit, in both cases on the same terms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2(b) above, for a period of twelve (12) months following the Executive’s Separation or, if earlier, until Executive is eligible to be covered under another substantially equivalent medical insurance plan by a subsequent employer.</w:t>
      </w:r>
    </w:p>
    <w:p>
      <w:pPr>
        <w:spacing w:after="0" w:line="170" w:lineRule="exact"/>
        <w:rPr>
          <w:rFonts w:ascii="Times New Roman" w:cs="Times New Roman" w:eastAsia="Times New Roman" w:hAnsi="Times New Roman"/>
          <w:sz w:val="18"/>
          <w:szCs w:val="18"/>
          <w:b w:val="1"/>
          <w:bCs w:val="1"/>
          <w:color w:val="010000"/>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General Release. </w:t>
      </w:r>
      <w:r>
        <w:rPr>
          <w:rFonts w:ascii="Times New Roman" w:cs="Times New Roman" w:eastAsia="Times New Roman" w:hAnsi="Times New Roman"/>
          <w:sz w:val="18"/>
          <w:szCs w:val="18"/>
          <w:color w:val="auto"/>
        </w:rPr>
        <w:t>Any other provision of this Agreement notwithstanding, the benefits under Section 2 and 3 shall not apply unless the Executive</w:t>
      </w:r>
    </w:p>
    <w:p>
      <w:pPr>
        <w:spacing w:after="0" w:line="31" w:lineRule="exact"/>
        <w:rPr>
          <w:rFonts w:ascii="Times New Roman" w:cs="Times New Roman" w:eastAsia="Times New Roman" w:hAnsi="Times New Roman"/>
          <w:sz w:val="18"/>
          <w:szCs w:val="18"/>
          <w:b w:val="1"/>
          <w:bCs w:val="1"/>
          <w:color w:val="010000"/>
        </w:rPr>
      </w:pPr>
    </w:p>
    <w:p>
      <w:pPr>
        <w:jc w:val="both"/>
        <w:spacing w:after="0" w:line="253" w:lineRule="auto"/>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The Company will deliver the form of Release to the Executive within thirty (30) days after the Executive’s Separation. The Executive must execute and return the Release within the time period specified in the form and in any event no later than sixty (60) days following the date of Executive’s Separation.</w:t>
      </w:r>
    </w:p>
    <w:p>
      <w:pPr>
        <w:spacing w:after="0" w:line="182" w:lineRule="exact"/>
        <w:rPr>
          <w:rFonts w:ascii="Times New Roman" w:cs="Times New Roman" w:eastAsia="Times New Roman" w:hAnsi="Times New Roman"/>
          <w:sz w:val="18"/>
          <w:szCs w:val="18"/>
          <w:b w:val="1"/>
          <w:bCs w:val="1"/>
          <w:color w:val="010000"/>
        </w:rPr>
      </w:pPr>
    </w:p>
    <w:p>
      <w:pPr>
        <w:jc w:val="both"/>
        <w:ind w:firstLine="8"/>
        <w:spacing w:after="0" w:line="254" w:lineRule="auto"/>
        <w:tabs>
          <w:tab w:leader="none" w:pos="648"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 xml:space="preserve">Accrued Compensation and Benefits. </w:t>
      </w:r>
      <w:r>
        <w:rPr>
          <w:rFonts w:ascii="Times New Roman" w:cs="Times New Roman" w:eastAsia="Times New Roman" w:hAnsi="Times New Roman"/>
          <w:sz w:val="18"/>
          <w:szCs w:val="18"/>
          <w:color w:val="auto"/>
        </w:rPr>
        <w:t>Notwithstanding anything to the contrary in Sections 2 and 3 above, in connection with any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Times New Roman" w:cs="Times New Roman" w:eastAsia="Times New Roman" w:hAnsi="Times New Roman"/>
          <w:sz w:val="18"/>
          <w:szCs w:val="18"/>
          <w:b w:val="1"/>
          <w:bCs w:val="1"/>
          <w:color w:val="auto"/>
        </w:rPr>
        <w:t>Accrued Compensation and Expenses</w:t>
      </w:r>
      <w:r>
        <w:rPr>
          <w:rFonts w:ascii="Times New Roman" w:cs="Times New Roman" w:eastAsia="Times New Roman" w:hAnsi="Times New Roman"/>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Times New Roman" w:cs="Times New Roman" w:eastAsia="Times New Roman" w:hAnsi="Times New Roman"/>
          <w:sz w:val="18"/>
          <w:szCs w:val="18"/>
          <w:b w:val="1"/>
          <w:bCs w:val="1"/>
          <w:color w:val="auto"/>
        </w:rPr>
        <w:t>Accrued Benefits</w:t>
      </w:r>
      <w:r>
        <w:rPr>
          <w:rFonts w:ascii="Times New Roman" w:cs="Times New Roman" w:eastAsia="Times New Roman" w:hAnsi="Times New Roman"/>
          <w:sz w:val="18"/>
          <w:szCs w:val="18"/>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Executive in which the termination occurs. Any Accrued Benefits to which the Executive is entitled shall be paid to the Executive as provided in the relevant plans and arrangements.</w:t>
      </w:r>
    </w:p>
    <w:p>
      <w:pPr>
        <w:spacing w:after="0" w:line="158"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1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any of the following events, as reasonably determined by the Company:</w:t>
      </w:r>
    </w:p>
    <w:p>
      <w:pPr>
        <w:spacing w:after="0" w:line="229" w:lineRule="exact"/>
        <w:rPr>
          <w:rFonts w:ascii="Times New Roman" w:cs="Times New Roman" w:eastAsia="Times New Roman" w:hAnsi="Times New Roman"/>
          <w:sz w:val="18"/>
          <w:szCs w:val="18"/>
          <w:b w:val="1"/>
          <w:bCs w:val="1"/>
          <w:color w:val="010000"/>
        </w:rPr>
      </w:pPr>
    </w:p>
    <w:p>
      <w:pPr>
        <w:ind w:firstLine="1304"/>
        <w:spacing w:after="0" w:line="282" w:lineRule="auto"/>
        <w:tabs>
          <w:tab w:leader="none" w:pos="1938" w:val="left"/>
        </w:tabs>
        <w:numPr>
          <w:ilvl w:val="2"/>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willful and material violation by Executive of any law or regulation applicable to the business of the Company or a parent or subsidiary of the Company;</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34" w:val="left"/>
        </w:tabs>
        <w:numPr>
          <w:ilvl w:val="2"/>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conviction for, or guilty plea to, a felony or a crime involving moral turpitude or any willful perpetration by Executive of a common law fraud;</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4" w:val="left"/>
        </w:tabs>
        <w:numPr>
          <w:ilvl w:val="2"/>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commission of an act of personal dishonesty which involves personal profit in connection with the Company or any other entity having a business relationship with the Company;</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934" w:val="left"/>
        </w:tabs>
        <w:numPr>
          <w:ilvl w:val="2"/>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breach by Executive of any provision of any agreement or understanding between the Company or any parent or subsidiary of the Company and Executive regarding the terms of Executive’s service as an employee to the Company or a parent or subsidiary of the Company, or any breach of any applicable invention assignment and confidentiality agreement or similar agreement between Executive and the Company;</w:t>
      </w:r>
    </w:p>
    <w:p>
      <w:pPr>
        <w:spacing w:after="0" w:line="175" w:lineRule="exact"/>
        <w:rPr>
          <w:rFonts w:ascii="Times New Roman" w:cs="Times New Roman" w:eastAsia="Times New Roman" w:hAnsi="Times New Roman"/>
          <w:sz w:val="18"/>
          <w:szCs w:val="18"/>
          <w:color w:val="010000"/>
        </w:rPr>
      </w:pPr>
    </w:p>
    <w:p>
      <w:pPr>
        <w:ind w:firstLine="1304"/>
        <w:spacing w:after="0" w:line="282" w:lineRule="auto"/>
        <w:tabs>
          <w:tab w:leader="none" w:pos="1938" w:val="left"/>
        </w:tabs>
        <w:numPr>
          <w:ilvl w:val="2"/>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disregard of the policies or regulations of the Company or any parent or subsidiary of the Company so as to cause material loss, damage or injury to the property, reputation or employees of the Company or a parent or subsidiary of the Company;</w:t>
      </w:r>
    </w:p>
    <w:p>
      <w:pPr>
        <w:spacing w:after="0" w:line="161" w:lineRule="exact"/>
        <w:rPr>
          <w:rFonts w:ascii="Times New Roman" w:cs="Times New Roman" w:eastAsia="Times New Roman" w:hAnsi="Times New Roman"/>
          <w:sz w:val="18"/>
          <w:szCs w:val="18"/>
          <w:color w:val="010000"/>
        </w:rPr>
      </w:pPr>
    </w:p>
    <w:p>
      <w:pPr>
        <w:ind w:right="20" w:firstLine="1304"/>
        <w:spacing w:after="0" w:line="282" w:lineRule="auto"/>
        <w:tabs>
          <w:tab w:leader="none" w:pos="1934" w:val="left"/>
        </w:tabs>
        <w:numPr>
          <w:ilvl w:val="2"/>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failure to cooperate in good faith with a governmental or internal investigation of the Company or its directors, officers or employees, if the Company has requested Executive’s assistance; or</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943" w:val="left"/>
        </w:tabs>
        <w:numPr>
          <w:ilvl w:val="2"/>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Executive’s willful and continuing failure to perform assigned duties after receiving written notification of the failure from the Company’s Chief Executive Officer.</w:t>
      </w:r>
    </w:p>
    <w:p>
      <w:pPr>
        <w:spacing w:after="0" w:line="161" w:lineRule="exact"/>
        <w:rPr>
          <w:rFonts w:ascii="Times New Roman" w:cs="Times New Roman" w:eastAsia="Times New Roman" w:hAnsi="Times New Roman"/>
          <w:sz w:val="18"/>
          <w:szCs w:val="18"/>
          <w:color w:val="010000"/>
        </w:rPr>
      </w:pPr>
    </w:p>
    <w:p>
      <w:pPr>
        <w:jc w:val="both"/>
        <w:ind w:left="1300" w:right="20" w:hanging="644"/>
        <w:spacing w:after="0" w:line="282" w:lineRule="auto"/>
        <w:tabs>
          <w:tab w:leader="none" w:pos="129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provide Executive with a written notice of the basis for a finding of Cause once known. Upon receiving such notice, Executive shall have a period of thirty (30) days to cure such Cause (if a cure is possible) to the satisfaction of the Company.</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86" w:val="left"/>
        </w:tabs>
        <w:numPr>
          <w:ilvl w:val="1"/>
          <w:numId w:val="1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For all purposes under this Agreement, a Change in Control shall mean a “Corporate Transaction,” as such term is defined in the Plan,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transaction (including any series of transactions) also qualifies as a change in control event under U.S. Treasury Regulation 1.409A-3(i)(5)(v) or (vii).</w:t>
      </w:r>
    </w:p>
    <w:p>
      <w:pPr>
        <w:spacing w:after="0" w:line="170"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1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“CIC Qualifying Termination” </w:t>
      </w:r>
      <w:r>
        <w:rPr>
          <w:rFonts w:ascii="Times New Roman" w:cs="Times New Roman" w:eastAsia="Times New Roman" w:hAnsi="Times New Roman"/>
          <w:sz w:val="18"/>
          <w:szCs w:val="18"/>
          <w:color w:val="auto"/>
        </w:rPr>
        <w:t>means a Separation (A) within twelve (12) months following a Change in Control or (B) within three</w:t>
      </w:r>
    </w:p>
    <w:p>
      <w:pPr>
        <w:spacing w:after="0" w:line="31" w:lineRule="exact"/>
        <w:rPr>
          <w:rFonts w:ascii="Times New Roman" w:cs="Times New Roman" w:eastAsia="Times New Roman" w:hAnsi="Times New Roman"/>
          <w:sz w:val="18"/>
          <w:szCs w:val="18"/>
          <w:b w:val="1"/>
          <w:bCs w:val="1"/>
          <w:color w:val="010000"/>
        </w:rPr>
      </w:pPr>
    </w:p>
    <w:p>
      <w:pPr>
        <w:jc w:val="both"/>
        <w:spacing w:after="0" w:line="252" w:lineRule="auto"/>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(3) months preceding a Change in Control (but as to part (B), only if the Separation occurs after a Potential Change in Control) resulting, in either case (A) or (B), from (i) the Company terminating the Executive’s employment for any reason other than Cause or (ii) the Executive voluntarily resigning his or her employment for Good Reason. A termination or resignation due to the Executive’s death or disability shall not constitute a CIC Qualifying Termination. A “</w:t>
      </w:r>
      <w:r>
        <w:rPr>
          <w:rFonts w:ascii="Times New Roman" w:cs="Times New Roman" w:eastAsia="Times New Roman" w:hAnsi="Times New Roman"/>
          <w:sz w:val="18"/>
          <w:szCs w:val="18"/>
          <w:b w:val="1"/>
          <w:bCs w:val="1"/>
          <w:color w:val="auto"/>
        </w:rPr>
        <w:t>Potential Change in Control</w:t>
      </w:r>
      <w:r>
        <w:rPr>
          <w:rFonts w:ascii="Times New Roman" w:cs="Times New Roman" w:eastAsia="Times New Roman" w:hAnsi="Times New Roman"/>
          <w:sz w:val="18"/>
          <w:szCs w:val="18"/>
          <w:color w:val="auto"/>
        </w:rPr>
        <w:t>” means the date of execution of a legally binding and definitive agreement for a corporate transaction which, if consummated, would constitute the applicable Change in Control (which for the avoidance of doubt, would include a merger agreement, but not a term sheet for a merger agreement). In the case of a termination following a Potential Change in Control and before a</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Change in Control, solely for purposes of benefits under this Agreement, the date of Separation will be deemed the date the Change in Control is consummated.</w:t>
      </w:r>
    </w:p>
    <w:p>
      <w:pPr>
        <w:spacing w:after="0" w:line="158" w:lineRule="exact"/>
        <w:rPr>
          <w:sz w:val="20"/>
          <w:szCs w:val="20"/>
          <w:color w:val="auto"/>
        </w:rPr>
      </w:pPr>
    </w:p>
    <w:p>
      <w:pPr>
        <w:ind w:firstLine="656"/>
        <w:spacing w:after="0" w:line="286" w:lineRule="auto"/>
        <w:tabs>
          <w:tab w:leader="none" w:pos="1287" w:val="left"/>
        </w:tabs>
        <w:numPr>
          <w:ilvl w:val="1"/>
          <w:numId w:val="1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means all options to purchase shares of common stock of Nextdoor Holdings, Inc., as well as all other stock-based awards granted to the Executive, including, but not limited to, stock bonus awards, restricted stock, restricted stock units and stock appreciation rights.</w:t>
      </w:r>
    </w:p>
    <w:p>
      <w:pPr>
        <w:spacing w:after="0" w:line="154" w:lineRule="exact"/>
        <w:rPr>
          <w:rFonts w:ascii="Times New Roman" w:cs="Times New Roman" w:eastAsia="Times New Roman" w:hAnsi="Times New Roman"/>
          <w:sz w:val="18"/>
          <w:szCs w:val="18"/>
          <w:b w:val="1"/>
          <w:bCs w:val="1"/>
          <w:color w:val="010000"/>
        </w:rPr>
      </w:pPr>
    </w:p>
    <w:p>
      <w:pPr>
        <w:jc w:val="both"/>
        <w:ind w:firstLine="656"/>
        <w:spacing w:after="0" w:line="253" w:lineRule="auto"/>
        <w:tabs>
          <w:tab w:leader="none" w:pos="1290" w:val="left"/>
        </w:tabs>
        <w:numPr>
          <w:ilvl w:val="1"/>
          <w:numId w:val="1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without the Executive’s written consent and provided (a) the Company receives, within thirty (30) days following the occurrence of any of the events set forth in clauses (i) through (iii) below, written notice from Executive indicating the specific basis for Executive’s belief that Executive is entitled to terminate employment for Good Reason, (b) the Company fails to cure the event constituting Good Reason within thirty (30) days after receipt of such written notice thereof, and (c) Executive terminates employment within ten (10) days following expiration of such cure period or receipt from the Company of notice that it will not seek to cure: (i) a material decrease in Executive’s annual base compensation, other than in connection with a general decrease applied to similarly-ranked executives of the Company; (ii) if Executive has a principal workplace (as set forth in Executive’s offer letter or employment agreement, or as otherwise subsequently agreed by the Company and Executive) (the “</w:t>
      </w:r>
      <w:r>
        <w:rPr>
          <w:rFonts w:ascii="Times New Roman" w:cs="Times New Roman" w:eastAsia="Times New Roman" w:hAnsi="Times New Roman"/>
          <w:sz w:val="18"/>
          <w:szCs w:val="18"/>
          <w:b w:val="1"/>
          <w:bCs w:val="1"/>
          <w:i w:val="1"/>
          <w:iCs w:val="1"/>
          <w:color w:val="auto"/>
        </w:rPr>
        <w:t>Principal Location</w:t>
      </w:r>
      <w:r>
        <w:rPr>
          <w:rFonts w:ascii="Times New Roman" w:cs="Times New Roman" w:eastAsia="Times New Roman" w:hAnsi="Times New Roman"/>
          <w:sz w:val="18"/>
          <w:szCs w:val="18"/>
          <w:color w:val="auto"/>
        </w:rPr>
        <w:t>”), receipt of notice that Executive’s principal workplace will be relocated more than twenty-five (25) miles from the Principal Location; or (iii) a material diminution in Executive’s authority, duties, or responsibilities (provided, however, that having a similar position, authority, duties or responsibilities after a Change in Control with respect to a division or line of business, rather than a substantially comparable position, authority, reporting structure, duties or responsibilities with respect to the Company’s successor or acquiror, as a whole, shall not alone be considered such a diminution and that a mere change in title, a change in the person or office to which you report shall not constitute “Good Reason”).</w:t>
      </w:r>
    </w:p>
    <w:p>
      <w:pPr>
        <w:spacing w:after="0" w:line="189"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1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Nextdoor Holdings, Inc. 2021 Equity Incentive Plan, as may be amended from time to time.</w:t>
      </w:r>
    </w:p>
    <w:p>
      <w:pPr>
        <w:spacing w:after="0" w:line="225" w:lineRule="exact"/>
        <w:rPr>
          <w:rFonts w:ascii="Times New Roman" w:cs="Times New Roman" w:eastAsia="Times New Roman" w:hAnsi="Times New Roman"/>
          <w:sz w:val="18"/>
          <w:szCs w:val="18"/>
          <w:b w:val="1"/>
          <w:bCs w:val="1"/>
          <w:color w:val="010000"/>
        </w:rPr>
      </w:pPr>
    </w:p>
    <w:p>
      <w:pPr>
        <w:ind w:firstLine="656"/>
        <w:spacing w:after="0" w:line="286" w:lineRule="auto"/>
        <w:tabs>
          <w:tab w:leader="none" w:pos="1290" w:val="left"/>
        </w:tabs>
        <w:numPr>
          <w:ilvl w:val="1"/>
          <w:numId w:val="1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154"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87" w:val="left"/>
        </w:tabs>
        <w:numPr>
          <w:ilvl w:val="1"/>
          <w:numId w:val="1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a Separation that is not a CIC Qualifying Termination, but which results from (i) the Company terminating the Executive’s employment for any reason other than Cause or (ii) the Executive voluntarily resigning his or her employment for Good Reason. A termination or resignation due to the Executive’s death or disability shall not constitute a Qualifying Termination.</w:t>
      </w:r>
    </w:p>
    <w:p>
      <w:pPr>
        <w:spacing w:after="0" w:line="170" w:lineRule="exact"/>
        <w:rPr>
          <w:rFonts w:ascii="Times New Roman" w:cs="Times New Roman" w:eastAsia="Times New Roman" w:hAnsi="Times New Roman"/>
          <w:sz w:val="18"/>
          <w:szCs w:val="18"/>
          <w:b w:val="1"/>
          <w:bCs w:val="1"/>
          <w:color w:val="010000"/>
        </w:rPr>
      </w:pPr>
    </w:p>
    <w:p>
      <w:pPr>
        <w:ind w:left="1300" w:hanging="644"/>
        <w:spacing w:after="0"/>
        <w:tabs>
          <w:tab w:leader="none" w:pos="1300" w:val="left"/>
        </w:tabs>
        <w:numPr>
          <w:ilvl w:val="1"/>
          <w:numId w:val="1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a “separation from service,” as defined in the regulations under Section 409A of the Code.</w:t>
      </w:r>
    </w:p>
    <w:p>
      <w:pPr>
        <w:spacing w:after="0" w:line="225" w:lineRule="exact"/>
        <w:rPr>
          <w:rFonts w:ascii="Times New Roman" w:cs="Times New Roman" w:eastAsia="Times New Roman" w:hAnsi="Times New Roman"/>
          <w:sz w:val="18"/>
          <w:szCs w:val="18"/>
          <w:b w:val="1"/>
          <w:bCs w:val="1"/>
          <w:color w:val="010000"/>
        </w:rPr>
      </w:pPr>
    </w:p>
    <w:p>
      <w:pPr>
        <w:ind w:left="660" w:hanging="652"/>
        <w:spacing w:after="0"/>
        <w:tabs>
          <w:tab w:leader="none" w:pos="660" w:val="left"/>
        </w:tabs>
        <w:numPr>
          <w:ilvl w:val="0"/>
          <w:numId w:val="1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Successors.</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59" w:lineRule="auto"/>
        <w:tabs>
          <w:tab w:leader="none" w:pos="1290" w:val="left"/>
        </w:tabs>
        <w:numPr>
          <w:ilvl w:val="1"/>
          <w:numId w:val="1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Company’s Successors. </w:t>
      </w:r>
      <w:r>
        <w:rPr>
          <w:rFonts w:ascii="Times New Roman" w:cs="Times New Roman" w:eastAsia="Times New Roman" w:hAnsi="Times New Roman"/>
          <w:sz w:val="18"/>
          <w:szCs w:val="18"/>
          <w:color w:val="auto"/>
        </w:rPr>
        <w:t>The Company shall require any successor (whether direct or indirect and whether by purchase, lease,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79" w:lineRule="exact"/>
        <w:rPr>
          <w:rFonts w:ascii="Times New Roman" w:cs="Times New Roman" w:eastAsia="Times New Roman" w:hAnsi="Times New Roman"/>
          <w:sz w:val="18"/>
          <w:szCs w:val="18"/>
          <w:b w:val="1"/>
          <w:bCs w:val="1"/>
          <w:color w:val="010000"/>
        </w:rPr>
      </w:pPr>
    </w:p>
    <w:p>
      <w:pPr>
        <w:ind w:firstLine="656"/>
        <w:spacing w:after="0" w:line="286" w:lineRule="auto"/>
        <w:tabs>
          <w:tab w:leader="none" w:pos="1286" w:val="left"/>
        </w:tabs>
        <w:numPr>
          <w:ilvl w:val="1"/>
          <w:numId w:val="1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Executive’s Successors. </w:t>
      </w:r>
      <w:r>
        <w:rPr>
          <w:rFonts w:ascii="Times New Roman" w:cs="Times New Roman" w:eastAsia="Times New Roman" w:hAnsi="Times New Roman"/>
          <w:sz w:val="18"/>
          <w:szCs w:val="18"/>
          <w:color w:val="auto"/>
        </w:rPr>
        <w:t>This Agreement and all rights of the Executive hereunder shall inure to the benefit of, and be enforceable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personal or legal representatives, executors, administrators, successors, heirs, distributees, devisees and legatees.</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Golden Parachute Taxes.</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52" w:lineRule="auto"/>
        <w:tabs>
          <w:tab w:leader="none" w:pos="1290" w:val="left"/>
        </w:tabs>
        <w:numPr>
          <w:ilvl w:val="1"/>
          <w:numId w:val="1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Best After-Tax Result. </w:t>
      </w:r>
      <w:r>
        <w:rPr>
          <w:rFonts w:ascii="Times New Roman" w:cs="Times New Roman" w:eastAsia="Times New Roman" w:hAnsi="Times New Roman"/>
          <w:sz w:val="18"/>
          <w:szCs w:val="18"/>
          <w:color w:val="auto"/>
        </w:rPr>
        <w:t>In the event that any payment or benefit received or to be received by Executive pursuant to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subject to the provisions of this 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Times New Roman" w:cs="Times New Roman" w:eastAsia="Times New Roman" w:hAnsi="Times New Roman"/>
          <w:sz w:val="18"/>
          <w:szCs w:val="18"/>
          <w:b w:val="1"/>
          <w:bCs w:val="1"/>
          <w:color w:val="auto"/>
        </w:rPr>
        <w:t>Reduced Amount</w:t>
      </w:r>
      <w:r>
        <w:rPr>
          <w:rFonts w:ascii="Times New Roman" w:cs="Times New Roman" w:eastAsia="Times New Roman" w:hAnsi="Times New Roman"/>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Times New Roman" w:cs="Times New Roman" w:eastAsia="Times New Roman" w:hAnsi="Times New Roman"/>
          <w:sz w:val="18"/>
          <w:szCs w:val="18"/>
          <w:b w:val="1"/>
          <w:bCs w:val="1"/>
          <w:color w:val="auto"/>
        </w:rPr>
        <w:t>Independent Tax Counsel</w:t>
      </w:r>
      <w:r>
        <w:rPr>
          <w:rFonts w:ascii="Times New Roman" w:cs="Times New Roman" w:eastAsia="Times New Roman" w:hAnsi="Times New Roman"/>
          <w:sz w:val="18"/>
          <w:szCs w:val="18"/>
          <w:color w:val="auto"/>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determines that any Payment is subject to the Excise Tax, then Section 8(b) hereof shall apply, and the enforcement of Section 8(b) shall be the exclusive remedy to the Company.</w:t>
      </w:r>
    </w:p>
    <w:p>
      <w:pPr>
        <w:spacing w:after="0" w:line="185" w:lineRule="exact"/>
        <w:rPr>
          <w:rFonts w:ascii="Times New Roman" w:cs="Times New Roman" w:eastAsia="Times New Roman" w:hAnsi="Times New Roman"/>
          <w:sz w:val="18"/>
          <w:szCs w:val="18"/>
          <w:b w:val="1"/>
          <w:bCs w:val="1"/>
          <w:color w:val="010000"/>
        </w:rPr>
      </w:pPr>
    </w:p>
    <w:p>
      <w:pPr>
        <w:jc w:val="both"/>
        <w:ind w:firstLine="656"/>
        <w:spacing w:after="0" w:line="254" w:lineRule="auto"/>
        <w:tabs>
          <w:tab w:leader="none" w:pos="1286" w:val="left"/>
        </w:tabs>
        <w:numPr>
          <w:ilvl w:val="1"/>
          <w:numId w:val="1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18"/>
          <w:szCs w:val="18"/>
          <w:color w:val="auto"/>
        </w:rPr>
        <w:t>If, notwithstanding any reduction described in Section 8(a) hereof (or in the absence of any such reduction), the 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Times New Roman" w:cs="Times New Roman" w:eastAsia="Times New Roman" w:hAnsi="Times New Roman"/>
          <w:sz w:val="18"/>
          <w:szCs w:val="18"/>
          <w:b w:val="1"/>
          <w:bCs w:val="1"/>
          <w:color w:val="auto"/>
        </w:rPr>
        <w:t>Repayment Amount</w:t>
      </w:r>
      <w:r>
        <w:rPr>
          <w:rFonts w:ascii="Times New Roman" w:cs="Times New Roman" w:eastAsia="Times New Roman" w:hAnsi="Times New Roman"/>
          <w:sz w:val="18"/>
          <w:szCs w:val="18"/>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w:t>
      </w:r>
    </w:p>
    <w:p>
      <w:pPr>
        <w:spacing w:after="0" w:line="3" w:lineRule="exact"/>
        <w:rPr>
          <w:rFonts w:ascii="Times New Roman" w:cs="Times New Roman" w:eastAsia="Times New Roman" w:hAnsi="Times New Roman"/>
          <w:sz w:val="18"/>
          <w:szCs w:val="18"/>
          <w:b w:val="1"/>
          <w:bCs w:val="1"/>
          <w:color w:val="010000"/>
        </w:rPr>
      </w:pPr>
    </w:p>
    <w:p>
      <w:pPr>
        <w:jc w:val="both"/>
        <w:ind w:right="20"/>
        <w:spacing w:after="0" w:line="255" w:lineRule="auto"/>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spacing w:after="0" w:line="181" w:lineRule="exact"/>
        <w:rPr>
          <w:rFonts w:ascii="Times New Roman" w:cs="Times New Roman" w:eastAsia="Times New Roman" w:hAnsi="Times New Roman"/>
          <w:sz w:val="18"/>
          <w:szCs w:val="18"/>
          <w:b w:val="1"/>
          <w:bCs w:val="1"/>
          <w:color w:val="010000"/>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Miscellaneous Provisions.</w:t>
      </w:r>
    </w:p>
    <w:p>
      <w:pPr>
        <w:spacing w:after="0" w:line="225" w:lineRule="exact"/>
        <w:rPr>
          <w:rFonts w:ascii="Times New Roman" w:cs="Times New Roman" w:eastAsia="Times New Roman" w:hAnsi="Times New Roman"/>
          <w:sz w:val="18"/>
          <w:szCs w:val="18"/>
          <w:b w:val="1"/>
          <w:bCs w:val="1"/>
          <w:color w:val="010000"/>
        </w:rPr>
      </w:pPr>
    </w:p>
    <w:p>
      <w:pPr>
        <w:jc w:val="both"/>
        <w:ind w:firstLine="656"/>
        <w:spacing w:after="0" w:line="262" w:lineRule="auto"/>
        <w:tabs>
          <w:tab w:leader="none" w:pos="1290" w:val="left"/>
        </w:tabs>
        <w:numPr>
          <w:ilvl w:val="1"/>
          <w:numId w:val="1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To the extent (i) any payments to which Executive becomes entitled under this Agreement, or any agreement or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00" w:lineRule="exact"/>
        <w:rPr>
          <w:sz w:val="20"/>
          <w:szCs w:val="20"/>
          <w:color w:val="auto"/>
        </w:rPr>
      </w:pP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(6)-month period measured from the Executive’s Separation; or (ii) the date of Executive’s death following such Separation;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193" w:lineRule="exact"/>
        <w:rPr>
          <w:sz w:val="20"/>
          <w:szCs w:val="20"/>
          <w:color w:val="auto"/>
        </w:rPr>
      </w:pPr>
    </w:p>
    <w:p>
      <w:pPr>
        <w:jc w:val="both"/>
        <w:ind w:firstLine="656"/>
        <w:spacing w:after="0" w:line="257" w:lineRule="auto"/>
        <w:tabs>
          <w:tab w:leader="none" w:pos="1286" w:val="left"/>
        </w:tabs>
        <w:numPr>
          <w:ilvl w:val="0"/>
          <w:numId w:val="1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Other Arrangements. </w:t>
      </w:r>
      <w:r>
        <w:rPr>
          <w:rFonts w:ascii="Times New Roman" w:cs="Times New Roman" w:eastAsia="Times New Roman" w:hAnsi="Times New Roman"/>
          <w:sz w:val="18"/>
          <w:szCs w:val="18"/>
          <w:color w:val="auto"/>
        </w:rPr>
        <w:t>This Agreement supersedes any and all cash severance arrangements and vesting acceleration arrangements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governing Equity Awards, severance and salary continuation arrangements, programs and plans which were previously offered by the Company to the Executive, including under any employment agreement or offer letter, and Executive hereby waives Executive’s rights to such other benefits except as set forth in the succeeding sentence. In no event shall any individual receive cash severance benefits under both this Agreement and any other severance pay or salary continuation program, plan or other arrangement with the Company. For the avoidance of doubt, in no event shall Executive receive payment under both Section 2 and Section 3 with respect to Executive’s Separation.</w:t>
      </w:r>
    </w:p>
    <w:p>
      <w:pPr>
        <w:spacing w:after="0" w:line="182" w:lineRule="exact"/>
        <w:rPr>
          <w:rFonts w:ascii="Times New Roman" w:cs="Times New Roman" w:eastAsia="Times New Roman" w:hAnsi="Times New Roman"/>
          <w:sz w:val="18"/>
          <w:szCs w:val="18"/>
          <w:b w:val="1"/>
          <w:bCs w:val="1"/>
          <w:color w:val="010000"/>
        </w:rPr>
      </w:pPr>
    </w:p>
    <w:p>
      <w:pPr>
        <w:jc w:val="both"/>
        <w:ind w:firstLine="656"/>
        <w:spacing w:after="0" w:line="268" w:lineRule="auto"/>
        <w:tabs>
          <w:tab w:leader="none" w:pos="1293" w:val="left"/>
        </w:tabs>
        <w:numPr>
          <w:ilvl w:val="0"/>
          <w:numId w:val="1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Dispute Resolution. </w:t>
      </w:r>
      <w:r>
        <w:rPr>
          <w:rFonts w:ascii="Times New Roman" w:cs="Times New Roman" w:eastAsia="Times New Roman" w:hAnsi="Times New Roman"/>
          <w:sz w:val="18"/>
          <w:szCs w:val="18"/>
          <w:color w:val="auto"/>
        </w:rPr>
        <w:t>Executive hereby acknowledges and agrees that his or her Arbitration Agreement with the Company remains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and effect and that any and all disputes arising in connection with this Agreement shall be solely governed by the terms and procedures set forth in Executive’s Arbitration Agreement.</w:t>
      </w:r>
    </w:p>
    <w:p>
      <w:pPr>
        <w:spacing w:after="0" w:line="170" w:lineRule="exact"/>
        <w:rPr>
          <w:rFonts w:ascii="Times New Roman" w:cs="Times New Roman" w:eastAsia="Times New Roman" w:hAnsi="Times New Roman"/>
          <w:sz w:val="18"/>
          <w:szCs w:val="18"/>
          <w:b w:val="1"/>
          <w:bCs w:val="1"/>
          <w:color w:val="010000"/>
        </w:rPr>
      </w:pPr>
    </w:p>
    <w:p>
      <w:pPr>
        <w:jc w:val="both"/>
        <w:ind w:firstLine="656"/>
        <w:spacing w:after="0" w:line="256" w:lineRule="auto"/>
        <w:tabs>
          <w:tab w:leader="none" w:pos="1286" w:val="left"/>
        </w:tabs>
        <w:numPr>
          <w:ilvl w:val="0"/>
          <w:numId w:val="1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Notices and all other communications contemplated by this Agreement shall be in writing (including via email)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been duly given when (i) personally delivered, (ii) when mailed by U.S. registered or certified mail, return receipt requested and postage prepaid or deposited with Federal Express Corporation, with shipping charges prepaid, or (iii) when sent by email, on the date that the email is received (provided that, if the time of deemed receipt is not before 5:30PM local time on a business day, it is deemed to have been received at the commencement of business on the next business day). In the case of the Executive, mailed notices shall be addressed to him or her at the home address or email address which he or she most recently communicated to the Company. In the case of the Company, mailed notices shall be addressed to its corporate headquarters, and all notices shall be directed to the attention of its Secretary.</w:t>
      </w:r>
    </w:p>
    <w:p>
      <w:pPr>
        <w:spacing w:after="0" w:line="182" w:lineRule="exact"/>
        <w:rPr>
          <w:rFonts w:ascii="Times New Roman" w:cs="Times New Roman" w:eastAsia="Times New Roman" w:hAnsi="Times New Roman"/>
          <w:sz w:val="18"/>
          <w:szCs w:val="18"/>
          <w:b w:val="1"/>
          <w:bCs w:val="1"/>
          <w:color w:val="010000"/>
        </w:rPr>
      </w:pPr>
    </w:p>
    <w:p>
      <w:pPr>
        <w:jc w:val="both"/>
        <w:ind w:firstLine="656"/>
        <w:spacing w:after="0" w:line="262" w:lineRule="auto"/>
        <w:tabs>
          <w:tab w:leader="none" w:pos="1293" w:val="left"/>
        </w:tabs>
        <w:numPr>
          <w:ilvl w:val="0"/>
          <w:numId w:val="14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No provision of this Agreement shall be modified, waived or discharged unless the modification, waiver or discharge is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00" w:lineRule="exact"/>
        <w:rPr>
          <w:sz w:val="20"/>
          <w:szCs w:val="20"/>
          <w:color w:val="auto"/>
        </w:rPr>
      </w:pPr>
    </w:p>
    <w:p>
      <w:pPr>
        <w:spacing w:after="0" w:line="219" w:lineRule="exact"/>
        <w:rPr>
          <w:sz w:val="20"/>
          <w:szCs w:val="20"/>
          <w:color w:val="auto"/>
        </w:rPr>
      </w:pPr>
    </w:p>
    <w:p>
      <w:pPr>
        <w:ind w:left="-656" w:firstLine="656"/>
        <w:spacing w:after="0" w:line="286" w:lineRule="auto"/>
        <w:tabs>
          <w:tab w:leader="none" w:pos="631" w:val="left"/>
        </w:tabs>
        <w:numPr>
          <w:ilvl w:val="0"/>
          <w:numId w:val="1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Withholding Taxes. </w:t>
      </w:r>
      <w:r>
        <w:rPr>
          <w:rFonts w:ascii="Times New Roman" w:cs="Times New Roman" w:eastAsia="Times New Roman" w:hAnsi="Times New Roman"/>
          <w:sz w:val="18"/>
          <w:szCs w:val="18"/>
          <w:color w:val="auto"/>
        </w:rPr>
        <w:t>All payments made under this Agreement shall be subject to reduction to reflect taxes or other charges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withheld by law.</w:t>
      </w:r>
    </w:p>
    <w:p>
      <w:pPr>
        <w:spacing w:after="0" w:line="154" w:lineRule="exact"/>
        <w:rPr>
          <w:rFonts w:ascii="Times New Roman" w:cs="Times New Roman" w:eastAsia="Times New Roman" w:hAnsi="Times New Roman"/>
          <w:sz w:val="18"/>
          <w:szCs w:val="18"/>
          <w:b w:val="1"/>
          <w:bCs w:val="1"/>
          <w:color w:val="010000"/>
        </w:rPr>
      </w:pPr>
    </w:p>
    <w:p>
      <w:pPr>
        <w:ind w:left="-656" w:firstLine="656"/>
        <w:spacing w:after="0" w:line="286" w:lineRule="auto"/>
        <w:tabs>
          <w:tab w:leader="none" w:pos="634" w:val="left"/>
        </w:tabs>
        <w:numPr>
          <w:ilvl w:val="0"/>
          <w:numId w:val="1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invalidity or unenforceability of any provision or provisions of this Agreement shall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any other provision hereof, which shall remain in full force and effect.</w:t>
      </w:r>
    </w:p>
    <w:p>
      <w:pPr>
        <w:spacing w:after="0" w:line="154" w:lineRule="exact"/>
        <w:rPr>
          <w:rFonts w:ascii="Times New Roman" w:cs="Times New Roman" w:eastAsia="Times New Roman" w:hAnsi="Times New Roman"/>
          <w:sz w:val="18"/>
          <w:szCs w:val="18"/>
          <w:b w:val="1"/>
          <w:bCs w:val="1"/>
          <w:color w:val="010000"/>
        </w:rPr>
      </w:pPr>
    </w:p>
    <w:p>
      <w:pPr>
        <w:jc w:val="both"/>
        <w:ind w:left="-656" w:right="20" w:firstLine="656"/>
        <w:spacing w:after="0" w:line="268" w:lineRule="auto"/>
        <w:tabs>
          <w:tab w:leader="none" w:pos="630" w:val="left"/>
        </w:tabs>
        <w:numPr>
          <w:ilvl w:val="0"/>
          <w:numId w:val="1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No Retention Rights. </w:t>
      </w:r>
      <w:r>
        <w:rPr>
          <w:rFonts w:ascii="Times New Roman" w:cs="Times New Roman" w:eastAsia="Times New Roman" w:hAnsi="Times New Roman"/>
          <w:sz w:val="18"/>
          <w:szCs w:val="18"/>
          <w:color w:val="auto"/>
        </w:rPr>
        <w:t>Nothing in this Agreement shall confer upon the Executive any right to continue in service for any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170" w:lineRule="exact"/>
        <w:rPr>
          <w:rFonts w:ascii="Times New Roman" w:cs="Times New Roman" w:eastAsia="Times New Roman" w:hAnsi="Times New Roman"/>
          <w:sz w:val="18"/>
          <w:szCs w:val="18"/>
          <w:b w:val="1"/>
          <w:bCs w:val="1"/>
          <w:color w:val="010000"/>
        </w:rPr>
      </w:pPr>
    </w:p>
    <w:p>
      <w:pPr>
        <w:ind w:left="-656" w:right="20" w:firstLine="656"/>
        <w:spacing w:after="0" w:line="286" w:lineRule="auto"/>
        <w:tabs>
          <w:tab w:leader="none" w:pos="634" w:val="left"/>
        </w:tabs>
        <w:numPr>
          <w:ilvl w:val="0"/>
          <w:numId w:val="14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The validity, interpretation, construction and performance of this Agreement shall be governed by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(other than its choice-of-law provisions).</w:t>
      </w:r>
    </w:p>
    <w:p>
      <w:pPr>
        <w:sectPr>
          <w:pgSz w:w="11900" w:h="16838" w:orient="portrait"/>
          <w:cols w:equalWidth="0" w:num="1">
            <w:col w:w="10584"/>
          </w:cols>
          <w:pgMar w:left="976" w:top="1440" w:right="339" w:bottom="1440" w:gutter="0" w:footer="0" w:header="0"/>
        </w:sectPr>
      </w:pPr>
    </w:p>
    <w:bookmarkStart w:id="167" w:name="page168"/>
    <w:bookmarkEnd w:id="167"/>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executed this Agreement, in the case of the Company by its duly authorized officer, as of the day and year first above written.</w:t>
      </w:r>
    </w:p>
    <w:p>
      <w:pPr>
        <w:spacing w:after="0" w:line="212"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EXECUTIVE</w:t>
      </w:r>
      <w:r>
        <w:rPr>
          <w:sz w:val="20"/>
          <w:szCs w:val="20"/>
          <w:color w:val="auto"/>
        </w:rPr>
        <w:tab/>
      </w:r>
      <w:r>
        <w:rPr>
          <w:rFonts w:ascii="Times New Roman" w:cs="Times New Roman" w:eastAsia="Times New Roman" w:hAnsi="Times New Roman"/>
          <w:sz w:val="18"/>
          <w:szCs w:val="18"/>
          <w:b w:val="1"/>
          <w:bCs w:val="1"/>
          <w:color w:val="auto"/>
        </w:rPr>
        <w:t>NEXTDOOR,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w w:val="99"/>
              </w:rPr>
              <w:t>/s/ Michael Kiernan</w:t>
            </w:r>
          </w:p>
        </w:tc>
        <w:tc>
          <w:tcPr>
            <w:tcW w:w="2080" w:type="dxa"/>
            <w:vAlign w:val="bottom"/>
          </w:tcPr>
          <w:p>
            <w:pPr>
              <w:spacing w:after="0"/>
              <w:rPr>
                <w:sz w:val="17"/>
                <w:szCs w:val="17"/>
                <w:color w:val="auto"/>
              </w:rPr>
            </w:pPr>
          </w:p>
        </w:tc>
        <w:tc>
          <w:tcPr>
            <w:tcW w:w="426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Nirav Tolia</w:t>
            </w:r>
          </w:p>
        </w:tc>
      </w:tr>
      <w:tr>
        <w:trPr>
          <w:trHeight w:val="20"/>
        </w:trPr>
        <w:tc>
          <w:tcPr>
            <w:tcW w:w="14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Michael Kiernan</w:t>
            </w:r>
          </w:p>
        </w:tc>
        <w:tc>
          <w:tcPr>
            <w:tcW w:w="2080" w:type="dxa"/>
            <w:vAlign w:val="bottom"/>
          </w:tcPr>
          <w:p>
            <w:pPr>
              <w:spacing w:after="0"/>
              <w:rPr>
                <w:sz w:val="18"/>
                <w:szCs w:val="18"/>
                <w:color w:val="auto"/>
              </w:rPr>
            </w:pPr>
          </w:p>
        </w:tc>
        <w:tc>
          <w:tcPr>
            <w:tcW w:w="426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Name: Nirav Tolia</w:t>
            </w:r>
          </w:p>
        </w:tc>
      </w:tr>
      <w:tr>
        <w:trPr>
          <w:trHeight w:val="234"/>
        </w:trPr>
        <w:tc>
          <w:tcPr>
            <w:tcW w:w="1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6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w w:val="98"/>
              </w:rPr>
              <w:t>Title: Chief Executive Officer</w:t>
            </w:r>
          </w:p>
        </w:tc>
      </w:tr>
    </w:tbl>
    <w:p>
      <w:pPr>
        <w:sectPr>
          <w:pgSz w:w="11900" w:h="16838" w:orient="portrait"/>
          <w:cols w:equalWidth="0" w:num="1">
            <w:col w:w="11240"/>
          </w:cols>
          <w:pgMar w:left="320" w:top="1440" w:right="339" w:bottom="1440" w:gutter="0" w:footer="0" w:header="0"/>
        </w:sectPr>
      </w:pPr>
    </w:p>
    <w:bookmarkStart w:id="168" w:name="page169"/>
    <w:bookmarkEnd w:id="168"/>
    <w:p>
      <w:pPr>
        <w:spacing w:after="0" w:line="200" w:lineRule="exact"/>
        <w:rPr>
          <w:sz w:val="20"/>
          <w:szCs w:val="20"/>
          <w:color w:val="auto"/>
        </w:rPr>
      </w:pPr>
    </w:p>
    <w:p>
      <w:pPr>
        <w:spacing w:after="0" w:line="2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Arbitration Agreement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Dear Employee:</w:t>
      </w:r>
    </w:p>
    <w:p>
      <w:pPr>
        <w:spacing w:after="0" w:line="229"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The following pages contain an Arbitration Agreement (the “</w:t>
      </w:r>
      <w:r>
        <w:rPr>
          <w:rFonts w:ascii="Times New Roman" w:cs="Times New Roman" w:eastAsia="Times New Roman" w:hAnsi="Times New Roman"/>
          <w:sz w:val="19"/>
          <w:szCs w:val="19"/>
          <w:b w:val="1"/>
          <w:bCs w:val="1"/>
          <w:color w:val="auto"/>
        </w:rPr>
        <w:t>Arbitration Agreement</w:t>
      </w:r>
      <w:r>
        <w:rPr>
          <w:rFonts w:ascii="Times New Roman" w:cs="Times New Roman" w:eastAsia="Times New Roman" w:hAnsi="Times New Roman"/>
          <w:sz w:val="19"/>
          <w:szCs w:val="19"/>
          <w:color w:val="auto"/>
        </w:rPr>
        <w:t>”). If there is a dispute between you and Nextdoor about your employment that cannot be resolved, this Arbitration Agreement relates to how such disputes would be decided.</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Under the Arbitration Agreement, in many, but not all cases, employment disputes would be decided by a neutral arbitrator, instead of in a court or administrative hearing. You also agree that any disputes covered by the Arbitration Agreement would not proceed as class actions or class arbitrations. This means that you would pursue most employment related claims as an individual on your own behalf and that the final resolution would be only of your claims.</w:t>
      </w:r>
    </w:p>
    <w:p>
      <w:pPr>
        <w:spacing w:after="0" w:line="1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Arbitration Agreement provides that Nextdoor will pay for any administrative or hearing fees charged by the arbitrator or JAMS except that if you initiate arbitration, you must pay the filing fees up to the amount you would have paid had you filed a complaint in a court of law. The Arbitration Agreement does not ask you to waive any of the grounds on which you could make an employment-related claim or any types of remedies or damages that you could otherwise receive from a court or in an administrative hearing.</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Judicial Arbitration &amp; Mediation Services, Inc.’s (“</w:t>
      </w:r>
      <w:r>
        <w:rPr>
          <w:rFonts w:ascii="Times New Roman" w:cs="Times New Roman" w:eastAsia="Times New Roman" w:hAnsi="Times New Roman"/>
          <w:sz w:val="19"/>
          <w:szCs w:val="19"/>
          <w:b w:val="1"/>
          <w:bCs w:val="1"/>
          <w:color w:val="auto"/>
        </w:rPr>
        <w:t>JAMS</w:t>
      </w:r>
      <w:r>
        <w:rPr>
          <w:rFonts w:ascii="Times New Roman" w:cs="Times New Roman" w:eastAsia="Times New Roman" w:hAnsi="Times New Roman"/>
          <w:sz w:val="19"/>
          <w:szCs w:val="19"/>
          <w:color w:val="auto"/>
        </w:rPr>
        <w:t>”) Employment Rules &amp; Procedures (the “</w:t>
      </w:r>
      <w:r>
        <w:rPr>
          <w:rFonts w:ascii="Times New Roman" w:cs="Times New Roman" w:eastAsia="Times New Roman" w:hAnsi="Times New Roman"/>
          <w:sz w:val="19"/>
          <w:szCs w:val="19"/>
          <w:b w:val="1"/>
          <w:bCs w:val="1"/>
          <w:color w:val="auto"/>
        </w:rPr>
        <w:t>JAMS Rules</w:t>
      </w:r>
      <w:r>
        <w:rPr>
          <w:rFonts w:ascii="Times New Roman" w:cs="Times New Roman" w:eastAsia="Times New Roman" w:hAnsi="Times New Roman"/>
          <w:sz w:val="19"/>
          <w:szCs w:val="19"/>
          <w:color w:val="auto"/>
        </w:rPr>
        <w:t xml:space="preserve">”) referenced in the Arbitration Agreement are available at </w:t>
      </w:r>
      <w:r>
        <w:rPr>
          <w:rFonts w:ascii="Times New Roman" w:cs="Times New Roman" w:eastAsia="Times New Roman" w:hAnsi="Times New Roman"/>
          <w:sz w:val="19"/>
          <w:szCs w:val="19"/>
          <w:u w:val="single" w:color="auto"/>
          <w:color w:val="0000FF"/>
        </w:rPr>
        <w:t>http://www.jamsadr.com/rules-employment-arbitration</w:t>
      </w:r>
      <w:r>
        <w:rPr>
          <w:rFonts w:ascii="Times New Roman" w:cs="Times New Roman" w:eastAsia="Times New Roman" w:hAnsi="Times New Roman"/>
          <w:sz w:val="19"/>
          <w:szCs w:val="19"/>
          <w:color w:val="auto"/>
        </w:rPr>
        <w:t>. The JAMS Demand for Arbitration</w:t>
      </w: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 xml:space="preserve">form referenced in the Arbitration Agreement is available at </w:t>
      </w:r>
      <w:r>
        <w:rPr>
          <w:rFonts w:ascii="Times New Roman" w:cs="Times New Roman" w:eastAsia="Times New Roman" w:hAnsi="Times New Roman"/>
          <w:sz w:val="20"/>
          <w:szCs w:val="20"/>
          <w:color w:val="0000FF"/>
        </w:rPr>
        <w:t>https://www.jamsadr.com/files/Uploads/Documents/JAMS_Arbitration_Demand.pdf</w:t>
      </w:r>
      <w:r>
        <w:rPr>
          <w:rFonts w:ascii="Times New Roman" w:cs="Times New Roman" w:eastAsia="Times New Roman" w:hAnsi="Times New Roman"/>
          <w:sz w:val="20"/>
          <w:szCs w:val="20"/>
          <w:color w:val="000000"/>
        </w:rPr>
        <w:t>.</w:t>
      </w: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Please read the Arbitration Agreement carefully and ask any questions you may have before you sign it. This letter is not intended to constitute a contract, but is merely intended to outline certain details of the Arbitration Agreement. If you have any questions, you should direct them to the Nextdoor People team at peopleteam@nextdoor.com.</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 acknowledge receipt of this letter and a copy of the Arbitration Agreement.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December 20, 2024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Employee Signature: </w:t>
      </w:r>
      <w:r>
        <w:rPr>
          <w:rFonts w:ascii="Times New Roman" w:cs="Times New Roman" w:eastAsia="Times New Roman" w:hAnsi="Times New Roman"/>
          <w:sz w:val="20"/>
          <w:szCs w:val="20"/>
          <w:u w:val="single" w:color="auto"/>
          <w:color w:val="auto"/>
        </w:rPr>
        <w:t>/s/ Michael Kiernan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Employee Printed Name: </w:t>
      </w:r>
      <w:r>
        <w:rPr>
          <w:rFonts w:ascii="Times New Roman" w:cs="Times New Roman" w:eastAsia="Times New Roman" w:hAnsi="Times New Roman"/>
          <w:sz w:val="20"/>
          <w:szCs w:val="20"/>
          <w:u w:val="single" w:color="auto"/>
          <w:color w:val="auto"/>
        </w:rPr>
        <w:t>Michael Kiernan</w:t>
      </w:r>
    </w:p>
    <w:p>
      <w:pPr>
        <w:sectPr>
          <w:pgSz w:w="11900" w:h="16838" w:orient="portrait"/>
          <w:cols w:equalWidth="0" w:num="1">
            <w:col w:w="10660"/>
          </w:cols>
          <w:pgMar w:left="800" w:top="1440" w:right="439" w:bottom="1440" w:gutter="0" w:footer="0" w:header="0"/>
        </w:sectPr>
      </w:pPr>
    </w:p>
    <w:bookmarkStart w:id="169" w:name="page170"/>
    <w:bookmarkEnd w:id="169"/>
    <w:p>
      <w:pPr>
        <w:spacing w:after="0" w:line="200" w:lineRule="exact"/>
        <w:rPr>
          <w:sz w:val="20"/>
          <w:szCs w:val="20"/>
          <w:color w:val="auto"/>
        </w:rPr>
      </w:pPr>
    </w:p>
    <w:p>
      <w:pPr>
        <w:spacing w:after="0" w:line="28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b w:val="1"/>
          <w:bCs w:val="1"/>
          <w:u w:val="single" w:color="auto"/>
          <w:color w:val="auto"/>
        </w:rPr>
        <w:t>MUTUAL AGREEMENT TO ARBITRATE CLAIMS</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CONSIDERATION OF MY APPLICATION FOR OR ACCEPTANCE OF EMPLOYMENT WITH NEXTDOOR, INC. AND/OR ITS SUBSIDIARIES, AFFILIATES, SUCCESSORS OR ASSIGNS (COLLECTIVELY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RECEIPT OF THE COMPENSATION AND OTHER BENEFITS PAID TO ME, AND THE MUTUAL PROMISES CONTAINED IN THIS MUTUAL AGREEMENT TO ARBITRATE CLAIMS (“ARBITRATION AGREEMENT” OR “AGREEMENT”), THE COMPANY AND I (COLLECTIVELY REFERRED TO HEREIN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AND INDIVIDUALLY AS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AGREE AS FOLLOWS:</w:t>
      </w:r>
    </w:p>
    <w:p>
      <w:pPr>
        <w:spacing w:after="0" w:line="175" w:lineRule="exact"/>
        <w:rPr>
          <w:sz w:val="20"/>
          <w:szCs w:val="20"/>
          <w:color w:val="auto"/>
        </w:rPr>
      </w:pPr>
    </w:p>
    <w:p>
      <w:pPr>
        <w:ind w:right="440" w:firstLine="644"/>
        <w:spacing w:after="0" w:line="260" w:lineRule="auto"/>
        <w:tabs>
          <w:tab w:leader="none" w:pos="823"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Acceptance of Agreement. </w:t>
      </w:r>
      <w:r>
        <w:rPr>
          <w:rFonts w:ascii="Times New Roman" w:cs="Times New Roman" w:eastAsia="Times New Roman" w:hAnsi="Times New Roman"/>
          <w:sz w:val="20"/>
          <w:szCs w:val="20"/>
          <w:color w:val="auto"/>
        </w:rPr>
        <w:t>I acknowledge that my submission of an application for employment or acceptance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is deemed my acceptance of and agreement to be bound by all of the terms and provisions of this Arbitration Agreement. The issuance of this Arbitration Agreement is deemed the Company’s acceptance of and agreement to be bound by all of its terms and provisions.</w:t>
      </w:r>
    </w:p>
    <w:p>
      <w:pPr>
        <w:spacing w:after="0" w:line="191" w:lineRule="exact"/>
        <w:rPr>
          <w:rFonts w:ascii="Times New Roman" w:cs="Times New Roman" w:eastAsia="Times New Roman" w:hAnsi="Times New Roman"/>
          <w:sz w:val="20"/>
          <w:szCs w:val="20"/>
          <w:b w:val="1"/>
          <w:bCs w:val="1"/>
          <w:color w:val="auto"/>
        </w:rPr>
      </w:pPr>
    </w:p>
    <w:p>
      <w:pPr>
        <w:jc w:val="both"/>
        <w:ind w:firstLine="644"/>
        <w:spacing w:after="0" w:line="258" w:lineRule="auto"/>
        <w:tabs>
          <w:tab w:leader="none" w:pos="823"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Claims Covered by this Arbitration Agreement</w:t>
      </w:r>
      <w:r>
        <w:rPr>
          <w:rFonts w:ascii="Times New Roman" w:cs="Times New Roman" w:eastAsia="Times New Roman" w:hAnsi="Times New Roman"/>
          <w:sz w:val="20"/>
          <w:szCs w:val="20"/>
          <w:color w:val="auto"/>
        </w:rPr>
        <w:t>. This Agreement to arbitrate covers all controversies, claims, or disputes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Claims”</w:t>
      </w:r>
      <w:r>
        <w:rPr>
          <w:rFonts w:ascii="Times New Roman" w:cs="Times New Roman" w:eastAsia="Times New Roman" w:hAnsi="Times New Roman"/>
          <w:sz w:val="20"/>
          <w:szCs w:val="20"/>
          <w:color w:val="auto"/>
        </w:rPr>
        <w:t>) arising out of, relating to, or resulting from my employment with the Company or the termination thereof, whether under federal, state or local laws, but not including Excluded Claims. Covered Claims include claims I may have against the Company or against any of its former and current owners, officers, directors, supervisors, managers, employees, insurers, attorneys, shareholders, benefit plan, and agents of the Company, or that the Company may have against me.</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Covered Claims include, without limitation, claims for overtime, unpaid wages, bonuses or commissions, vacations, paid sick leave, paid time off, expense reimbursement, or other compensation or benefits, claims involving meal and rest breaks, background checks, privacy, trade secrets, copyright, trademark, license, patent, unfair competition, violation of public policy, wrongful discharge or wrongful termination, breach of contract (whether oral, electronic, or written, express or implied), breach of covenant of good faith and fair dealing (whether express or implied), all claims for any tort of any nature (including without limitation, intentional or negligent infliction of emotional distress, fraud, misrepresentation, interference with economic advantage, defamation, libel, slander, false light), benefits, classification of any kind, 401(k), leaves of absence, retaliation, discrimination and/or harassment (but not including a sexual harassment dispute or sexual assault dispute as defined under the Ending Forced Arbitration of Sexual Assault and Sexual Harassment Act of 2021, an Excluded Claim), and individual claims under the California Private Attorneys General Act (“PAGA”). Covered Claims also include claims for violation of any federal, state, local, or other government law, statutes, regulation, constitution, or ordinance (including but not limited to, claims arising under the Fair Credit Reporting Act, Defend Trade Secrets Act, Title VII of the Civil Rights Act of 1964, 42 U.S.C. §1981, Rehabilitation Act, Civil Rights Acts of 1866 and 1871, the Civil Rights Act of 1991, 8 U.S.C. § 1324b (unfair immigration related practices), the Pregnancy Discrimination Act, Equal Pay Act, Americans With Disabilities Act, Age Discrimination in Employment Act, Family Medical Leave Act, Fair Labor Standards Act, Employee Retirement Income Security Act (except for claims for employee benefits under any benefit plan sponsored by the Company and (a) covered by the Employee Retirement Income Security Act of 1974 or (b) funded by insurance), Affordable Care Act, Genetic Information Non-Discrimination Act, Uniformed Services Employment and Reemployment Rights Act, Worker Adjustment and Retraining Notification Act, Older Workers Benefits Protection Act of 1990, Occupational Safety and Health Act, Consolidated</w:t>
      </w:r>
    </w:p>
    <w:p>
      <w:pPr>
        <w:sectPr>
          <w:pgSz w:w="11900" w:h="16838" w:orient="portrait"/>
          <w:cols w:equalWidth="0" w:num="1">
            <w:col w:w="10660"/>
          </w:cols>
          <w:pgMar w:left="800" w:top="1440" w:right="4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Omnibus Budget Reconciliation Act of 1985, False Claims Act, California Fair Employment and Housing Act, California Family Rights Act, California Industrial Welfare Wage Orders, California Labor Code, and any other applicable laws or regulations relating to employment). All claims in arbitration are subject to the same statutes of limitation that would apply in an administrative or court proceeding.</w:t>
      </w:r>
    </w:p>
    <w:p>
      <w:pPr>
        <w:spacing w:after="0" w:line="183" w:lineRule="exact"/>
        <w:rPr>
          <w:sz w:val="20"/>
          <w:szCs w:val="20"/>
          <w:color w:val="auto"/>
        </w:rPr>
      </w:pPr>
    </w:p>
    <w:p>
      <w:pPr>
        <w:jc w:val="both"/>
        <w:ind w:right="20" w:firstLine="644"/>
        <w:spacing w:after="0" w:line="263" w:lineRule="auto"/>
        <w:tabs>
          <w:tab w:leader="none" w:pos="823"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Claims Not Covered</w:t>
      </w:r>
      <w:r>
        <w:rPr>
          <w:rFonts w:ascii="Times New Roman" w:cs="Times New Roman" w:eastAsia="Times New Roman" w:hAnsi="Times New Roman"/>
          <w:sz w:val="20"/>
          <w:szCs w:val="20"/>
          <w:color w:val="auto"/>
        </w:rPr>
        <w:t>. Specifically excluded from this Arbitration Agreement are sexual harassment disputes or sexual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assault disputes as defined under the Ending Forced Arbitration of Sexual Assault and Sexual Harassment Act of 2021, and any claims that are not arbitrable by law (collectively, the “</w:t>
      </w:r>
      <w:r>
        <w:rPr>
          <w:rFonts w:ascii="Times New Roman" w:cs="Times New Roman" w:eastAsia="Times New Roman" w:hAnsi="Times New Roman"/>
          <w:sz w:val="20"/>
          <w:szCs w:val="20"/>
          <w:b w:val="1"/>
          <w:bCs w:val="1"/>
          <w:color w:val="auto"/>
        </w:rPr>
        <w:t>Excluded Claims</w:t>
      </w:r>
      <w:r>
        <w:rPr>
          <w:rFonts w:ascii="Times New Roman" w:cs="Times New Roman" w:eastAsia="Times New Roman" w:hAnsi="Times New Roman"/>
          <w:sz w:val="20"/>
          <w:szCs w:val="20"/>
          <w:color w:val="auto"/>
        </w:rPr>
        <w:t>”), which include the following:</w:t>
      </w:r>
    </w:p>
    <w:p>
      <w:pPr>
        <w:spacing w:after="0" w:line="179" w:lineRule="exact"/>
        <w:rPr>
          <w:rFonts w:ascii="Times New Roman" w:cs="Times New Roman" w:eastAsia="Times New Roman" w:hAnsi="Times New Roman"/>
          <w:sz w:val="20"/>
          <w:szCs w:val="20"/>
          <w:b w:val="1"/>
          <w:bCs w:val="1"/>
          <w:color w:val="auto"/>
        </w:rPr>
      </w:pPr>
    </w:p>
    <w:p>
      <w:pPr>
        <w:ind w:left="1100" w:hanging="455"/>
        <w:spacing w:after="0"/>
        <w:tabs>
          <w:tab w:leader="none" w:pos="110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workers’ compensation benefits;</w:t>
      </w:r>
    </w:p>
    <w:p>
      <w:pPr>
        <w:spacing w:after="0" w:line="215" w:lineRule="exact"/>
        <w:rPr>
          <w:rFonts w:ascii="Times New Roman" w:cs="Times New Roman" w:eastAsia="Times New Roman" w:hAnsi="Times New Roman"/>
          <w:sz w:val="20"/>
          <w:szCs w:val="20"/>
          <w:color w:val="auto"/>
        </w:rPr>
      </w:pPr>
    </w:p>
    <w:p>
      <w:pPr>
        <w:ind w:left="1120" w:hanging="476"/>
        <w:spacing w:after="0"/>
        <w:tabs>
          <w:tab w:leader="none" w:pos="112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unemployment compensation benefits;</w:t>
      </w:r>
    </w:p>
    <w:p>
      <w:pPr>
        <w:spacing w:after="0" w:line="229" w:lineRule="exact"/>
        <w:rPr>
          <w:rFonts w:ascii="Times New Roman" w:cs="Times New Roman" w:eastAsia="Times New Roman" w:hAnsi="Times New Roman"/>
          <w:sz w:val="20"/>
          <w:szCs w:val="20"/>
          <w:color w:val="auto"/>
        </w:rPr>
      </w:pPr>
    </w:p>
    <w:p>
      <w:pPr>
        <w:jc w:val="both"/>
        <w:ind w:left="640" w:firstLine="4"/>
        <w:spacing w:after="0" w:line="261" w:lineRule="auto"/>
        <w:tabs>
          <w:tab w:leader="none" w:pos="1467"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claims filed with government agencies such as the Equal Employment Opportunity Commission (EEOC), California Department of Fair Employment and Housing (DFEH), equivalent applicable state agency, or the National Labor Relations Board (NLRB);</w:t>
      </w:r>
    </w:p>
    <w:p>
      <w:pPr>
        <w:spacing w:after="0" w:line="181" w:lineRule="exact"/>
        <w:rPr>
          <w:rFonts w:ascii="Times New Roman" w:cs="Times New Roman" w:eastAsia="Times New Roman" w:hAnsi="Times New Roman"/>
          <w:sz w:val="20"/>
          <w:szCs w:val="20"/>
          <w:color w:val="auto"/>
        </w:rPr>
      </w:pPr>
    </w:p>
    <w:p>
      <w:pPr>
        <w:ind w:left="640" w:right="20" w:firstLine="4"/>
        <w:spacing w:after="0" w:line="269" w:lineRule="auto"/>
        <w:tabs>
          <w:tab w:leader="none" w:pos="1465"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that are expressly required to be arbitrated under a different procedure required by the Company's Executive benefit plans, if any;</w:t>
      </w:r>
    </w:p>
    <w:p>
      <w:pPr>
        <w:spacing w:after="0" w:line="172" w:lineRule="exact"/>
        <w:rPr>
          <w:rFonts w:ascii="Times New Roman" w:cs="Times New Roman" w:eastAsia="Times New Roman" w:hAnsi="Times New Roman"/>
          <w:sz w:val="20"/>
          <w:szCs w:val="20"/>
          <w:color w:val="auto"/>
        </w:rPr>
      </w:pPr>
    </w:p>
    <w:p>
      <w:pPr>
        <w:ind w:left="640" w:right="20" w:firstLine="4"/>
        <w:spacing w:after="0" w:line="283" w:lineRule="auto"/>
        <w:tabs>
          <w:tab w:leader="none" w:pos="1467"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application by either Party for any provisional remedy, including a temporary restraining order or preliminary injunction;</w:t>
      </w:r>
    </w:p>
    <w:p>
      <w:pPr>
        <w:spacing w:after="0" w:line="146" w:lineRule="exact"/>
        <w:rPr>
          <w:rFonts w:ascii="Times New Roman" w:cs="Times New Roman" w:eastAsia="Times New Roman" w:hAnsi="Times New Roman"/>
          <w:sz w:val="20"/>
          <w:szCs w:val="20"/>
          <w:color w:val="auto"/>
        </w:rPr>
      </w:pPr>
    </w:p>
    <w:p>
      <w:pPr>
        <w:ind w:left="940" w:hanging="295"/>
        <w:spacing w:after="0"/>
        <w:tabs>
          <w:tab w:leader="none" w:pos="94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that could be decided by a State of California Small Claims Court; and</w:t>
      </w:r>
    </w:p>
    <w:p>
      <w:pPr>
        <w:spacing w:after="0" w:line="229" w:lineRule="exact"/>
        <w:rPr>
          <w:rFonts w:ascii="Times New Roman" w:cs="Times New Roman" w:eastAsia="Times New Roman" w:hAnsi="Times New Roman"/>
          <w:sz w:val="20"/>
          <w:szCs w:val="20"/>
          <w:color w:val="auto"/>
        </w:rPr>
      </w:pPr>
    </w:p>
    <w:p>
      <w:pPr>
        <w:ind w:left="960" w:hanging="316"/>
        <w:spacing w:after="0"/>
        <w:tabs>
          <w:tab w:leader="none" w:pos="96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claims which are otherwise expressly excluded from binding arbitration by governing law.</w:t>
      </w:r>
    </w:p>
    <w:p>
      <w:pPr>
        <w:spacing w:after="0" w:line="216"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20"/>
          <w:szCs w:val="20"/>
          <w:color w:val="auto"/>
        </w:rPr>
        <w:t>To the extent that the Parties’ dispute involves both timely filed Covered Claims and Excluded Claims, the Parties agree to bifurcate and stay the Excluded Claims pending the resolution of the arbitration proceedings. The Excluded Claims will be determined in a court or other required forum, unless the Company and I agree otherwise.</w:t>
      </w:r>
    </w:p>
    <w:p>
      <w:pPr>
        <w:spacing w:after="0" w:line="161" w:lineRule="exact"/>
        <w:rPr>
          <w:sz w:val="20"/>
          <w:szCs w:val="20"/>
          <w:color w:val="auto"/>
        </w:rPr>
      </w:pPr>
    </w:p>
    <w:p>
      <w:pPr>
        <w:jc w:val="both"/>
        <w:ind w:right="20" w:firstLine="567"/>
        <w:spacing w:after="0" w:line="283" w:lineRule="auto"/>
        <w:rPr>
          <w:sz w:val="20"/>
          <w:szCs w:val="20"/>
          <w:color w:val="auto"/>
        </w:rPr>
      </w:pPr>
      <w:r>
        <w:rPr>
          <w:rFonts w:ascii="Times New Roman" w:cs="Times New Roman" w:eastAsia="Times New Roman" w:hAnsi="Times New Roman"/>
          <w:sz w:val="20"/>
          <w:szCs w:val="20"/>
          <w:color w:val="auto"/>
        </w:rPr>
        <w:t>I understand that this Arbitration Agreement does not restrict my rights to engage in concerted activities under Section 7 of the National Labor Relations Act.</w:t>
      </w:r>
    </w:p>
    <w:p>
      <w:pPr>
        <w:spacing w:after="0" w:line="142" w:lineRule="exact"/>
        <w:rPr>
          <w:sz w:val="20"/>
          <w:szCs w:val="20"/>
          <w:color w:val="auto"/>
        </w:rPr>
      </w:pPr>
    </w:p>
    <w:p>
      <w:pPr>
        <w:jc w:val="both"/>
        <w:ind w:firstLine="644"/>
        <w:spacing w:after="0" w:line="252" w:lineRule="auto"/>
        <w:tabs>
          <w:tab w:leader="none" w:pos="823"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Class Action Waiver. This Arbitration Agreement affects your ability to bring or participate in class, collective or representative actions. </w:t>
      </w:r>
      <w:r>
        <w:rPr>
          <w:rFonts w:ascii="Times New Roman" w:cs="Times New Roman" w:eastAsia="Times New Roman" w:hAnsi="Times New Roman"/>
          <w:sz w:val="20"/>
          <w:szCs w:val="20"/>
          <w:color w:val="auto"/>
        </w:rPr>
        <w:t>Both the Company and I agree to bring any Covered Claim in arbitration on an individual basis only, and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 class, collective, or representative action basis on behalf of others. There will be no right or authority for any Covered Claim to be brought, heard or arbitrated as a class, collective, or representative action. Except for those representative claims which cannot be waived under applicable law and which are therefore excluded from this Agreement, I expressly intend and agree that: (a) class, collective, or representative action procedures are hereby waived and shall not be asserted, nor will they apply, in any arbitration pursuant to this Arbitration Agreement; (b) each Party will not assert class, collective, or representative action claims against the other in arbitration, (c) I and the Company shall only submit our own individual claims in arbitration and will not seek to represent the interests of any other person in arbitration, or act as a participant in class, collective, or representative action against the Company, including claims made under PAGA; and (d)</w:t>
      </w:r>
    </w:p>
    <w:p>
      <w:pPr>
        <w:sectPr>
          <w:pgSz w:w="11900" w:h="16838" w:orient="portrait"/>
          <w:cols w:equalWidth="0" w:num="1">
            <w:col w:w="10660"/>
          </w:cols>
          <w:pgMar w:left="800" w:top="1440" w:right="439"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that any PAGA action I may file will be stayed pending a determination of whether I may lawfully bring a non-individual PAGA claim. In addition, to the extent that any charge is filed under the National Labor Relations Act with regard to this provision, the Company and I agree that such claim will also be similarly stayed pending the outcome of arbitration. (</w:t>
      </w:r>
      <w:r>
        <w:rPr>
          <w:rFonts w:ascii="Times New Roman" w:cs="Times New Roman" w:eastAsia="Times New Roman" w:hAnsi="Times New Roman"/>
          <w:sz w:val="20"/>
          <w:szCs w:val="20"/>
          <w:b w:val="1"/>
          <w:bCs w:val="1"/>
          <w:color w:val="auto"/>
        </w:rPr>
        <w:t>“Class Action Waiver”</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Notwithstanding any other provision of this Arbitration Agreement or the JAMS Rules (defined below), disputes in court or arbitration regarding the validity, enforceability or breach of the Class Action Waiver may be resolved only by the court and not by an arbitrator. In any case in which (1) Covered Claim is filed as a class or collective action and (2) there is a final judicial determination that all or part of the Class Action Waiver is unenforceable, the class and/or collective action to that extent must be litigated in a civil court of competent jurisdiction, but the portion of the Class Action Waiver that is enforceable shall be enforced in arbitration. You will not be retaliated against, disciplined or threatened with discipline as a result of your filing of or participation in a class or collective action in any forum. However, the Company may lawfully seek enforcement of this Arbitration Agreement and the Class Action Waiver under the Federal Arbitration Act and seek dismissal of such class,collective, or representative actions or claims. The Class Action Waiver shall be severable in any case in which the dispute is filed as an individual action and severance is necessary to ensure that the individual action proceeds in arbitration.</w:t>
      </w:r>
    </w:p>
    <w:p>
      <w:pPr>
        <w:spacing w:after="0" w:line="173" w:lineRule="exact"/>
        <w:rPr>
          <w:sz w:val="20"/>
          <w:szCs w:val="20"/>
          <w:color w:val="auto"/>
        </w:rPr>
      </w:pPr>
    </w:p>
    <w:p>
      <w:pPr>
        <w:jc w:val="both"/>
        <w:ind w:right="20" w:firstLine="644"/>
        <w:spacing w:after="0" w:line="270" w:lineRule="auto"/>
        <w:tabs>
          <w:tab w:leader="none" w:pos="876"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 of Right to Court or Jury Trial</w:t>
      </w:r>
      <w:r>
        <w:rPr>
          <w:rFonts w:ascii="Times New Roman" w:cs="Times New Roman" w:eastAsia="Times New Roman" w:hAnsi="Times New Roman"/>
          <w:sz w:val="20"/>
          <w:szCs w:val="20"/>
          <w:color w:val="auto"/>
        </w:rPr>
        <w:t>. I understand that, by signing this Arbitration Agreement, both the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 are giving up any right we may have to a trial by judge or jury and are giving up rights of appeal following the rendering of a decision except as applicable law provides for judicial review of arbitration decisions.</w:t>
      </w:r>
    </w:p>
    <w:p>
      <w:pPr>
        <w:spacing w:after="0" w:line="155" w:lineRule="exact"/>
        <w:rPr>
          <w:rFonts w:ascii="Times New Roman" w:cs="Times New Roman" w:eastAsia="Times New Roman" w:hAnsi="Times New Roman"/>
          <w:sz w:val="20"/>
          <w:szCs w:val="20"/>
          <w:b w:val="1"/>
          <w:bCs w:val="1"/>
          <w:color w:val="auto"/>
        </w:rPr>
      </w:pPr>
    </w:p>
    <w:p>
      <w:pPr>
        <w:jc w:val="both"/>
        <w:ind w:firstLine="644"/>
        <w:spacing w:after="0" w:line="260" w:lineRule="auto"/>
        <w:tabs>
          <w:tab w:leader="none" w:pos="895"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Arbitration Procedures. </w:t>
      </w:r>
      <w:r>
        <w:rPr>
          <w:rFonts w:ascii="Times New Roman" w:cs="Times New Roman" w:eastAsia="Times New Roman" w:hAnsi="Times New Roman"/>
          <w:sz w:val="20"/>
          <w:szCs w:val="20"/>
          <w:color w:val="auto"/>
        </w:rPr>
        <w:t>The Company and I agree that any arbitration will be administered by Judicial Arbitration &amp;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Mediation Services, Inc. (“</w:t>
      </w:r>
      <w:r>
        <w:rPr>
          <w:rFonts w:ascii="Times New Roman" w:cs="Times New Roman" w:eastAsia="Times New Roman" w:hAnsi="Times New Roman"/>
          <w:sz w:val="20"/>
          <w:szCs w:val="20"/>
          <w:b w:val="1"/>
          <w:bCs w:val="1"/>
          <w:color w:val="auto"/>
        </w:rPr>
        <w:t>JAMS</w:t>
      </w:r>
      <w:r>
        <w:rPr>
          <w:rFonts w:ascii="Times New Roman" w:cs="Times New Roman" w:eastAsia="Times New Roman" w:hAnsi="Times New Roman"/>
          <w:sz w:val="20"/>
          <w:szCs w:val="20"/>
          <w:color w:val="auto"/>
        </w:rPr>
        <w:t>”), pursuant to its Employment Rules &amp; Procedures (the “</w:t>
      </w:r>
      <w:r>
        <w:rPr>
          <w:rFonts w:ascii="Times New Roman" w:cs="Times New Roman" w:eastAsia="Times New Roman" w:hAnsi="Times New Roman"/>
          <w:sz w:val="20"/>
          <w:szCs w:val="20"/>
          <w:b w:val="1"/>
          <w:bCs w:val="1"/>
          <w:color w:val="auto"/>
        </w:rPr>
        <w:t>JAMS Rules</w:t>
      </w:r>
      <w:r>
        <w:rPr>
          <w:rFonts w:ascii="Times New Roman" w:cs="Times New Roman" w:eastAsia="Times New Roman" w:hAnsi="Times New Roman"/>
          <w:sz w:val="20"/>
          <w:szCs w:val="20"/>
          <w:color w:val="auto"/>
        </w:rPr>
        <w:t>”), which are available at http://www.jamsadr.com/rules-employment-arbitration/. Arbitration may be initiated using JAMS’ Demand for Arbitration form (the “</w:t>
      </w:r>
      <w:r>
        <w:rPr>
          <w:rFonts w:ascii="Times New Roman" w:cs="Times New Roman" w:eastAsia="Times New Roman" w:hAnsi="Times New Roman"/>
          <w:sz w:val="20"/>
          <w:szCs w:val="20"/>
          <w:b w:val="1"/>
          <w:bCs w:val="1"/>
          <w:color w:val="auto"/>
        </w:rPr>
        <w:t>Demand</w:t>
      </w:r>
      <w:r>
        <w:rPr>
          <w:rFonts w:ascii="Times New Roman" w:cs="Times New Roman" w:eastAsia="Times New Roman" w:hAnsi="Times New Roman"/>
          <w:sz w:val="20"/>
          <w:szCs w:val="20"/>
          <w:color w:val="auto"/>
        </w:rPr>
        <w:t>”), and submitting a copy of it to JAMS.</w:t>
      </w:r>
    </w:p>
    <w:p>
      <w:pPr>
        <w:spacing w:after="0" w:line="182" w:lineRule="exact"/>
        <w:rPr>
          <w:sz w:val="20"/>
          <w:szCs w:val="20"/>
          <w:color w:val="auto"/>
        </w:rPr>
      </w:pPr>
    </w:p>
    <w:p>
      <w:pPr>
        <w:jc w:val="both"/>
        <w:ind w:firstLine="778"/>
        <w:spacing w:after="0" w:line="251" w:lineRule="auto"/>
        <w:rPr>
          <w:sz w:val="20"/>
          <w:szCs w:val="20"/>
          <w:color w:val="auto"/>
        </w:rPr>
      </w:pPr>
      <w:r>
        <w:rPr>
          <w:rFonts w:ascii="Times New Roman" w:cs="Times New Roman" w:eastAsia="Times New Roman" w:hAnsi="Times New Roman"/>
          <w:sz w:val="20"/>
          <w:szCs w:val="20"/>
          <w:color w:val="auto"/>
        </w:rPr>
        <w:t>A copy of the Demand form may be requested from JAMS or found on its website, https://www.jamsadr.com/files/Uploads/Documents/JAMS_Arbitration_Demand.pdf. Any arbitration procedure must be demanded or initiated within the same period of time that a civil action or administrative claim based on the Covered Claim could be commenced. Failure to make a written demand within the applicable statutory period constitutes a waiver to raise that claim in any forum. I agree to provide written notice of any claim by email to the Company’s Counsel Team at legal@nextdoor.com. Written notice of any claim by the Company will be mailed to my last known address. The written notice shall identify and describe the nature of all claims asserted and the facts upon which such claims are based.</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and I agree that any arbitration under this Arbitration Agreement shall be submitted before a single arbitrator and conducted in San Francisco County or the site of the closest JAMS office to my most recent primary place of employment for the Company. The Company and I will attempt to agree upon an arbitrator within twenty-one (21) calendar days of notice to the non-initiating Party of the Demand. If the Parties are not able to agree upon a neutral arbitrator within that timeframe, the arbitrator will be selected pursuant to JAMS’ Employment Rules &amp; Procedures.</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arbitrator must follow substantive state or federal law (and the laws of remedies, if applicable) as applicable to the claim(s) asserted. The Parties will be entitled to conduct reasonable discovery and the arbitrator will have the authority to determine what constitutes reasonable discovery.</w:t>
      </w:r>
    </w:p>
    <w:p>
      <w:pPr>
        <w:sectPr>
          <w:pgSz w:w="11900" w:h="16838" w:orient="portrait"/>
          <w:cols w:equalWidth="0" w:num="1">
            <w:col w:w="10660"/>
          </w:cols>
          <w:pgMar w:left="800" w:top="1440" w:right="43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Parties agree that the arbitrator shall have the power to decide any motions brought by any Party to the arbitration, including motions for summary judgment and/or adjudications, motions to dismiss and demurrers. The arbitrator may award only those remedies in law or equity which are requested by the Parties, allowed by law, and would have been available had the matter been heard in court.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arbitrator’s decision must be in writing and contain findings of fact and conclusions of law on the issues submitted by the Parties. The arbitrator will not decide any issue not submitted. The Company and I agree that the decree or award rendered by the arbitrator may be entered as a final and binding judgment in any court having proper jurisdiction to compel arbitration under this Arbitration Agreement, and to confirm, modify, vacate or enforce an arbitration award, to the extent permitted by applicable law.</w:t>
      </w:r>
    </w:p>
    <w:p>
      <w:pPr>
        <w:spacing w:after="0" w:line="172"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The Company agrees that it will pay for any administrative or hearing fees charged by the arbitrator or JAMS except that I shall pay any filing fees associated with any arbitration that I initiate, but only so much of the filing fees as I would have paid had I filed a complaint in the federal or state court in the jurisdiction in which the Covered Claim arose, whichever is less. Each Party is responsible for their own attorney fees and costs in any arbitration proceeding. However, if any Party prevails on a statutory claim which affords the prevailing Party attorney’s fees and costs, or if there is a written agreement providing for such attorney’s fees and costs, the arbitrator may award reasonable attorney’s fees and costs to the prevailing Party. Any dispute as to the reasonableness of any fee or cost shall be resolved by the arbitrator.</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arbitrator, and not any court or governmental agency, shall have the exclusive authority to resolve any controversy, dispute, or claim relating to the interpretation, enforceability or formation of the Arbitration Agreement, consistent with applicable law.</w:t>
      </w:r>
    </w:p>
    <w:p>
      <w:pPr>
        <w:spacing w:after="0" w:line="16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decision of the arbitrator will be final and binding on the Parties and cannot be reviewed for error of fact or law of any kind, except as required by applicable law.</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If the JAMS Rules are inconsistent with the terms of this Agreement, the terms of this Agreement shall govern unless such terms are not enforceable under applicable law.</w:t>
      </w:r>
    </w:p>
    <w:p>
      <w:pPr>
        <w:spacing w:after="0" w:line="169" w:lineRule="exact"/>
        <w:rPr>
          <w:sz w:val="20"/>
          <w:szCs w:val="20"/>
          <w:color w:val="auto"/>
        </w:rPr>
      </w:pPr>
    </w:p>
    <w:p>
      <w:pPr>
        <w:jc w:val="both"/>
        <w:ind w:firstLine="563"/>
        <w:spacing w:after="0" w:line="252" w:lineRule="auto"/>
        <w:tabs>
          <w:tab w:leader="none" w:pos="823"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Modification/Entire Agreement</w:t>
      </w:r>
      <w:r>
        <w:rPr>
          <w:rFonts w:ascii="Times New Roman" w:cs="Times New Roman" w:eastAsia="Times New Roman" w:hAnsi="Times New Roman"/>
          <w:sz w:val="20"/>
          <w:szCs w:val="20"/>
          <w:color w:val="auto"/>
        </w:rPr>
        <w:t>. This Arbitration Agreement shall survive the termination of my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It can only be revoked or modified by a writing that specifically states an intent to revoke or modify this Arbitration Agreement and is signed by me and the Company’s Chief Legal Officer (“CLO”), except that upon 30 days’ written notice, the Company’s CLO may modify and/or terminate this Arbitration Agreement as to future controversy, dispute, or claim to the extent necessary or desired to comply with any future developments or changes in the law. This is the complete agreement of the Parties on the subject of arbitration of Covered Claims and supersedes any and all provisions of prior agreements between the Parties that cover the subject of arbitration (except for any arbitration agreement in connection with any pension or benefit plan).</w:t>
      </w:r>
    </w:p>
    <w:p>
      <w:pPr>
        <w:spacing w:after="0" w:line="190" w:lineRule="exact"/>
        <w:rPr>
          <w:sz w:val="20"/>
          <w:szCs w:val="20"/>
          <w:color w:val="auto"/>
        </w:rPr>
      </w:pPr>
    </w:p>
    <w:p>
      <w:pPr>
        <w:ind w:right="20" w:firstLine="567"/>
        <w:spacing w:after="0" w:line="269" w:lineRule="auto"/>
        <w:rPr>
          <w:sz w:val="20"/>
          <w:szCs w:val="20"/>
          <w:color w:val="auto"/>
        </w:rPr>
      </w:pPr>
      <w:r>
        <w:rPr>
          <w:rFonts w:ascii="Times New Roman" w:cs="Times New Roman" w:eastAsia="Times New Roman" w:hAnsi="Times New Roman"/>
          <w:sz w:val="20"/>
          <w:szCs w:val="20"/>
          <w:color w:val="auto"/>
        </w:rPr>
        <w:t>No Party is relying on any representations, oral or written, on the subject of the effect, enforceability, or meaning of this Arbitration Agreement, except as specifically set forth in this Agreement.</w:t>
      </w:r>
    </w:p>
    <w:p>
      <w:pPr>
        <w:spacing w:after="0" w:line="169" w:lineRule="exact"/>
        <w:rPr>
          <w:sz w:val="20"/>
          <w:szCs w:val="20"/>
          <w:color w:val="auto"/>
        </w:rPr>
      </w:pPr>
    </w:p>
    <w:p>
      <w:pPr>
        <w:ind w:right="20" w:firstLine="563"/>
        <w:spacing w:after="0" w:line="287" w:lineRule="auto"/>
        <w:tabs>
          <w:tab w:leader="none" w:pos="823"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If any provision of this Arbitration Agreement is found by a court of competent jurisdiction or an arbitrator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void or unenforceable, in whole or in part, the void or unenforceable</w:t>
      </w:r>
    </w:p>
    <w:p>
      <w:pPr>
        <w:sectPr>
          <w:pgSz w:w="11900" w:h="16838" w:orient="portrait"/>
          <w:cols w:equalWidth="0" w:num="1">
            <w:col w:w="10660"/>
          </w:cols>
          <w:pgMar w:left="800" w:top="1440" w:right="439"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shall be severed and such adjudication shall not affect the validity of the remainder of this Arbitration Agreement.</w:t>
      </w:r>
    </w:p>
    <w:p>
      <w:pPr>
        <w:spacing w:after="0" w:line="212" w:lineRule="exact"/>
        <w:rPr>
          <w:sz w:val="20"/>
          <w:szCs w:val="20"/>
          <w:color w:val="auto"/>
        </w:rPr>
      </w:pPr>
    </w:p>
    <w:p>
      <w:pPr>
        <w:jc w:val="both"/>
        <w:ind w:firstLine="644"/>
        <w:spacing w:after="0" w:line="260" w:lineRule="auto"/>
        <w:tabs>
          <w:tab w:leader="none" w:pos="823" w:val="left"/>
        </w:tabs>
        <w:numPr>
          <w:ilvl w:val="1"/>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 The arbitration shall be confidential to the extent allowed by law, including, without limitation, the claims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discovery conducted, pleadings and papers filed, proceedings, rulings, testimony, hearings and award, if any. I understand that nothing in this Agreement prevents me from disclosing information or facts about conduct in the workplace that I have reason to believe are unlawful (such as harassment or discrimination).</w:t>
      </w:r>
    </w:p>
    <w:p>
      <w:pPr>
        <w:spacing w:after="0" w:line="177" w:lineRule="exact"/>
        <w:rPr>
          <w:rFonts w:ascii="Times New Roman" w:cs="Times New Roman" w:eastAsia="Times New Roman" w:hAnsi="Times New Roman"/>
          <w:sz w:val="20"/>
          <w:szCs w:val="20"/>
          <w:b w:val="1"/>
          <w:bCs w:val="1"/>
          <w:color w:val="auto"/>
        </w:rPr>
      </w:pPr>
    </w:p>
    <w:p>
      <w:pPr>
        <w:ind w:right="20" w:firstLine="644"/>
        <w:spacing w:after="0" w:line="273" w:lineRule="auto"/>
        <w:tabs>
          <w:tab w:leader="none" w:pos="1476" w:val="left"/>
        </w:tabs>
        <w:numPr>
          <w:ilvl w:val="1"/>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Compelling Arbitration/Enforcing Award</w:t>
      </w:r>
      <w:r>
        <w:rPr>
          <w:rFonts w:ascii="Times New Roman" w:cs="Times New Roman" w:eastAsia="Times New Roman" w:hAnsi="Times New Roman"/>
          <w:sz w:val="20"/>
          <w:szCs w:val="20"/>
          <w:color w:val="auto"/>
        </w:rPr>
        <w:t>. Either Party may bring an action in court to compel arbitration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to confirm, modify, vacate or enforce an arbitration award.</w:t>
      </w:r>
    </w:p>
    <w:p>
      <w:pPr>
        <w:spacing w:after="0" w:line="165" w:lineRule="exact"/>
        <w:rPr>
          <w:rFonts w:ascii="Times New Roman" w:cs="Times New Roman" w:eastAsia="Times New Roman" w:hAnsi="Times New Roman"/>
          <w:sz w:val="20"/>
          <w:szCs w:val="20"/>
          <w:b w:val="1"/>
          <w:bCs w:val="1"/>
          <w:color w:val="auto"/>
        </w:rPr>
      </w:pPr>
    </w:p>
    <w:p>
      <w:pPr>
        <w:jc w:val="both"/>
        <w:ind w:right="80" w:firstLine="644"/>
        <w:spacing w:after="0" w:line="254" w:lineRule="auto"/>
        <w:tabs>
          <w:tab w:leader="none" w:pos="1465" w:val="left"/>
        </w:tabs>
        <w:numPr>
          <w:ilvl w:val="1"/>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Governed by Federal Arbitration Act. </w:t>
      </w:r>
      <w:r>
        <w:rPr>
          <w:rFonts w:ascii="Times New Roman" w:cs="Times New Roman" w:eastAsia="Times New Roman" w:hAnsi="Times New Roman"/>
          <w:sz w:val="20"/>
          <w:szCs w:val="20"/>
          <w:color w:val="auto"/>
        </w:rPr>
        <w:t>The Company and I recognize that the Company operates in many states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interstate commerce. Therefore, it is agreed that this Agreement and any Covered Claims under this Agreement shall be governed by the Federal Arbitration Act (FAA) to the exclusion of any state law inconsistent with or preempted by the FAA. If it is determined by a court that the FAA does not apply to this Agreement and the Covered Claims, then the state law where the Covered Claims arose shall apply.</w:t>
      </w:r>
    </w:p>
    <w:p>
      <w:pPr>
        <w:spacing w:after="0" w:line="200" w:lineRule="exact"/>
        <w:rPr>
          <w:rFonts w:ascii="Times New Roman" w:cs="Times New Roman" w:eastAsia="Times New Roman" w:hAnsi="Times New Roman"/>
          <w:sz w:val="20"/>
          <w:szCs w:val="20"/>
          <w:b w:val="1"/>
          <w:bCs w:val="1"/>
          <w:color w:val="auto"/>
        </w:rPr>
      </w:pPr>
    </w:p>
    <w:p>
      <w:pPr>
        <w:ind w:right="20" w:firstLine="563"/>
        <w:spacing w:after="0" w:line="273" w:lineRule="auto"/>
        <w:tabs>
          <w:tab w:leader="none" w:pos="1033"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 an Employment Agreement</w:t>
      </w:r>
      <w:r>
        <w:rPr>
          <w:rFonts w:ascii="Times New Roman" w:cs="Times New Roman" w:eastAsia="Times New Roman" w:hAnsi="Times New Roman"/>
          <w:sz w:val="20"/>
          <w:szCs w:val="20"/>
          <w:color w:val="auto"/>
        </w:rPr>
        <w:t>. This Arbitration Agreement is not and shall not be construed to create any contract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express or implied. Nor does this Arbitration Agreement alter the at-will status of any employment.</w:t>
      </w:r>
    </w:p>
    <w:p>
      <w:pPr>
        <w:spacing w:after="0" w:line="165" w:lineRule="exact"/>
        <w:rPr>
          <w:rFonts w:ascii="Times New Roman" w:cs="Times New Roman" w:eastAsia="Times New Roman" w:hAnsi="Times New Roman"/>
          <w:sz w:val="20"/>
          <w:szCs w:val="20"/>
          <w:b w:val="1"/>
          <w:bCs w:val="1"/>
          <w:color w:val="auto"/>
        </w:rPr>
      </w:pPr>
    </w:p>
    <w:p>
      <w:pPr>
        <w:ind w:left="1280" w:hanging="717"/>
        <w:spacing w:after="0"/>
        <w:tabs>
          <w:tab w:leader="none" w:pos="128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Acknowledgements</w:t>
      </w:r>
      <w:r>
        <w:rPr>
          <w:rFonts w:ascii="Times New Roman" w:cs="Times New Roman" w:eastAsia="Times New Roman" w:hAnsi="Times New Roman"/>
          <w:sz w:val="20"/>
          <w:szCs w:val="20"/>
          <w:color w:val="auto"/>
        </w:rPr>
        <w:t>. The Company and I acknowledge my right to:</w:t>
      </w:r>
    </w:p>
    <w:p>
      <w:pPr>
        <w:spacing w:after="0" w:line="220" w:lineRule="exact"/>
        <w:rPr>
          <w:sz w:val="20"/>
          <w:szCs w:val="20"/>
          <w:color w:val="auto"/>
        </w:rPr>
      </w:pPr>
    </w:p>
    <w:p>
      <w:pPr>
        <w:ind w:right="20" w:firstLine="563"/>
        <w:spacing w:after="0" w:line="283" w:lineRule="auto"/>
        <w:tabs>
          <w:tab w:leader="none" w:pos="827"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any good faith allegation of unlawful employment practices to any appropriate federal, state, or local government agency that enforces anti-discrimination laws;</w:t>
      </w:r>
    </w:p>
    <w:p>
      <w:pPr>
        <w:spacing w:after="0" w:line="159" w:lineRule="exact"/>
        <w:rPr>
          <w:rFonts w:ascii="Times New Roman" w:cs="Times New Roman" w:eastAsia="Times New Roman" w:hAnsi="Times New Roman"/>
          <w:sz w:val="20"/>
          <w:szCs w:val="20"/>
          <w:color w:val="auto"/>
        </w:rPr>
      </w:pPr>
    </w:p>
    <w:p>
      <w:pPr>
        <w:ind w:left="820" w:hanging="257"/>
        <w:spacing w:after="0"/>
        <w:tabs>
          <w:tab w:leader="none" w:pos="82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any good faith allegation of criminal conduct to any appropriate federal, state, or local official;</w:t>
      </w:r>
    </w:p>
    <w:p>
      <w:pPr>
        <w:spacing w:after="0" w:line="215" w:lineRule="exact"/>
        <w:rPr>
          <w:rFonts w:ascii="Times New Roman" w:cs="Times New Roman" w:eastAsia="Times New Roman" w:hAnsi="Times New Roman"/>
          <w:sz w:val="20"/>
          <w:szCs w:val="20"/>
          <w:color w:val="auto"/>
        </w:rPr>
      </w:pPr>
    </w:p>
    <w:p>
      <w:pPr>
        <w:ind w:left="820" w:hanging="257"/>
        <w:spacing w:after="0"/>
        <w:tabs>
          <w:tab w:leader="none" w:pos="82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participate in a proceeding with any appropriate federal, state, or local government agency that enforces anti-discrimination</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laws;</w:t>
      </w:r>
    </w:p>
    <w:p>
      <w:pPr>
        <w:spacing w:after="0" w:line="200" w:lineRule="exact"/>
        <w:rPr>
          <w:rFonts w:ascii="Times New Roman" w:cs="Times New Roman" w:eastAsia="Times New Roman" w:hAnsi="Times New Roman"/>
          <w:sz w:val="19"/>
          <w:szCs w:val="19"/>
          <w:color w:val="auto"/>
        </w:rPr>
      </w:pPr>
    </w:p>
    <w:p>
      <w:pPr>
        <w:ind w:left="1280" w:hanging="717"/>
        <w:spacing w:after="0"/>
        <w:tabs>
          <w:tab w:leader="none" w:pos="128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truthful statements or disclosures required by law, regulation, or legal process;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214" w:lineRule="exact"/>
        <w:rPr>
          <w:sz w:val="20"/>
          <w:szCs w:val="20"/>
          <w:color w:val="auto"/>
        </w:rPr>
      </w:pPr>
    </w:p>
    <w:p>
      <w:pPr>
        <w:ind w:left="1280" w:hanging="717"/>
        <w:spacing w:after="0"/>
        <w:tabs>
          <w:tab w:leader="none" w:pos="128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or receive confidential legal advice.</w:t>
      </w:r>
    </w:p>
    <w:p>
      <w:pPr>
        <w:spacing w:after="0" w:line="2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0660"/>
          </w:cols>
          <w:pgMar w:left="800" w:top="1440" w:right="439" w:bottom="1440" w:gutter="0" w:footer="0" w:header="0"/>
        </w:sectPr>
      </w:pPr>
    </w:p>
    <w:bookmarkStart w:id="174" w:name="page175"/>
    <w:bookmarkEnd w:id="174"/>
    <w:p>
      <w:pPr>
        <w:spacing w:after="0" w:line="200" w:lineRule="exact"/>
        <w:rPr>
          <w:sz w:val="20"/>
          <w:szCs w:val="20"/>
          <w:color w:val="auto"/>
        </w:rPr>
      </w:pP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By signing below:</w:t>
      </w:r>
    </w:p>
    <w:p>
      <w:pPr>
        <w:spacing w:after="0" w:line="200" w:lineRule="exact"/>
        <w:rPr>
          <w:sz w:val="20"/>
          <w:szCs w:val="20"/>
          <w:color w:val="auto"/>
        </w:rPr>
      </w:pPr>
    </w:p>
    <w:p>
      <w:pPr>
        <w:spacing w:after="0" w:line="259" w:lineRule="exact"/>
        <w:rPr>
          <w:sz w:val="20"/>
          <w:szCs w:val="20"/>
          <w:color w:val="auto"/>
        </w:rPr>
      </w:pPr>
    </w:p>
    <w:p>
      <w:pPr>
        <w:ind w:left="940" w:right="939" w:hanging="320"/>
        <w:spacing w:after="0" w:line="282" w:lineRule="auto"/>
        <w:tabs>
          <w:tab w:leader="none" w:pos="951" w:val="left"/>
        </w:tabs>
        <w:numPr>
          <w:ilvl w:val="0"/>
          <w:numId w:val="153"/>
        </w:numPr>
        <w:rPr>
          <w:rFonts w:ascii="Arial" w:cs="Arial" w:eastAsia="Arial" w:hAnsi="Arial"/>
          <w:sz w:val="20"/>
          <w:szCs w:val="20"/>
          <w:color w:val="auto"/>
        </w:rPr>
      </w:pPr>
      <w:r>
        <w:rPr>
          <w:rFonts w:ascii="Times New Roman" w:cs="Times New Roman" w:eastAsia="Times New Roman" w:hAnsi="Times New Roman"/>
          <w:sz w:val="20"/>
          <w:szCs w:val="20"/>
          <w:color w:val="auto"/>
        </w:rPr>
        <w:t>I represent and acknowledge that I have read, understand and voluntarily agree to the terms of this Arbitration Agreement.</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940" w:right="919" w:hanging="320"/>
        <w:spacing w:after="0" w:line="268" w:lineRule="auto"/>
        <w:tabs>
          <w:tab w:leader="none" w:pos="951" w:val="left"/>
        </w:tabs>
        <w:numPr>
          <w:ilvl w:val="0"/>
          <w:numId w:val="153"/>
        </w:numPr>
        <w:rPr>
          <w:rFonts w:ascii="Arial" w:cs="Arial" w:eastAsia="Arial" w:hAnsi="Arial"/>
          <w:sz w:val="20"/>
          <w:szCs w:val="20"/>
          <w:color w:val="auto"/>
        </w:rPr>
      </w:pPr>
      <w:r>
        <w:rPr>
          <w:rFonts w:ascii="Times New Roman" w:cs="Times New Roman" w:eastAsia="Times New Roman" w:hAnsi="Times New Roman"/>
          <w:sz w:val="20"/>
          <w:szCs w:val="20"/>
          <w:color w:val="auto"/>
        </w:rPr>
        <w:t>I represent and acknowledge that I have been given sufficient time to fully review this Arbitration Agreement and an opportunity to ask questions about it before signing this document.</w:t>
      </w:r>
    </w:p>
    <w:p>
      <w:pPr>
        <w:spacing w:after="0" w:line="200" w:lineRule="exact"/>
        <w:rPr>
          <w:rFonts w:ascii="Arial" w:cs="Arial" w:eastAsia="Arial" w:hAnsi="Arial"/>
          <w:sz w:val="20"/>
          <w:szCs w:val="20"/>
          <w:color w:val="auto"/>
        </w:rPr>
      </w:pPr>
    </w:p>
    <w:p>
      <w:pPr>
        <w:spacing w:after="0" w:line="216" w:lineRule="exact"/>
        <w:rPr>
          <w:rFonts w:ascii="Arial" w:cs="Arial" w:eastAsia="Arial" w:hAnsi="Arial"/>
          <w:sz w:val="20"/>
          <w:szCs w:val="20"/>
          <w:color w:val="auto"/>
        </w:rPr>
      </w:pPr>
    </w:p>
    <w:p>
      <w:pPr>
        <w:ind w:left="940" w:right="919" w:hanging="320"/>
        <w:spacing w:after="0" w:line="268" w:lineRule="auto"/>
        <w:tabs>
          <w:tab w:leader="none" w:pos="951" w:val="left"/>
        </w:tabs>
        <w:numPr>
          <w:ilvl w:val="0"/>
          <w:numId w:val="153"/>
        </w:numPr>
        <w:rPr>
          <w:rFonts w:ascii="Arial" w:cs="Arial" w:eastAsia="Arial" w:hAnsi="Arial"/>
          <w:sz w:val="20"/>
          <w:szCs w:val="20"/>
          <w:color w:val="auto"/>
        </w:rPr>
      </w:pPr>
      <w:r>
        <w:rPr>
          <w:rFonts w:ascii="Times New Roman" w:cs="Times New Roman" w:eastAsia="Times New Roman" w:hAnsi="Times New Roman"/>
          <w:sz w:val="20"/>
          <w:szCs w:val="20"/>
          <w:color w:val="auto"/>
        </w:rPr>
        <w:t>I represent and acknowledge that any questions I have about the Arbitration Agreement have been fully answered prior to my signing the Arbitration Agreement.</w:t>
      </w:r>
    </w:p>
    <w:p>
      <w:pPr>
        <w:spacing w:after="0" w:line="200" w:lineRule="exact"/>
        <w:rPr>
          <w:rFonts w:ascii="Arial" w:cs="Arial" w:eastAsia="Arial" w:hAnsi="Arial"/>
          <w:sz w:val="20"/>
          <w:szCs w:val="20"/>
          <w:color w:val="auto"/>
        </w:rPr>
      </w:pPr>
    </w:p>
    <w:p>
      <w:pPr>
        <w:spacing w:after="0" w:line="216" w:lineRule="exact"/>
        <w:rPr>
          <w:rFonts w:ascii="Arial" w:cs="Arial" w:eastAsia="Arial" w:hAnsi="Arial"/>
          <w:sz w:val="20"/>
          <w:szCs w:val="20"/>
          <w:color w:val="auto"/>
        </w:rPr>
      </w:pPr>
    </w:p>
    <w:p>
      <w:pPr>
        <w:jc w:val="both"/>
        <w:ind w:left="940" w:right="939" w:hanging="320"/>
        <w:spacing w:after="0" w:line="258" w:lineRule="auto"/>
        <w:tabs>
          <w:tab w:leader="none" w:pos="938" w:val="left"/>
        </w:tabs>
        <w:numPr>
          <w:ilvl w:val="0"/>
          <w:numId w:val="153"/>
        </w:numPr>
        <w:rPr>
          <w:rFonts w:ascii="Arial" w:cs="Arial" w:eastAsia="Arial" w:hAnsi="Arial"/>
          <w:sz w:val="20"/>
          <w:szCs w:val="20"/>
          <w:color w:val="auto"/>
        </w:rPr>
      </w:pPr>
      <w:r>
        <w:rPr>
          <w:rFonts w:ascii="Times New Roman" w:cs="Times New Roman" w:eastAsia="Times New Roman" w:hAnsi="Times New Roman"/>
          <w:sz w:val="20"/>
          <w:szCs w:val="20"/>
          <w:color w:val="auto"/>
        </w:rPr>
        <w:t>In signing this Arbitration Agreement, I acknowledge and understand that I am relinquishing the right to a court or jury trial of any Covered Claim, except as otherwise provided by law or this Arbitration Agreement, and further that I have waived the right to proceed in a class action involving a Covered Claim.</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3" w:lineRule="exact"/>
        <w:rPr>
          <w:rFonts w:ascii="Arial" w:cs="Arial" w:eastAsia="Arial" w:hAnsi="Arial"/>
          <w:sz w:val="20"/>
          <w:szCs w:val="20"/>
          <w:color w:val="auto"/>
        </w:rPr>
      </w:pPr>
    </w:p>
    <w:p>
      <w:pPr>
        <w:ind w:left="940" w:right="1779"/>
        <w:spacing w:after="0" w:line="261" w:lineRule="auto"/>
        <w:rPr>
          <w:rFonts w:ascii="Arial" w:cs="Arial" w:eastAsia="Arial" w:hAnsi="Arial"/>
          <w:sz w:val="20"/>
          <w:szCs w:val="20"/>
          <w:color w:val="auto"/>
        </w:rPr>
      </w:pPr>
      <w:r>
        <w:rPr>
          <w:rFonts w:ascii="Times New Roman" w:cs="Times New Roman" w:eastAsia="Times New Roman" w:hAnsi="Times New Roman"/>
          <w:sz w:val="20"/>
          <w:szCs w:val="20"/>
          <w:color w:val="auto"/>
        </w:rPr>
        <w:t>The signature of the Parties below indicates their agreement to be bound by this Arbitration Agreement.</w:t>
      </w:r>
    </w:p>
    <w:p>
      <w:pPr>
        <w:spacing w:after="0" w:line="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u w:val="single" w:color="auto"/>
          <w:color w:val="auto"/>
        </w:rPr>
        <w:t>/s/ Michael Kiernan</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Michael Kiernan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20"/>
          <w:szCs w:val="20"/>
          <w:b w:val="1"/>
          <w:bCs w:val="1"/>
          <w:color w:val="auto"/>
        </w:rPr>
        <w:t>Accepted and Agreed to:</w:t>
      </w:r>
      <w:r>
        <w:rPr>
          <w:sz w:val="20"/>
          <w:szCs w:val="20"/>
          <w:color w:val="auto"/>
        </w:rPr>
        <w:tab/>
      </w:r>
      <w:r>
        <w:rPr>
          <w:rFonts w:ascii="Times New Roman" w:cs="Times New Roman" w:eastAsia="Times New Roman" w:hAnsi="Times New Roman"/>
          <w:sz w:val="19"/>
          <w:szCs w:val="19"/>
          <w:b w:val="1"/>
          <w:bCs w:val="1"/>
          <w:color w:val="auto"/>
        </w:rPr>
        <w:t>NEXTDOOR, INC.</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Nirav Tolia</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Nirav Tolia</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CEO</w:t>
      </w:r>
    </w:p>
    <w:p>
      <w:pPr>
        <w:sectPr>
          <w:pgSz w:w="11900" w:h="16838" w:orient="portrait"/>
          <w:cols w:equalWidth="0" w:num="1">
            <w:col w:w="9959"/>
          </w:cols>
          <w:pgMar w:left="500" w:top="1440"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320" w:firstLine="3318"/>
        <w:spacing w:after="0" w:line="358"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660" w:right="560" w:hanging="328"/>
        <w:spacing w:after="0" w:line="243" w:lineRule="auto"/>
        <w:tabs>
          <w:tab w:leader="none" w:pos="65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333-285329) pertaining to the Nextdoor Holdings, Inc. 2021 Equity Incentive Plan and the Nextdoor Holdings, Inc. 2021 Employee Stock Purchase Plan;</w:t>
      </w:r>
    </w:p>
    <w:p>
      <w:pPr>
        <w:spacing w:after="0" w:line="208"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333-277410) pertaining to the Nextdoor Holdings, Inc. 2021 Equity Incentive Plan and the Nextdoor Holdings, Inc. 2021 Employee Stock Purchase Plan;</w:t>
      </w:r>
    </w:p>
    <w:p>
      <w:pPr>
        <w:spacing w:after="0" w:line="18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333-270095) pertaining to the Nextdoor Holdings, Inc. 2021 Equity Incentive Plan and the Nextdoor Holdings, Inc. 2021 Employee Stock Purchase Plan;</w:t>
      </w:r>
    </w:p>
    <w:p>
      <w:pPr>
        <w:spacing w:after="0" w:line="189"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333-262102) pertaining to the Nextdoor Holdings, Inc. 2021 Equity Incentive Plan, the Nextdoor, Inc. 2008 Equity Incentive Plan, the Nextdoor, Inc. 2018 Equity Incentive Plan and the Nextdoor Holdings, Inc. 2021 Employee Stock Purchase Plan;</w:t>
      </w:r>
    </w:p>
    <w:p>
      <w:pPr>
        <w:spacing w:after="0" w:line="18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333-261252) of Nextdoor Holdings, Inc.</w:t>
      </w:r>
    </w:p>
    <w:p>
      <w:pPr>
        <w:spacing w:after="0" w:line="239"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8"/>
          <w:szCs w:val="18"/>
          <w:color w:val="auto"/>
        </w:rPr>
        <w:t>of our reports dated February 18, 2026, with respect to the consolidated financial statements of Nextdoor Holdings, Inc. and the effectiveness of internal control over financial reporting of Nextdoor Holdings, Inc. included in this Annual Report (Form 10-K) of Nextdoor Holdings, Inc. for the year ended December 31,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ectPr>
          <w:pgSz w:w="11900" w:h="16838" w:orient="portrait"/>
          <w:cols w:equalWidth="0" w:num="1">
            <w:col w:w="11240"/>
          </w:cols>
          <w:pgMar w:left="320" w:top="11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5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Nirav Tolia, certify that:</w:t>
      </w:r>
    </w:p>
    <w:p>
      <w:pPr>
        <w:spacing w:after="0" w:line="279" w:lineRule="exact"/>
        <w:rPr>
          <w:sz w:val="20"/>
          <w:szCs w:val="20"/>
          <w:color w:val="auto"/>
        </w:rPr>
      </w:pPr>
    </w:p>
    <w:p>
      <w:pPr>
        <w:ind w:left="340" w:hanging="332"/>
        <w:spacing w:after="0"/>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2025 of Nextdoor Holdings, Inc. (the “registrant”);</w:t>
      </w:r>
    </w:p>
    <w:p>
      <w:pPr>
        <w:spacing w:after="0" w:line="211" w:lineRule="exact"/>
        <w:rPr>
          <w:rFonts w:ascii="Times New Roman" w:cs="Times New Roman" w:eastAsia="Times New Roman" w:hAnsi="Times New Roman"/>
          <w:sz w:val="18"/>
          <w:szCs w:val="18"/>
          <w:color w:val="auto"/>
        </w:rPr>
      </w:pPr>
    </w:p>
    <w:p>
      <w:pPr>
        <w:jc w:val="both"/>
        <w:ind w:left="340" w:right="440" w:hanging="332"/>
        <w:spacing w:after="0" w:line="305"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9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305" w:lineRule="auto"/>
        <w:tabs>
          <w:tab w:leader="none" w:pos="65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8"/>
          <w:szCs w:val="18"/>
          <w:color w:val="auto"/>
        </w:rPr>
      </w:pPr>
    </w:p>
    <w:p>
      <w:pPr>
        <w:ind w:left="660" w:right="60" w:hanging="328"/>
        <w:spacing w:after="0" w:line="305"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8"/>
          <w:szCs w:val="18"/>
          <w:color w:val="auto"/>
        </w:rPr>
      </w:pPr>
    </w:p>
    <w:p>
      <w:pPr>
        <w:jc w:val="both"/>
        <w:ind w:left="660" w:right="860" w:hanging="328"/>
        <w:spacing w:after="0" w:line="362" w:lineRule="auto"/>
        <w:tabs>
          <w:tab w:leader="none" w:pos="65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49" w:lineRule="exact"/>
        <w:rPr>
          <w:rFonts w:ascii="Times New Roman" w:cs="Times New Roman" w:eastAsia="Times New Roman" w:hAnsi="Times New Roman"/>
          <w:sz w:val="18"/>
          <w:szCs w:val="18"/>
          <w:color w:val="auto"/>
        </w:rPr>
      </w:pPr>
    </w:p>
    <w:p>
      <w:pPr>
        <w:ind w:left="660"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260" w:hanging="332"/>
        <w:spacing w:after="0" w:line="313"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5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160" w:hanging="328"/>
        <w:spacing w:after="0" w:line="313"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ectPr>
          <w:pgSz w:w="11900" w:h="16838" w:orient="portrait"/>
          <w:cols w:equalWidth="0" w:num="1">
            <w:col w:w="11240"/>
          </w:cols>
          <w:pgMar w:left="320" w:top="374"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5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18, 2026</w:t>
      </w:r>
    </w:p>
    <w:p>
      <w:pPr>
        <w:spacing w:after="0" w:line="75" w:lineRule="exact"/>
        <w:rPr>
          <w:sz w:val="20"/>
          <w:szCs w:val="20"/>
          <w:color w:val="auto"/>
        </w:rPr>
      </w:pPr>
    </w:p>
    <w:p>
      <w:pPr>
        <w:ind w:left="7980"/>
        <w:spacing w:after="0"/>
        <w:tabs>
          <w:tab w:leader="none" w:pos="8420" w:val="left"/>
        </w:tabs>
        <w:rPr>
          <w:sz w:val="20"/>
          <w:szCs w:val="20"/>
          <w:color w:val="auto"/>
        </w:rPr>
      </w:pP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i w:val="1"/>
          <w:iCs w:val="1"/>
          <w:color w:val="auto"/>
        </w:rPr>
        <w:t>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5349875</wp:posOffset>
            </wp:positionH>
            <wp:positionV relativeFrom="paragraph">
              <wp:posOffset>35560</wp:posOffset>
            </wp:positionV>
            <wp:extent cx="17741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3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Nirav Tolia</w:t>
      </w:r>
    </w:p>
    <w:p>
      <w:pPr>
        <w:spacing w:after="0" w:line="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ind w:left="798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ectPr>
          <w:pgSz w:w="11900" w:h="16838" w:orient="portrait"/>
          <w:cols w:equalWidth="0" w:num="1">
            <w:col w:w="11220"/>
          </w:cols>
          <w:pgMar w:left="340" w:top="374"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5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Indrajit Ponnambalam, certify that:</w:t>
      </w:r>
    </w:p>
    <w:p>
      <w:pPr>
        <w:spacing w:after="0" w:line="266" w:lineRule="exact"/>
        <w:rPr>
          <w:sz w:val="20"/>
          <w:szCs w:val="20"/>
          <w:color w:val="auto"/>
        </w:rPr>
      </w:pPr>
    </w:p>
    <w:p>
      <w:pPr>
        <w:ind w:left="340" w:hanging="332"/>
        <w:spacing w:after="0"/>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2025 of Nextdoor Holdings, Inc. (the “registrant”);</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313"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9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305" w:lineRule="auto"/>
        <w:tabs>
          <w:tab w:leader="none" w:pos="65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9" w:lineRule="exact"/>
        <w:rPr>
          <w:rFonts w:ascii="Times New Roman" w:cs="Times New Roman" w:eastAsia="Times New Roman" w:hAnsi="Times New Roman"/>
          <w:sz w:val="18"/>
          <w:szCs w:val="18"/>
          <w:color w:val="auto"/>
        </w:rPr>
      </w:pPr>
    </w:p>
    <w:p>
      <w:pPr>
        <w:ind w:left="660" w:right="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46" w:lineRule="auto"/>
        <w:tabs>
          <w:tab w:leader="none" w:pos="65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7"/>
          <w:szCs w:val="17"/>
          <w:color w:val="auto"/>
        </w:rPr>
      </w:pPr>
    </w:p>
    <w:p>
      <w:pPr>
        <w:ind w:left="660" w:right="80" w:hanging="328"/>
        <w:spacing w:after="0" w:line="305" w:lineRule="auto"/>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8"/>
          <w:szCs w:val="18"/>
          <w:color w:val="auto"/>
        </w:rPr>
      </w:pPr>
    </w:p>
    <w:p>
      <w:pPr>
        <w:ind w:left="340" w:right="260" w:hanging="332"/>
        <w:spacing w:after="0" w:line="313"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5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160" w:hanging="328"/>
        <w:spacing w:after="0" w:line="313" w:lineRule="auto"/>
        <w:tabs>
          <w:tab w:leader="none" w:pos="6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ectPr>
          <w:pgSz w:w="11900" w:h="16838" w:orient="portrait"/>
          <w:cols w:equalWidth="0" w:num="1">
            <w:col w:w="11240"/>
          </w:cols>
          <w:pgMar w:left="320" w:top="401"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2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18, 2026</w:t>
      </w:r>
    </w:p>
    <w:p>
      <w:pPr>
        <w:ind w:left="7300"/>
        <w:spacing w:after="0" w:line="183" w:lineRule="auto"/>
        <w:tabs>
          <w:tab w:leader="none" w:pos="7740" w:val="left"/>
        </w:tabs>
        <w:rPr>
          <w:sz w:val="20"/>
          <w:szCs w:val="20"/>
          <w:color w:val="auto"/>
        </w:rPr>
      </w:pPr>
      <w:r>
        <w:rPr>
          <w:rFonts w:ascii="Times New Roman" w:cs="Times New Roman" w:eastAsia="Times New Roman" w:hAnsi="Times New Roman"/>
          <w:sz w:val="30"/>
          <w:szCs w:val="30"/>
          <w:color w:val="auto"/>
          <w:vertAlign w:val="subscript"/>
        </w:rPr>
        <w:t>By:</w:t>
      </w:r>
      <w:r>
        <w:rPr>
          <w:sz w:val="20"/>
          <w:szCs w:val="20"/>
          <w:color w:val="auto"/>
        </w:rPr>
        <w:tab/>
      </w:r>
      <w:r>
        <w:rPr>
          <w:rFonts w:ascii="Times New Roman" w:cs="Times New Roman" w:eastAsia="Times New Roman" w:hAnsi="Times New Roman"/>
          <w:sz w:val="16"/>
          <w:szCs w:val="16"/>
          <w:i w:val="1"/>
          <w:iCs w:val="1"/>
          <w:color w:val="auto"/>
        </w:rPr>
        <w:t>/s/ I</w:t>
      </w:r>
      <w:r>
        <w:rPr>
          <w:rFonts w:ascii="Times New Roman" w:cs="Times New Roman" w:eastAsia="Times New Roman" w:hAnsi="Times New Roman"/>
          <w:sz w:val="16"/>
          <w:szCs w:val="16"/>
          <w:i w:val="1"/>
          <w:iCs w:val="1"/>
          <w:color w:val="201F1E"/>
        </w:rPr>
        <w:t>ndrajit Ponnambalam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4912995</wp:posOffset>
            </wp:positionH>
            <wp:positionV relativeFrom="paragraph">
              <wp:posOffset>90170</wp:posOffset>
            </wp:positionV>
            <wp:extent cx="22117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2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201F1E"/>
        </w:rPr>
        <w:t>Indrajit Ponnambalam</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40" w:top="401"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In connection with the Annual Report of Nextdoor Holdings, Inc. (the “Company”) on Form 10-K for the year ended December 31, 2025,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0" w:lineRule="exact"/>
        <w:rPr>
          <w:sz w:val="20"/>
          <w:szCs w:val="20"/>
          <w:color w:val="auto"/>
        </w:rPr>
      </w:pPr>
    </w:p>
    <w:p>
      <w:pPr>
        <w:ind w:left="640" w:hanging="308"/>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18, 2026</w:t>
      </w:r>
    </w:p>
    <w:p>
      <w:pPr>
        <w:spacing w:after="0" w:line="42" w:lineRule="exact"/>
        <w:rPr>
          <w:sz w:val="20"/>
          <w:szCs w:val="20"/>
          <w:color w:val="auto"/>
        </w:rPr>
      </w:pPr>
    </w:p>
    <w:p>
      <w:pPr>
        <w:ind w:left="8200"/>
        <w:spacing w:after="0"/>
        <w:tabs>
          <w:tab w:leader="none" w:pos="8640" w:val="left"/>
        </w:tabs>
        <w:rPr>
          <w:sz w:val="20"/>
          <w:szCs w:val="20"/>
          <w:color w:val="auto"/>
        </w:rPr>
      </w:pP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i w:val="1"/>
          <w:iCs w:val="1"/>
          <w:color w:val="auto"/>
        </w:rPr>
        <w:t>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121920</wp:posOffset>
            </wp:positionV>
            <wp:extent cx="16459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Nirav Tolia</w:t>
      </w:r>
    </w:p>
    <w:p>
      <w:pPr>
        <w:spacing w:after="0" w:line="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ind w:left="820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ectPr>
          <w:pgSz w:w="11900" w:h="16838" w:orient="portrait"/>
          <w:cols w:equalWidth="0" w:num="1">
            <w:col w:w="11240"/>
          </w:cols>
          <w:pgMar w:left="320" w:top="401"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349" w:lineRule="auto"/>
        <w:rPr>
          <w:sz w:val="20"/>
          <w:szCs w:val="20"/>
          <w:color w:val="auto"/>
        </w:rPr>
      </w:pPr>
      <w:r>
        <w:rPr>
          <w:rFonts w:ascii="Times New Roman" w:cs="Times New Roman" w:eastAsia="Times New Roman" w:hAnsi="Times New Roman"/>
          <w:sz w:val="18"/>
          <w:szCs w:val="18"/>
          <w:color w:val="auto"/>
        </w:rPr>
        <w:t>In connection with the Annual Report of Nextdoor Holdings, Inc. (the “Company”) on Form 10-K for the year ended December 31, 2025,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73" w:lineRule="exact"/>
        <w:rPr>
          <w:sz w:val="20"/>
          <w:szCs w:val="20"/>
          <w:color w:val="auto"/>
        </w:rPr>
      </w:pPr>
    </w:p>
    <w:p>
      <w:pPr>
        <w:ind w:left="640" w:hanging="308"/>
        <w:spacing w:after="0"/>
        <w:tabs>
          <w:tab w:leader="none" w:pos="6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30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18, 2026</w:t>
      </w:r>
    </w:p>
    <w:p>
      <w:pPr>
        <w:spacing w:after="0" w:line="291" w:lineRule="exact"/>
        <w:rPr>
          <w:sz w:val="20"/>
          <w:szCs w:val="20"/>
          <w:color w:val="auto"/>
        </w:rPr>
      </w:pPr>
    </w:p>
    <w:p>
      <w:pPr>
        <w:ind w:left="7800"/>
        <w:spacing w:after="0"/>
        <w:tabs>
          <w:tab w:leader="none" w:pos="8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Indrajit Ponnambalam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18415</wp:posOffset>
            </wp:positionV>
            <wp:extent cx="19030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Indrajit Ponnambalam</w:t>
      </w:r>
    </w:p>
    <w:p>
      <w:pPr>
        <w:spacing w:after="0" w:line="2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1"/>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1)"/>
      <w:numFmt w:val="decimal"/>
      <w:start w:val="4"/>
    </w:lvl>
  </w:abstractNum>
  <w:abstractNum w:abstractNumId="27">
    <w:nsid w:val="CC1016F"/>
    <w:multiLevelType w:val="hybridMultilevel"/>
    <w:lvl w:ilvl="0">
      <w:lvlJc w:val="left"/>
      <w:lvlText w:val="(%1)"/>
      <w:numFmt w:val="decimal"/>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1)"/>
      <w:numFmt w:val="decimal"/>
      <w:start w:val="1"/>
    </w:lvl>
  </w:abstractNum>
  <w:abstractNum w:abstractNumId="31">
    <w:nsid w:val="7F01579B"/>
    <w:multiLevelType w:val="hybridMultilevel"/>
    <w:lvl w:ilvl="0">
      <w:lvlJc w:val="left"/>
      <w:lvlText w:val="(%1)"/>
      <w:numFmt w:val="decimal"/>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1)"/>
      <w:numFmt w:val="decimal"/>
      <w:start w:val="1"/>
    </w:lvl>
  </w:abstractNum>
  <w:abstractNum w:abstractNumId="34">
    <w:nsid w:val="5FB8370B"/>
    <w:multiLevelType w:val="hybridMultilevel"/>
    <w:lvl w:ilvl="0">
      <w:lvlJc w:val="left"/>
      <w:lvlText w:val="(%1)"/>
      <w:numFmt w:val="lowerLetter"/>
      <w:start w:val="5"/>
    </w:lvl>
  </w:abstractNum>
  <w:abstractNum w:abstractNumId="35">
    <w:nsid w:val="50801EE1"/>
    <w:multiLevelType w:val="hybridMultilevel"/>
    <w:lvl w:ilvl="0">
      <w:lvlJc w:val="left"/>
      <w:lvlText w:val="(%1)"/>
      <w:numFmt w:val="decimal"/>
      <w:start w:val="1"/>
    </w:lvl>
  </w:abstractNum>
  <w:abstractNum w:abstractNumId="36">
    <w:nsid w:val="488AC1A"/>
    <w:multiLevelType w:val="hybridMultilevel"/>
    <w:lvl w:ilvl="0">
      <w:lvlJc w:val="left"/>
      <w:lvlText w:val="(%1)"/>
      <w:numFmt w:val="decimal"/>
      <w:start w:val="1"/>
    </w:lvl>
  </w:abstractNum>
  <w:abstractNum w:abstractNumId="37">
    <w:nsid w:val="5FB8011C"/>
    <w:multiLevelType w:val="hybridMultilevel"/>
    <w:lvl w:ilvl="0">
      <w:lvlJc w:val="left"/>
      <w:lvlText w:val="(%1)"/>
      <w:numFmt w:val="lowerLetter"/>
      <w:start w:val="1"/>
    </w:lvl>
  </w:abstractNum>
  <w:abstractNum w:abstractNumId="38">
    <w:nsid w:val="6AA78F7F"/>
    <w:multiLevelType w:val="hybridMultilevel"/>
    <w:lvl w:ilvl="0">
      <w:lvlJc w:val="left"/>
      <w:lvlText w:val="+"/>
      <w:numFmt w:val="bullet"/>
      <w:start w:val="1"/>
    </w:lvl>
  </w:abstractNum>
  <w:abstractNum w:abstractNumId="39">
    <w:nsid w:val="7672BD23"/>
    <w:multiLevelType w:val="hybridMultilevel"/>
    <w:lvl w:ilvl="0">
      <w:lvlJc w:val="left"/>
      <w:lvlText w:val="%1."/>
      <w:numFmt w:val="decimal"/>
      <w:start w:val="1"/>
    </w:lvl>
    <w:lvl w:ilvl="1">
      <w:lvlJc w:val="left"/>
      <w:lvlText w:val="%2."/>
      <w:numFmt w:val="lowerLetter"/>
      <w:start w:val="1"/>
    </w:lvl>
  </w:abstractNum>
  <w:abstractNum w:abstractNumId="40">
    <w:nsid w:val="6FC75AF8"/>
    <w:multiLevelType w:val="hybridMultilevel"/>
    <w:lvl w:ilvl="0">
      <w:lvlJc w:val="left"/>
      <w:lvlText w:val="1"/>
      <w:numFmt w:val="bullet"/>
      <w:start w:val="1"/>
    </w:lvl>
  </w:abstractNum>
  <w:abstractNum w:abstractNumId="41">
    <w:nsid w:val="6A5F7029"/>
    <w:multiLevelType w:val="hybridMultilevel"/>
    <w:lvl w:ilvl="0">
      <w:lvlJc w:val="left"/>
      <w:lvlText w:val="%1"/>
      <w:numFmt w:val="decimal"/>
      <w:start w:val="1"/>
    </w:lvl>
    <w:lvl w:ilvl="1">
      <w:lvlJc w:val="left"/>
      <w:lvlText w:val="%2."/>
      <w:numFmt w:val="lowerLetter"/>
      <w:start w:val="4"/>
    </w:lvl>
  </w:abstractNum>
  <w:abstractNum w:abstractNumId="42">
    <w:nsid w:val="7D5E18F8"/>
    <w:multiLevelType w:val="hybridMultilevel"/>
    <w:lvl w:ilvl="0">
      <w:lvlJc w:val="left"/>
      <w:lvlText w:val="%1."/>
      <w:numFmt w:val="decimal"/>
      <w:start w:val="3"/>
    </w:lvl>
    <w:lvl w:ilvl="1">
      <w:lvlJc w:val="left"/>
      <w:lvlText w:val="%2"/>
      <w:numFmt w:val="lowerLetter"/>
      <w:start w:val="1"/>
    </w:lvl>
  </w:abstractNum>
  <w:abstractNum w:abstractNumId="43">
    <w:nsid w:val="5F3534A4"/>
    <w:multiLevelType w:val="hybridMultilevel"/>
    <w:lvl w:ilvl="0">
      <w:lvlJc w:val="left"/>
      <w:lvlText w:val="%1."/>
      <w:numFmt w:val="decimal"/>
      <w:start w:val="9"/>
    </w:lvl>
  </w:abstractNum>
  <w:abstractNum w:abstractNumId="44">
    <w:nsid w:val="73A1821B"/>
    <w:multiLevelType w:val="hybridMultilevel"/>
    <w:lvl w:ilvl="0">
      <w:lvlJc w:val="left"/>
      <w:lvlText w:val="%1."/>
      <w:numFmt w:val="decimal"/>
      <w:start w:val="1"/>
    </w:lvl>
  </w:abstractNum>
  <w:abstractNum w:abstractNumId="45">
    <w:nsid w:val="7DE67713"/>
    <w:multiLevelType w:val="hybridMultilevel"/>
    <w:lvl w:ilvl="0">
      <w:lvlJc w:val="left"/>
      <w:lvlText w:val="(%1)"/>
      <w:numFmt w:val="lowerLetter"/>
      <w:start w:val="1"/>
    </w:lvl>
  </w:abstractNum>
  <w:abstractNum w:abstractNumId="46">
    <w:nsid w:val="555C55B5"/>
    <w:multiLevelType w:val="hybridMultilevel"/>
    <w:lvl w:ilvl="0">
      <w:lvlJc w:val="left"/>
      <w:lvlText w:val="%1."/>
      <w:numFmt w:val="decimal"/>
      <w:start w:val="2"/>
    </w:lvl>
    <w:lvl w:ilvl="1">
      <w:lvlJc w:val="left"/>
      <w:lvlText w:val="(%2)"/>
      <w:numFmt w:val="lowerLetter"/>
      <w:start w:val="1"/>
    </w:lvl>
  </w:abstractNum>
  <w:abstractNum w:abstractNumId="47">
    <w:nsid w:val="3FA62ACA"/>
    <w:multiLevelType w:val="hybridMultilevel"/>
    <w:lvl w:ilvl="0">
      <w:lvlJc w:val="left"/>
      <w:lvlText w:val="%1."/>
      <w:numFmt w:val="decimal"/>
      <w:start w:val="3"/>
    </w:lvl>
    <w:lvl w:ilvl="1">
      <w:lvlJc w:val="left"/>
      <w:lvlText w:val="(%2)"/>
      <w:numFmt w:val="lowerLetter"/>
      <w:start w:val="1"/>
    </w:lvl>
  </w:abstractNum>
  <w:abstractNum w:abstractNumId="48">
    <w:nsid w:val="14FCE74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9">
    <w:nsid w:val="6A3DD3E8"/>
    <w:multiLevelType w:val="hybridMultilevel"/>
    <w:lvl w:ilvl="0">
      <w:lvlJc w:val="left"/>
      <w:lvlText w:val="%1"/>
      <w:numFmt w:val="decimal"/>
      <w:start w:val="1"/>
    </w:lvl>
    <w:lvl w:ilvl="1">
      <w:lvlJc w:val="left"/>
      <w:lvlText w:val="(%2)"/>
      <w:numFmt w:val="lowerLetter"/>
      <w:start w:val="2"/>
    </w:lvl>
  </w:abstractNum>
  <w:abstractNum w:abstractNumId="50">
    <w:nsid w:val="71C91298"/>
    <w:multiLevelType w:val="hybridMultilevel"/>
    <w:lvl w:ilvl="0">
      <w:lvlJc w:val="left"/>
      <w:lvlText w:val="(%1)"/>
      <w:numFmt w:val="decimal"/>
      <w:start w:val="3"/>
    </w:lvl>
    <w:lvl w:ilvl="1">
      <w:lvlJc w:val="left"/>
      <w:lvlText w:val="%2"/>
      <w:numFmt w:val="lowerLetter"/>
      <w:start w:val="1"/>
    </w:lvl>
  </w:abstractNum>
  <w:abstractNum w:abstractNumId="51">
    <w:nsid w:val="9DAF632"/>
    <w:multiLevelType w:val="hybridMultilevel"/>
    <w:lvl w:ilvl="0">
      <w:lvlJc w:val="left"/>
      <w:lvlText w:val="%1"/>
      <w:numFmt w:val="decimal"/>
      <w:start w:val="1"/>
    </w:lvl>
    <w:lvl w:ilvl="1">
      <w:lvlJc w:val="left"/>
      <w:lvlText w:val="(%2)"/>
      <w:numFmt w:val="lowerLetter"/>
      <w:start w:val="5"/>
    </w:lvl>
  </w:abstractNum>
  <w:abstractNum w:abstractNumId="52">
    <w:nsid w:val="53299938"/>
    <w:multiLevelType w:val="hybridMultilevel"/>
    <w:lvl w:ilvl="0">
      <w:lvlJc w:val="left"/>
      <w:lvlText w:val="%1."/>
      <w:numFmt w:val="decimal"/>
      <w:start w:val="7"/>
    </w:lvl>
    <w:lvl w:ilvl="1">
      <w:lvlJc w:val="left"/>
      <w:lvlText w:val="(%2)"/>
      <w:numFmt w:val="lowerLetter"/>
      <w:start w:val="1"/>
    </w:lvl>
  </w:abstractNum>
  <w:abstractNum w:abstractNumId="53">
    <w:nsid w:val="1FBFE8E0"/>
    <w:multiLevelType w:val="hybridMultilevel"/>
    <w:lvl w:ilvl="0">
      <w:lvlJc w:val="left"/>
      <w:lvlText w:val="%1."/>
      <w:numFmt w:val="decimal"/>
      <w:start w:val="8"/>
    </w:lvl>
    <w:lvl w:ilvl="1">
      <w:lvlJc w:val="left"/>
      <w:lvlText w:val="(%2)"/>
      <w:numFmt w:val="lowerLetter"/>
      <w:start w:val="1"/>
    </w:lvl>
  </w:abstractNum>
  <w:abstractNum w:abstractNumId="54">
    <w:nsid w:val="5092CA79"/>
    <w:multiLevelType w:val="hybridMultilevel"/>
    <w:lvl w:ilvl="0">
      <w:lvlJc w:val="left"/>
      <w:lvlText w:val="(%1)"/>
      <w:numFmt w:val="lowerLetter"/>
      <w:start w:val="2"/>
    </w:lvl>
  </w:abstractNum>
  <w:abstractNum w:abstractNumId="55">
    <w:nsid w:val="1D545C4D"/>
    <w:multiLevelType w:val="hybridMultilevel"/>
    <w:lvl w:ilvl="0">
      <w:lvlJc w:val="left"/>
      <w:lvlText w:val="(%1)"/>
      <w:numFmt w:val="lowerLetter"/>
      <w:start w:val="6"/>
    </w:lvl>
  </w:abstractNum>
  <w:abstractNum w:abstractNumId="56">
    <w:nsid w:val="59ADEA3D"/>
    <w:multiLevelType w:val="hybridMultilevel"/>
    <w:lvl w:ilvl="0">
      <w:lvlJc w:val="left"/>
      <w:lvlText w:val="%1."/>
      <w:numFmt w:val="decimal"/>
      <w:start w:val="1"/>
    </w:lvl>
  </w:abstractNum>
  <w:abstractNum w:abstractNumId="57">
    <w:nsid w:val="288F1A34"/>
    <w:multiLevelType w:val="hybridMultilevel"/>
    <w:lvl w:ilvl="0">
      <w:lvlJc w:val="left"/>
      <w:lvlText w:val="%1."/>
      <w:numFmt w:val="decimal"/>
      <w:start w:val="5"/>
    </w:lvl>
  </w:abstractNum>
  <w:abstractNum w:abstractNumId="58">
    <w:nsid w:val="2A155DBC"/>
    <w:multiLevelType w:val="hybridMultilevel"/>
    <w:lvl w:ilvl="0">
      <w:lvlJc w:val="left"/>
      <w:lvlText w:val="%1"/>
      <w:numFmt w:val="lowerRoman"/>
      <w:start w:val="1"/>
    </w:lvl>
    <w:lvl w:ilvl="1">
      <w:lvlJc w:val="left"/>
      <w:lvlText w:val="%2."/>
      <w:numFmt w:val="decimal"/>
      <w:start w:val="10"/>
    </w:lvl>
  </w:abstractNum>
  <w:abstractNum w:abstractNumId="59">
    <w:nsid w:val="1D9F6E5F"/>
    <w:multiLevelType w:val="hybridMultilevel"/>
    <w:lvl w:ilvl="0">
      <w:lvlJc w:val="left"/>
      <w:lvlText w:val="(%1)"/>
      <w:numFmt w:val="lowerRoman"/>
      <w:start w:val="2"/>
    </w:lvl>
    <w:lvl w:ilvl="1">
      <w:lvlJc w:val="left"/>
      <w:lvlText w:val="%2"/>
      <w:numFmt w:val="decimal"/>
      <w:start w:val="1"/>
    </w:lvl>
  </w:abstractNum>
  <w:abstractNum w:abstractNumId="60">
    <w:nsid w:val="97E1B4E"/>
    <w:multiLevelType w:val="hybridMultilevel"/>
    <w:lvl w:ilvl="0">
      <w:lvlJc w:val="left"/>
      <w:lvlText w:val="%1."/>
      <w:numFmt w:val="decimal"/>
      <w:start w:val="13"/>
    </w:lvl>
  </w:abstractNum>
  <w:abstractNum w:abstractNumId="61">
    <w:nsid w:val="51088277"/>
    <w:multiLevelType w:val="hybridMultilevel"/>
    <w:lvl w:ilvl="0">
      <w:lvlJc w:val="left"/>
      <w:lvlText w:val="%1."/>
      <w:numFmt w:val="decimal"/>
      <w:start w:val="16"/>
    </w:lvl>
  </w:abstractNum>
  <w:abstractNum w:abstractNumId="62">
    <w:nsid w:val="1CA0C5FA"/>
    <w:multiLevelType w:val="hybridMultilevel"/>
    <w:lvl w:ilvl="0">
      <w:lvlJc w:val="left"/>
      <w:lvlText w:val="%1."/>
      <w:numFmt w:val="decimal"/>
      <w:start w:val="22"/>
    </w:lvl>
  </w:abstractNum>
  <w:abstractNum w:abstractNumId="63">
    <w:nsid w:val="53584BCB"/>
    <w:multiLevelType w:val="hybridMultilevel"/>
    <w:lvl w:ilvl="0">
      <w:lvlJc w:val="left"/>
      <w:lvlText w:val="x"/>
      <w:numFmt w:val="bullet"/>
      <w:start w:val="1"/>
    </w:lvl>
  </w:abstractNum>
  <w:abstractNum w:abstractNumId="64">
    <w:nsid w:val="415E286C"/>
    <w:multiLevelType w:val="hybridMultilevel"/>
    <w:lvl w:ilvl="0">
      <w:lvlJc w:val="left"/>
      <w:lvlText w:val="(%1)"/>
      <w:numFmt w:val="decimal"/>
      <w:start w:val="1"/>
    </w:lvl>
  </w:abstractNum>
  <w:abstractNum w:abstractNumId="65">
    <w:nsid w:val="7C58FD05"/>
    <w:multiLevelType w:val="hybridMultilevel"/>
    <w:lvl w:ilvl="0">
      <w:lvlJc w:val="left"/>
      <w:lvlText w:val="%1."/>
      <w:numFmt w:val="decimal"/>
      <w:start w:val="1"/>
    </w:lvl>
  </w:abstractNum>
  <w:abstractNum w:abstractNumId="66">
    <w:nsid w:val="23D86AAC"/>
    <w:multiLevelType w:val="hybridMultilevel"/>
    <w:lvl w:ilvl="0">
      <w:lvlJc w:val="left"/>
      <w:lvlText w:val="(%1)"/>
      <w:numFmt w:val="lowerLetter"/>
      <w:start w:val="1"/>
    </w:lvl>
  </w:abstractNum>
  <w:abstractNum w:abstractNumId="67">
    <w:nsid w:val="45E6D486"/>
    <w:multiLevelType w:val="hybridMultilevel"/>
    <w:lvl w:ilvl="0">
      <w:lvlJc w:val="left"/>
      <w:lvlText w:val="%1."/>
      <w:numFmt w:val="decimal"/>
      <w:start w:val="2"/>
    </w:lvl>
  </w:abstractNum>
  <w:abstractNum w:abstractNumId="68">
    <w:nsid w:val="5C10FE21"/>
    <w:multiLevelType w:val="hybridMultilevel"/>
    <w:lvl w:ilvl="0">
      <w:lvlJc w:val="left"/>
      <w:lvlText w:val="(%1)"/>
      <w:numFmt w:val="decimal"/>
      <w:start w:val="1"/>
    </w:lvl>
  </w:abstractNum>
  <w:abstractNum w:abstractNumId="69">
    <w:nsid w:val="E7FFA2B"/>
    <w:multiLevelType w:val="hybridMultilevel"/>
    <w:lvl w:ilvl="0">
      <w:lvlJc w:val="left"/>
      <w:lvlText w:val="(%1)"/>
      <w:numFmt w:val="lowerLetter"/>
      <w:start w:val="1"/>
    </w:lvl>
    <w:lvl w:ilvl="1">
      <w:lvlJc w:val="left"/>
      <w:lvlText w:val="(%2)"/>
      <w:numFmt w:val="decimal"/>
      <w:start w:val="1"/>
    </w:lvl>
  </w:abstractNum>
  <w:abstractNum w:abstractNumId="70">
    <w:nsid w:val="3C5991AA"/>
    <w:multiLevelType w:val="hybridMultilevel"/>
    <w:lvl w:ilvl="0">
      <w:lvlJc w:val="left"/>
      <w:lvlText w:val="%1"/>
      <w:numFmt w:val="decimal"/>
      <w:start w:val="1"/>
    </w:lvl>
    <w:lvl w:ilvl="1">
      <w:lvlJc w:val="left"/>
      <w:lvlText w:val="(%2)"/>
      <w:numFmt w:val="lowerLetter"/>
      <w:start w:val="1"/>
    </w:lvl>
  </w:abstractNum>
  <w:abstractNum w:abstractNumId="71">
    <w:nsid w:val="4BD8591A"/>
    <w:multiLevelType w:val="hybridMultilevel"/>
    <w:lvl w:ilvl="0">
      <w:lvlJc w:val="left"/>
      <w:lvlText w:val="(%1)"/>
      <w:numFmt w:val="decimal"/>
      <w:start w:val="2"/>
    </w:lvl>
    <w:lvl w:ilvl="1">
      <w:lvlJc w:val="left"/>
      <w:lvlText w:val="%2"/>
      <w:numFmt w:val="lowerLetter"/>
      <w:start w:val="1"/>
    </w:lvl>
  </w:abstractNum>
  <w:abstractNum w:abstractNumId="72">
    <w:nsid w:val="78DF6A55"/>
    <w:multiLevelType w:val="hybridMultilevel"/>
    <w:lvl w:ilvl="0">
      <w:lvlJc w:val="left"/>
      <w:lvlText w:val="(%1)"/>
      <w:numFmt w:val="decimal"/>
      <w:start w:val="1"/>
    </w:lvl>
  </w:abstractNum>
  <w:abstractNum w:abstractNumId="73">
    <w:nsid w:val="39B7AAA2"/>
    <w:multiLevelType w:val="hybridMultilevel"/>
    <w:lvl w:ilvl="0">
      <w:lvlJc w:val="left"/>
      <w:lvlText w:val="(%1)"/>
      <w:numFmt w:val="decimal"/>
      <w:start w:val="1"/>
    </w:lvl>
  </w:abstractNum>
  <w:abstractNum w:abstractNumId="74">
    <w:nsid w:val="2B0D8DBE"/>
    <w:multiLevelType w:val="hybridMultilevel"/>
    <w:lvl w:ilvl="0">
      <w:lvlJc w:val="left"/>
      <w:lvlText w:val="(%1)"/>
      <w:numFmt w:val="decimal"/>
      <w:start w:val="1"/>
    </w:lvl>
    <w:lvl w:ilvl="1">
      <w:lvlJc w:val="left"/>
      <w:lvlText w:val="(%2)"/>
      <w:numFmt w:val="decimal"/>
      <w:start w:val="2"/>
    </w:lvl>
  </w:abstractNum>
  <w:abstractNum w:abstractNumId="75">
    <w:nsid w:val="6C80EC70"/>
    <w:multiLevelType w:val="hybridMultilevel"/>
    <w:lvl w:ilvl="0">
      <w:lvlJc w:val="left"/>
      <w:lvlText w:val="%1"/>
      <w:numFmt w:val="decimal"/>
      <w:start w:val="1"/>
    </w:lvl>
    <w:lvl w:ilvl="1">
      <w:lvlJc w:val="left"/>
      <w:lvlText w:val="(%2)"/>
      <w:numFmt w:val="decimal"/>
      <w:start w:val="5"/>
    </w:lvl>
  </w:abstractNum>
  <w:abstractNum w:abstractNumId="76">
    <w:nsid w:val="379E21B5"/>
    <w:multiLevelType w:val="hybridMultilevel"/>
    <w:lvl w:ilvl="0">
      <w:lvlJc w:val="left"/>
      <w:lvlText w:val="(%1)"/>
      <w:numFmt w:val="decimal"/>
      <w:start w:val="8"/>
    </w:lvl>
    <w:lvl w:ilvl="1">
      <w:lvlJc w:val="left"/>
      <w:lvlText w:val="%2"/>
      <w:numFmt w:val="decimal"/>
      <w:start w:val="1"/>
    </w:lvl>
  </w:abstractNum>
  <w:abstractNum w:abstractNumId="77">
    <w:nsid w:val="69E373"/>
    <w:multiLevelType w:val="hybridMultilevel"/>
    <w:lvl w:ilvl="0">
      <w:lvlJc w:val="left"/>
      <w:lvlText w:val="(%1)"/>
      <w:numFmt w:val="decimal"/>
      <w:start w:val="1"/>
    </w:lvl>
  </w:abstractNum>
  <w:abstractNum w:abstractNumId="78">
    <w:nsid w:val="2C27173B"/>
    <w:multiLevelType w:val="hybridMultilevel"/>
    <w:lvl w:ilvl="0">
      <w:lvlJc w:val="left"/>
      <w:lvlText w:val="%1."/>
      <w:numFmt w:val="decimal"/>
      <w:start w:val="1"/>
    </w:lvl>
    <w:lvl w:ilvl="1">
      <w:lvlJc w:val="left"/>
      <w:lvlText w:val="%2."/>
      <w:numFmt w:val="decimal"/>
      <w:start w:val="2"/>
    </w:lvl>
  </w:abstractNum>
  <w:abstractNum w:abstractNumId="79">
    <w:nsid w:val="4C9B0904"/>
    <w:multiLevelType w:val="hybridMultilevel"/>
    <w:lvl w:ilvl="0">
      <w:lvlJc w:val="left"/>
      <w:lvlText w:val="%1."/>
      <w:numFmt w:val="decimal"/>
      <w:start w:val="3"/>
    </w:lvl>
  </w:abstractNum>
  <w:abstractNum w:abstractNumId="80">
    <w:nsid w:val="6AA7B75C"/>
    <w:multiLevelType w:val="hybridMultilevel"/>
    <w:lvl w:ilvl="0">
      <w:lvlJc w:val="left"/>
      <w:lvlText w:val="(%1)"/>
      <w:numFmt w:val="lowerLetter"/>
      <w:start w:val="1"/>
    </w:lvl>
  </w:abstractNum>
  <w:abstractNum w:abstractNumId="81">
    <w:nsid w:val="1DF029D3"/>
    <w:multiLevelType w:val="hybridMultilevel"/>
    <w:lvl w:ilvl="0">
      <w:lvlJc w:val="left"/>
      <w:lvlText w:val="%1."/>
      <w:numFmt w:val="decimal"/>
      <w:start w:val="4"/>
    </w:lvl>
  </w:abstractNum>
  <w:abstractNum w:abstractNumId="82">
    <w:nsid w:val="5675FF36"/>
    <w:multiLevelType w:val="hybridMultilevel"/>
    <w:lvl w:ilvl="0">
      <w:lvlJc w:val="left"/>
      <w:lvlText w:val="%1."/>
      <w:numFmt w:val="decimal"/>
      <w:start w:val="5"/>
    </w:lvl>
  </w:abstractNum>
  <w:abstractNum w:abstractNumId="83">
    <w:nsid w:val="3DD15094"/>
    <w:multiLevelType w:val="hybridMultilevel"/>
    <w:lvl w:ilvl="0">
      <w:lvlJc w:val="left"/>
      <w:lvlText w:val="%1."/>
      <w:numFmt w:val="decimal"/>
      <w:start w:val="7"/>
    </w:lvl>
  </w:abstractNum>
  <w:abstractNum w:abstractNumId="84">
    <w:nsid w:val="3DB012B3"/>
    <w:multiLevelType w:val="hybridMultilevel"/>
    <w:lvl w:ilvl="0">
      <w:lvlJc w:val="left"/>
      <w:lvlText w:val="%1"/>
      <w:numFmt w:val="decimal"/>
      <w:start w:val="1"/>
    </w:lvl>
    <w:lvl w:ilvl="1">
      <w:lvlJc w:val="left"/>
      <w:lvlText w:val="%2."/>
      <w:numFmt w:val="decimal"/>
      <w:start w:val="8"/>
    </w:lvl>
    <w:lvl w:ilvl="2">
      <w:lvlJc w:val="left"/>
      <w:lvlText w:val="%3."/>
      <w:numFmt w:val="decimal"/>
      <w:start w:val="9"/>
    </w:lvl>
  </w:abstractNum>
  <w:abstractNum w:abstractNumId="85">
    <w:nsid w:val="2708C9AF"/>
    <w:multiLevelType w:val="hybridMultilevel"/>
    <w:lvl w:ilvl="0">
      <w:lvlJc w:val="left"/>
      <w:lvlText w:val="%1."/>
      <w:numFmt w:val="decimal"/>
      <w:start w:val="11"/>
    </w:lvl>
    <w:lvl w:ilvl="1">
      <w:lvlJc w:val="left"/>
      <w:lvlText w:val="%2."/>
      <w:numFmt w:val="decimal"/>
      <w:start w:val="12"/>
    </w:lvl>
    <w:lvl w:ilvl="2">
      <w:lvlJc w:val="left"/>
      <w:lvlText w:val="%3"/>
      <w:numFmt w:val="decimal"/>
      <w:start w:val="1"/>
    </w:lvl>
  </w:abstractNum>
  <w:abstractNum w:abstractNumId="86">
    <w:nsid w:val="5B25ACE2"/>
    <w:multiLevelType w:val="hybridMultilevel"/>
    <w:lvl w:ilvl="0">
      <w:lvlJc w:val="left"/>
      <w:lvlText w:val="(%1)"/>
      <w:numFmt w:val="lowerLetter"/>
      <w:start w:val="1"/>
    </w:lvl>
  </w:abstractNum>
  <w:abstractNum w:abstractNumId="87">
    <w:nsid w:val="175DFCF0"/>
    <w:multiLevelType w:val="hybridMultilevel"/>
    <w:lvl w:ilvl="0">
      <w:lvlJc w:val="left"/>
      <w:lvlText w:val="(%1)"/>
      <w:numFmt w:val="lowerLetter"/>
      <w:start w:val="3"/>
    </w:lvl>
  </w:abstractNum>
  <w:abstractNum w:abstractNumId="88">
    <w:nsid w:val="4F97E3E4"/>
    <w:multiLevelType w:val="hybridMultilevel"/>
    <w:lvl w:ilvl="0">
      <w:lvlJc w:val="left"/>
      <w:lvlText w:val="●"/>
      <w:numFmt w:val="bullet"/>
      <w:start w:val="1"/>
    </w:lvl>
  </w:abstractNum>
  <w:abstractNum w:abstractNumId="89">
    <w:nsid w:val="53B0A9E"/>
    <w:multiLevelType w:val="hybridMultilevel"/>
    <w:lvl w:ilvl="0">
      <w:lvlJc w:val="left"/>
      <w:lvlText w:val="%1."/>
      <w:numFmt w:val="decimal"/>
      <w:start w:val="1"/>
    </w:lvl>
  </w:abstractNum>
  <w:abstractNum w:abstractNumId="90">
    <w:nsid w:val="34FD6B4F"/>
    <w:multiLevelType w:val="hybridMultilevel"/>
    <w:lvl w:ilvl="0">
      <w:lvlJc w:val="left"/>
      <w:lvlText w:val="(%1)"/>
      <w:numFmt w:val="lowerLetter"/>
      <w:start w:val="1"/>
    </w:lvl>
  </w:abstractNum>
  <w:abstractNum w:abstractNumId="91">
    <w:nsid w:val="5915FF32"/>
    <w:multiLevelType w:val="hybridMultilevel"/>
    <w:lvl w:ilvl="0">
      <w:lvlJc w:val="left"/>
      <w:lvlText w:val="%1."/>
      <w:numFmt w:val="decimal"/>
      <w:start w:val="3"/>
    </w:lvl>
  </w:abstractNum>
  <w:abstractNum w:abstractNumId="92">
    <w:nsid w:val="56438D15"/>
    <w:multiLevelType w:val="hybridMultilevel"/>
    <w:lvl w:ilvl="0">
      <w:lvlJc w:val="left"/>
      <w:lvlText w:val="%1."/>
      <w:numFmt w:val="decimal"/>
      <w:start w:val="4"/>
    </w:lvl>
  </w:abstractNum>
  <w:abstractNum w:abstractNumId="93">
    <w:nsid w:val="519E3149"/>
    <w:multiLevelType w:val="hybridMultilevel"/>
    <w:lvl w:ilvl="0">
      <w:lvlJc w:val="left"/>
      <w:lvlText w:val="%1."/>
      <w:numFmt w:val="decimal"/>
      <w:start w:val="6"/>
    </w:lvl>
  </w:abstractNum>
  <w:abstractNum w:abstractNumId="94">
    <w:nsid w:val="2C6E4AFD"/>
    <w:multiLevelType w:val="hybridMultilevel"/>
    <w:lvl w:ilvl="0">
      <w:lvlJc w:val="left"/>
      <w:lvlText w:val="(%1)"/>
      <w:numFmt w:val="lowerLetter"/>
      <w:start w:val="3"/>
    </w:lvl>
    <w:lvl w:ilvl="1">
      <w:lvlJc w:val="left"/>
      <w:lvlText w:val="%2."/>
      <w:numFmt w:val="decimal"/>
      <w:start w:val="8"/>
    </w:lvl>
  </w:abstractNum>
  <w:abstractNum w:abstractNumId="95">
    <w:nsid w:val="17A1B582"/>
    <w:multiLevelType w:val="hybridMultilevel"/>
    <w:lvl w:ilvl="0">
      <w:lvlJc w:val="left"/>
      <w:lvlText w:val="%1."/>
      <w:numFmt w:val="decimal"/>
      <w:start w:val="11"/>
    </w:lvl>
  </w:abstractNum>
  <w:abstractNum w:abstractNumId="96">
    <w:nsid w:val="4DF72E4E"/>
    <w:multiLevelType w:val="hybridMultilevel"/>
    <w:lvl w:ilvl="0">
      <w:lvlJc w:val="left"/>
      <w:lvlText w:val="%1."/>
      <w:numFmt w:val="decimal"/>
      <w:start w:val="13"/>
    </w:lvl>
  </w:abstractNum>
  <w:abstractNum w:abstractNumId="97">
    <w:nsid w:val="5046B5A9"/>
    <w:multiLevelType w:val="hybridMultilevel"/>
    <w:lvl w:ilvl="0">
      <w:lvlJc w:val="left"/>
      <w:lvlText w:val="%1."/>
      <w:numFmt w:val="decimal"/>
      <w:start w:val="1"/>
    </w:lvl>
  </w:abstractNum>
  <w:abstractNum w:abstractNumId="98">
    <w:nsid w:val="5D888A08"/>
    <w:multiLevelType w:val="hybridMultilevel"/>
    <w:lvl w:ilvl="0">
      <w:lvlJc w:val="left"/>
      <w:lvlText w:val="%1."/>
      <w:numFmt w:val="decimal"/>
      <w:start w:val="5"/>
    </w:lvl>
  </w:abstractNum>
  <w:abstractNum w:abstractNumId="99">
    <w:nsid w:val="2A082C70"/>
    <w:multiLevelType w:val="hybridMultilevel"/>
    <w:lvl w:ilvl="0">
      <w:lvlJc w:val="left"/>
      <w:lvlText w:val="%1"/>
      <w:numFmt w:val="decimal"/>
      <w:start w:val="1"/>
    </w:lvl>
    <w:lvl w:ilvl="1">
      <w:lvlJc w:val="left"/>
      <w:lvlText w:val="%2."/>
      <w:numFmt w:val="decimal"/>
      <w:start w:val="8"/>
    </w:lvl>
  </w:abstractNum>
  <w:abstractNum w:abstractNumId="100">
    <w:nsid w:val="5EC6AFD4"/>
    <w:multiLevelType w:val="hybridMultilevel"/>
    <w:lvl w:ilvl="0">
      <w:lvlJc w:val="left"/>
      <w:lvlText w:val="(%1)"/>
      <w:numFmt w:val="decimal"/>
      <w:start w:val="1"/>
    </w:lvl>
    <w:lvl w:ilvl="1">
      <w:lvlJc w:val="left"/>
      <w:lvlText w:val="%2."/>
      <w:numFmt w:val="decimal"/>
      <w:start w:val="13"/>
    </w:lvl>
  </w:abstractNum>
  <w:abstractNum w:abstractNumId="101">
    <w:nsid w:val="19E21BB2"/>
    <w:multiLevelType w:val="hybridMultilevel"/>
    <w:lvl w:ilvl="0">
      <w:lvlJc w:val="left"/>
      <w:lvlText w:val="%1."/>
      <w:numFmt w:val="decimal"/>
      <w:start w:val="15"/>
    </w:lvl>
  </w:abstractNum>
  <w:abstractNum w:abstractNumId="102">
    <w:nsid w:val="75E0858A"/>
    <w:multiLevelType w:val="hybridMultilevel"/>
    <w:lvl w:ilvl="0">
      <w:lvlJc w:val="left"/>
      <w:lvlText w:val="%1."/>
      <w:numFmt w:val="decimal"/>
      <w:start w:val="21"/>
    </w:lvl>
  </w:abstractNum>
  <w:abstractNum w:abstractNumId="103">
    <w:nsid w:val="57A61A29"/>
    <w:multiLevelType w:val="hybridMultilevel"/>
    <w:lvl w:ilvl="0">
      <w:lvlJc w:val="left"/>
      <w:lvlText w:val="●"/>
      <w:numFmt w:val="bullet"/>
      <w:start w:val="1"/>
    </w:lvl>
  </w:abstractNum>
  <w:abstractNum w:abstractNumId="104">
    <w:nsid w:val="5399C654"/>
    <w:multiLevelType w:val="hybridMultilevel"/>
    <w:lvl w:ilvl="0">
      <w:lvlJc w:val="left"/>
      <w:lvlText w:val="●"/>
      <w:numFmt w:val="bullet"/>
      <w:start w:val="1"/>
    </w:lvl>
  </w:abstractNum>
  <w:abstractNum w:abstractNumId="105">
    <w:nsid w:val="20EE1348"/>
    <w:multiLevelType w:val="hybridMultilevel"/>
    <w:lvl w:ilvl="0">
      <w:lvlJc w:val="left"/>
      <w:lvlText w:val="●"/>
      <w:numFmt w:val="bullet"/>
      <w:start w:val="1"/>
    </w:lvl>
  </w:abstractNum>
  <w:abstractNum w:abstractNumId="106">
    <w:nsid w:val="4427069A"/>
    <w:multiLevelType w:val="hybridMultilevel"/>
    <w:lvl w:ilvl="0">
      <w:lvlJc w:val="left"/>
      <w:lvlText w:val="●"/>
      <w:numFmt w:val="bullet"/>
      <w:start w:val="1"/>
    </w:lvl>
  </w:abstractNum>
  <w:abstractNum w:abstractNumId="107">
    <w:nsid w:val="B37E80A"/>
    <w:multiLevelType w:val="hybridMultilevel"/>
    <w:lvl w:ilvl="0">
      <w:lvlJc w:val="left"/>
      <w:lvlText w:val="●"/>
      <w:numFmt w:val="bullet"/>
      <w:start w:val="1"/>
    </w:lvl>
    <w:lvl w:ilvl="1">
      <w:lvlJc w:val="left"/>
      <w:lvlText w:val="o"/>
      <w:numFmt w:val="bullet"/>
      <w:start w:val="1"/>
    </w:lvl>
  </w:abstractNum>
  <w:abstractNum w:abstractNumId="108">
    <w:nsid w:val="2157F6BC"/>
    <w:multiLevelType w:val="hybridMultilevel"/>
    <w:lvl w:ilvl="0">
      <w:lvlJc w:val="left"/>
      <w:lvlText w:val="%1."/>
      <w:numFmt w:val="decimal"/>
      <w:start w:val="1"/>
    </w:lvl>
  </w:abstractNum>
  <w:abstractNum w:abstractNumId="109">
    <w:nsid w:val="704E1DD5"/>
    <w:multiLevelType w:val="hybridMultilevel"/>
    <w:lvl w:ilvl="0">
      <w:lvlJc w:val="left"/>
      <w:lvlText w:val="%1."/>
      <w:numFmt w:val="decimal"/>
      <w:start w:val="2"/>
    </w:lvl>
    <w:lvl w:ilvl="1">
      <w:lvlJc w:val="left"/>
      <w:lvlText w:val="(%2)"/>
      <w:numFmt w:val="lowerLetter"/>
      <w:start w:val="1"/>
    </w:lvl>
  </w:abstractNum>
  <w:abstractNum w:abstractNumId="110">
    <w:nsid w:val="57D2F10E"/>
    <w:multiLevelType w:val="hybridMultilevel"/>
    <w:lvl w:ilvl="0">
      <w:lvlJc w:val="left"/>
      <w:lvlText w:val="%1."/>
      <w:numFmt w:val="decimal"/>
      <w:start w:val="3"/>
    </w:lvl>
  </w:abstractNum>
  <w:abstractNum w:abstractNumId="111">
    <w:nsid w:val="BFFAE18"/>
    <w:multiLevelType w:val="hybridMultilevel"/>
    <w:lvl w:ilvl="0">
      <w:lvlJc w:val="left"/>
      <w:lvlText w:val="%1."/>
      <w:numFmt w:val="decimal"/>
      <w:start w:val="4"/>
    </w:lvl>
  </w:abstractNum>
  <w:abstractNum w:abstractNumId="112">
    <w:nsid w:val="E3E47A8"/>
    <w:multiLevelType w:val="hybridMultilevel"/>
    <w:lvl w:ilvl="0">
      <w:lvlJc w:val="left"/>
      <w:lvlText w:val="%1."/>
      <w:numFmt w:val="decimal"/>
      <w:start w:val="6"/>
    </w:lvl>
  </w:abstractNum>
  <w:abstractNum w:abstractNumId="113">
    <w:nsid w:val="2E48F044"/>
    <w:multiLevelType w:val="hybridMultilevel"/>
    <w:lvl w:ilvl="0">
      <w:lvlJc w:val="left"/>
      <w:lvlText w:val="%1."/>
      <w:numFmt w:val="decimal"/>
      <w:start w:val="7"/>
    </w:lvl>
  </w:abstractNum>
  <w:abstractNum w:abstractNumId="114">
    <w:nsid w:val="49D0FEAC"/>
    <w:multiLevelType w:val="hybridMultilevel"/>
    <w:lvl w:ilvl="0">
      <w:lvlJc w:val="left"/>
      <w:lvlText w:val="●"/>
      <w:numFmt w:val="bullet"/>
      <w:start w:val="1"/>
    </w:lvl>
  </w:abstractNum>
  <w:abstractNum w:abstractNumId="115">
    <w:nsid w:val="4BEE5A5B"/>
    <w:multiLevelType w:val="hybridMultilevel"/>
    <w:lvl w:ilvl="0">
      <w:lvlJc w:val="left"/>
      <w:lvlText w:val="%1."/>
      <w:numFmt w:val="decimal"/>
      <w:start w:val="1"/>
    </w:lvl>
  </w:abstractNum>
  <w:abstractNum w:abstractNumId="116">
    <w:nsid w:val="5551B9F3"/>
    <w:multiLevelType w:val="hybridMultilevel"/>
    <w:lvl w:ilvl="0">
      <w:lvlJc w:val="left"/>
      <w:lvlText w:val="1"/>
      <w:numFmt w:val="bullet"/>
      <w:start w:val="1"/>
    </w:lvl>
  </w:abstractNum>
  <w:abstractNum w:abstractNumId="117">
    <w:nsid w:val="24F6AB8E"/>
    <w:multiLevelType w:val="hybridMultilevel"/>
    <w:lvl w:ilvl="0">
      <w:lvlJc w:val="left"/>
      <w:lvlText w:val="%1."/>
      <w:numFmt w:val="decimal"/>
      <w:start w:val="7"/>
    </w:lvl>
  </w:abstractNum>
  <w:abstractNum w:abstractNumId="118">
    <w:nsid w:val="634C574C"/>
    <w:multiLevelType w:val="hybridMultilevel"/>
    <w:lvl w:ilvl="0">
      <w:lvlJc w:val="left"/>
      <w:lvlText w:val="%1."/>
      <w:numFmt w:val="decimal"/>
      <w:start w:val="1"/>
    </w:lvl>
  </w:abstractNum>
  <w:abstractNum w:abstractNumId="119">
    <w:nsid w:val="24E99DD7"/>
    <w:multiLevelType w:val="hybridMultilevel"/>
    <w:lvl w:ilvl="0">
      <w:lvlJc w:val="left"/>
      <w:lvlText w:val="(%1)"/>
      <w:numFmt w:val="lowerLetter"/>
      <w:start w:val="1"/>
    </w:lvl>
  </w:abstractNum>
  <w:abstractNum w:abstractNumId="120">
    <w:nsid w:val="2A31B62D"/>
    <w:multiLevelType w:val="hybridMultilevel"/>
    <w:lvl w:ilvl="0">
      <w:lvlJc w:val="left"/>
      <w:lvlText w:val="%1."/>
      <w:numFmt w:val="decimal"/>
      <w:start w:val="2"/>
    </w:lvl>
    <w:lvl w:ilvl="1">
      <w:lvlJc w:val="left"/>
      <w:lvlText w:val="(%2)"/>
      <w:numFmt w:val="lowerLetter"/>
      <w:start w:val="1"/>
    </w:lvl>
  </w:abstractNum>
  <w:abstractNum w:abstractNumId="121">
    <w:nsid w:val="1849C29B"/>
    <w:multiLevelType w:val="hybridMultilevel"/>
    <w:lvl w:ilvl="0">
      <w:lvlJc w:val="left"/>
      <w:lvlText w:val="%1."/>
      <w:numFmt w:val="decimal"/>
      <w:start w:val="3"/>
    </w:lvl>
    <w:lvl w:ilvl="1">
      <w:lvlJc w:val="left"/>
      <w:lvlText w:val="(%2)"/>
      <w:numFmt w:val="lowerLetter"/>
      <w:start w:val="1"/>
    </w:lvl>
  </w:abstractNum>
  <w:abstractNum w:abstractNumId="122">
    <w:nsid w:val="7DFF9D0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3">
    <w:nsid w:val="754342"/>
    <w:multiLevelType w:val="hybridMultilevel"/>
    <w:lvl w:ilvl="0">
      <w:lvlJc w:val="left"/>
      <w:lvlText w:val="%1"/>
      <w:numFmt w:val="decimal"/>
      <w:start w:val="1"/>
    </w:lvl>
    <w:lvl w:ilvl="1">
      <w:lvlJc w:val="left"/>
      <w:lvlText w:val="(%2)"/>
      <w:numFmt w:val="lowerLetter"/>
      <w:start w:val="6"/>
    </w:lvl>
  </w:abstractNum>
  <w:abstractNum w:abstractNumId="124">
    <w:nsid w:val="69E7F3E5"/>
    <w:multiLevelType w:val="hybridMultilevel"/>
    <w:lvl w:ilvl="0">
      <w:lvlJc w:val="left"/>
      <w:lvlText w:val="%1."/>
      <w:numFmt w:val="decimal"/>
      <w:start w:val="7"/>
    </w:lvl>
    <w:lvl w:ilvl="1">
      <w:lvlJc w:val="left"/>
      <w:lvlText w:val="(%2)"/>
      <w:numFmt w:val="lowerLetter"/>
      <w:start w:val="1"/>
    </w:lvl>
  </w:abstractNum>
  <w:abstractNum w:abstractNumId="125">
    <w:nsid w:val="2A6DE806"/>
    <w:multiLevelType w:val="hybridMultilevel"/>
    <w:lvl w:ilvl="0">
      <w:lvlJc w:val="left"/>
      <w:lvlText w:val="%1."/>
      <w:numFmt w:val="decimal"/>
      <w:start w:val="8"/>
    </w:lvl>
    <w:lvl w:ilvl="1">
      <w:lvlJc w:val="left"/>
      <w:lvlText w:val="(%2)"/>
      <w:numFmt w:val="lowerLetter"/>
      <w:start w:val="1"/>
    </w:lvl>
  </w:abstractNum>
  <w:abstractNum w:abstractNumId="126">
    <w:nsid w:val="1816F8C4"/>
    <w:multiLevelType w:val="hybridMultilevel"/>
    <w:lvl w:ilvl="0">
      <w:lvlJc w:val="left"/>
      <w:lvlText w:val="(%1)"/>
      <w:numFmt w:val="lowerLetter"/>
      <w:start w:val="2"/>
    </w:lvl>
  </w:abstractNum>
  <w:abstractNum w:abstractNumId="127">
    <w:nsid w:val="37DF2233"/>
    <w:multiLevelType w:val="hybridMultilevel"/>
    <w:lvl w:ilvl="0">
      <w:lvlJc w:val="left"/>
      <w:lvlText w:val="(%1)"/>
      <w:numFmt w:val="lowerLetter"/>
      <w:start w:val="6"/>
    </w:lvl>
  </w:abstractNum>
  <w:abstractNum w:abstractNumId="128">
    <w:nsid w:val="7AB49DAF"/>
    <w:multiLevelType w:val="hybridMultilevel"/>
    <w:lvl w:ilvl="0">
      <w:lvlJc w:val="left"/>
      <w:lvlText w:val="%1."/>
      <w:numFmt w:val="decimal"/>
      <w:start w:val="1"/>
    </w:lvl>
    <w:lvl w:ilvl="1">
      <w:lvlJc w:val="left"/>
      <w:lvlText w:val="%2."/>
      <w:numFmt w:val="lowerLetter"/>
      <w:start w:val="1"/>
    </w:lvl>
  </w:abstractNum>
  <w:abstractNum w:abstractNumId="129">
    <w:nsid w:val="759F82CD"/>
    <w:multiLevelType w:val="hybridMultilevel"/>
    <w:lvl w:ilvl="0">
      <w:lvlJc w:val="left"/>
      <w:lvlText w:val="1"/>
      <w:numFmt w:val="bullet"/>
      <w:start w:val="1"/>
    </w:lvl>
  </w:abstractNum>
  <w:abstractNum w:abstractNumId="130">
    <w:nsid w:val="61E74EA3"/>
    <w:multiLevelType w:val="hybridMultilevel"/>
    <w:lvl w:ilvl="0">
      <w:lvlJc w:val="left"/>
      <w:lvlText w:val="%1."/>
      <w:numFmt w:val="decimal"/>
      <w:start w:val="4"/>
    </w:lvl>
  </w:abstractNum>
  <w:abstractNum w:abstractNumId="131">
    <w:nsid w:val="597B4D84"/>
    <w:multiLevelType w:val="hybridMultilevel"/>
    <w:lvl w:ilvl="0">
      <w:lvlJc w:val="left"/>
      <w:lvlText w:val="%1."/>
      <w:numFmt w:val="decimal"/>
      <w:start w:val="11"/>
    </w:lvl>
  </w:abstractNum>
  <w:abstractNum w:abstractNumId="132">
    <w:nsid w:val="F819E7F"/>
    <w:multiLevelType w:val="hybridMultilevel"/>
    <w:lvl w:ilvl="0">
      <w:lvlJc w:val="left"/>
      <w:lvlText w:val="%1."/>
      <w:numFmt w:val="decimal"/>
      <w:start w:val="1"/>
    </w:lvl>
  </w:abstractNum>
  <w:abstractNum w:abstractNumId="133">
    <w:nsid w:val="57C7D42D"/>
    <w:multiLevelType w:val="hybridMultilevel"/>
    <w:lvl w:ilvl="0">
      <w:lvlJc w:val="left"/>
      <w:lvlText w:val="(%1)"/>
      <w:numFmt w:val="lowerLetter"/>
      <w:start w:val="1"/>
    </w:lvl>
  </w:abstractNum>
  <w:abstractNum w:abstractNumId="134">
    <w:nsid w:val="312167AD"/>
    <w:multiLevelType w:val="hybridMultilevel"/>
    <w:lvl w:ilvl="0">
      <w:lvlJc w:val="left"/>
      <w:lvlText w:val="%1."/>
      <w:numFmt w:val="decimal"/>
      <w:start w:val="2"/>
    </w:lvl>
    <w:lvl w:ilvl="1">
      <w:lvlJc w:val="left"/>
      <w:lvlText w:val="(%2)"/>
      <w:numFmt w:val="lowerLetter"/>
      <w:start w:val="1"/>
    </w:lvl>
  </w:abstractNum>
  <w:abstractNum w:abstractNumId="135">
    <w:nsid w:val="631B64D4"/>
    <w:multiLevelType w:val="hybridMultilevel"/>
    <w:lvl w:ilvl="0">
      <w:lvlJc w:val="left"/>
      <w:lvlText w:val="%1."/>
      <w:numFmt w:val="decimal"/>
      <w:start w:val="3"/>
    </w:lvl>
    <w:lvl w:ilvl="1">
      <w:lvlJc w:val="left"/>
      <w:lvlText w:val="(%2)"/>
      <w:numFmt w:val="lowerLetter"/>
      <w:start w:val="1"/>
    </w:lvl>
  </w:abstractNum>
  <w:abstractNum w:abstractNumId="136">
    <w:nsid w:val="78B5E77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7">
    <w:nsid w:val="75486E47"/>
    <w:multiLevelType w:val="hybridMultilevel"/>
    <w:lvl w:ilvl="0">
      <w:lvlJc w:val="left"/>
      <w:lvlText w:val="%1"/>
      <w:numFmt w:val="decimal"/>
      <w:start w:val="1"/>
    </w:lvl>
    <w:lvl w:ilvl="1">
      <w:lvlJc w:val="left"/>
      <w:lvlText w:val="(%2)"/>
      <w:numFmt w:val="lowerLetter"/>
      <w:start w:val="6"/>
    </w:lvl>
  </w:abstractNum>
  <w:abstractNum w:abstractNumId="138">
    <w:nsid w:val="6E534CDE"/>
    <w:multiLevelType w:val="hybridMultilevel"/>
    <w:lvl w:ilvl="0">
      <w:lvlJc w:val="left"/>
      <w:lvlText w:val="%1."/>
      <w:numFmt w:val="decimal"/>
      <w:start w:val="7"/>
    </w:lvl>
    <w:lvl w:ilvl="1">
      <w:lvlJc w:val="left"/>
      <w:lvlText w:val="(%2)"/>
      <w:numFmt w:val="lowerLetter"/>
      <w:start w:val="1"/>
    </w:lvl>
  </w:abstractNum>
  <w:abstractNum w:abstractNumId="139">
    <w:nsid w:val="1A0DDE32"/>
    <w:multiLevelType w:val="hybridMultilevel"/>
    <w:lvl w:ilvl="0">
      <w:lvlJc w:val="left"/>
      <w:lvlText w:val="%1."/>
      <w:numFmt w:val="decimal"/>
      <w:start w:val="8"/>
    </w:lvl>
    <w:lvl w:ilvl="1">
      <w:lvlJc w:val="left"/>
      <w:lvlText w:val="(%2)"/>
      <w:numFmt w:val="lowerLetter"/>
      <w:start w:val="1"/>
    </w:lvl>
  </w:abstractNum>
  <w:abstractNum w:abstractNumId="140">
    <w:nsid w:val="65968C1C"/>
    <w:multiLevelType w:val="hybridMultilevel"/>
    <w:lvl w:ilvl="0">
      <w:lvlJc w:val="left"/>
      <w:lvlText w:val="(%1)"/>
      <w:numFmt w:val="lowerLetter"/>
      <w:start w:val="2"/>
    </w:lvl>
  </w:abstractNum>
  <w:abstractNum w:abstractNumId="141">
    <w:nsid w:val="46263DEC"/>
    <w:multiLevelType w:val="hybridMultilevel"/>
    <w:lvl w:ilvl="0">
      <w:lvlJc w:val="left"/>
      <w:lvlText w:val="(%1)"/>
      <w:numFmt w:val="lowerLetter"/>
      <w:start w:val="6"/>
    </w:lvl>
  </w:abstractNum>
  <w:abstractNum w:abstractNumId="142">
    <w:nsid w:val="260D8C4A"/>
    <w:multiLevelType w:val="hybridMultilevel"/>
    <w:lvl w:ilvl="0">
      <w:lvlJc w:val="left"/>
      <w:lvlText w:val="%1."/>
      <w:numFmt w:val="decimal"/>
      <w:start w:val="1"/>
    </w:lvl>
  </w:abstractNum>
  <w:abstractNum w:abstractNumId="143">
    <w:nsid w:val="73D4D3C4"/>
    <w:multiLevelType w:val="hybridMultilevel"/>
    <w:lvl w:ilvl="0">
      <w:lvlJc w:val="left"/>
      <w:lvlText w:val="%1."/>
      <w:numFmt w:val="decimal"/>
      <w:start w:val="3"/>
    </w:lvl>
    <w:lvl w:ilvl="1">
      <w:lvlJc w:val="left"/>
      <w:lvlText w:val="(%2)"/>
      <w:numFmt w:val="lowerLetter"/>
      <w:start w:val="1"/>
    </w:lvl>
  </w:abstractNum>
  <w:abstractNum w:abstractNumId="144">
    <w:nsid w:val="746F2E30"/>
    <w:multiLevelType w:val="hybridMultilevel"/>
    <w:lvl w:ilvl="0">
      <w:lvlJc w:val="left"/>
      <w:lvlText w:val="%1."/>
      <w:numFmt w:val="decimal"/>
      <w:start w:val="4"/>
    </w:lvl>
  </w:abstractNum>
  <w:abstractNum w:abstractNumId="145">
    <w:nsid w:val="6FDE8AF6"/>
    <w:multiLevelType w:val="hybridMultilevel"/>
    <w:lvl w:ilvl="0">
      <w:lvlJc w:val="left"/>
      <w:lvlText w:val="%1."/>
      <w:numFmt w:val="decimal"/>
      <w:start w:val="5"/>
    </w:lvl>
  </w:abstractNum>
  <w:abstractNum w:abstractNumId="146">
    <w:nsid w:val="3FC32E20"/>
    <w:multiLevelType w:val="hybridMultilevel"/>
    <w:lvl w:ilvl="0">
      <w:lvlJc w:val="left"/>
      <w:lvlText w:val="%1."/>
      <w:numFmt w:val="decimal"/>
      <w:start w:val="7"/>
    </w:lvl>
  </w:abstractNum>
  <w:abstractNum w:abstractNumId="147">
    <w:nsid w:val="49C0E823"/>
    <w:multiLevelType w:val="hybridMultilevel"/>
    <w:lvl w:ilvl="0">
      <w:lvlJc w:val="left"/>
      <w:lvlText w:val="%1."/>
      <w:numFmt w:val="decimal"/>
      <w:start w:val="8"/>
    </w:lvl>
  </w:abstractNum>
  <w:abstractNum w:abstractNumId="148">
    <w:nsid w:val="14D53685"/>
    <w:multiLevelType w:val="hybridMultilevel"/>
    <w:lvl w:ilvl="0">
      <w:lvlJc w:val="left"/>
      <w:lvlText w:val="%1"/>
      <w:numFmt w:val="decimal"/>
      <w:start w:val="1"/>
    </w:lvl>
    <w:lvl w:ilvl="1">
      <w:lvlJc w:val="left"/>
      <w:lvlText w:val="%2."/>
      <w:numFmt w:val="decimal"/>
      <w:start w:val="9"/>
    </w:lvl>
  </w:abstractNum>
  <w:abstractNum w:abstractNumId="149">
    <w:nsid w:val="230F856C"/>
    <w:multiLevelType w:val="hybridMultilevel"/>
    <w:lvl w:ilvl="0">
      <w:lvlJc w:val="left"/>
      <w:lvlText w:val="%1."/>
      <w:numFmt w:val="decimal"/>
      <w:start w:val="12"/>
    </w:lvl>
    <w:lvl w:ilvl="1">
      <w:lvlJc w:val="left"/>
      <w:lvlText w:val="%2"/>
      <w:numFmt w:val="decimal"/>
      <w:start w:val="1"/>
    </w:lvl>
  </w:abstractNum>
  <w:abstractNum w:abstractNumId="150">
    <w:nsid w:val="6EAA85FB"/>
    <w:multiLevelType w:val="hybridMultilevel"/>
    <w:lvl w:ilvl="0">
      <w:lvlJc w:val="left"/>
      <w:lvlText w:val="(%1)"/>
      <w:numFmt w:val="lowerLetter"/>
      <w:start w:val="1"/>
    </w:lvl>
  </w:abstractNum>
  <w:abstractNum w:abstractNumId="151">
    <w:nsid w:val="3F06ECB2"/>
    <w:multiLevelType w:val="hybridMultilevel"/>
    <w:lvl w:ilvl="0">
      <w:lvlJc w:val="left"/>
      <w:lvlText w:val="(%1)"/>
      <w:numFmt w:val="lowerLetter"/>
      <w:start w:val="5"/>
    </w:lvl>
  </w:abstractNum>
  <w:abstractNum w:abstractNumId="152">
    <w:nsid w:val="3B594807"/>
    <w:multiLevelType w:val="hybridMultilevel"/>
    <w:lvl w:ilvl="0">
      <w:lvlJc w:val="left"/>
      <w:lvlText w:val="●"/>
      <w:numFmt w:val="bullet"/>
      <w:start w:val="1"/>
    </w:lvl>
  </w:abstractNum>
  <w:abstractNum w:abstractNumId="153">
    <w:nsid w:val="6CAA2304"/>
    <w:multiLevelType w:val="hybridMultilevel"/>
    <w:lvl w:ilvl="0">
      <w:lvlJc w:val="left"/>
      <w:lvlText w:val="(%1)"/>
      <w:numFmt w:val="decimal"/>
      <w:start w:val="1"/>
    </w:lvl>
  </w:abstractNum>
  <w:abstractNum w:abstractNumId="154">
    <w:nsid w:val="3F7C2FF4"/>
    <w:multiLevelType w:val="hybridMultilevel"/>
    <w:lvl w:ilvl="0">
      <w:lvlJc w:val="left"/>
      <w:lvlText w:val="%1."/>
      <w:numFmt w:val="decimal"/>
      <w:start w:val="1"/>
    </w:lvl>
    <w:lvl w:ilvl="1">
      <w:lvlJc w:val="left"/>
      <w:lvlText w:val="%2."/>
      <w:numFmt w:val="lowerLetter"/>
      <w:start w:val="1"/>
    </w:lvl>
  </w:abstractNum>
  <w:abstractNum w:abstractNumId="155">
    <w:nsid w:val="25413BEC"/>
    <w:multiLevelType w:val="hybridMultilevel"/>
    <w:lvl w:ilvl="0">
      <w:lvlJc w:val="left"/>
      <w:lvlText w:val="%1."/>
      <w:numFmt w:val="decimal"/>
      <w:start w:val="1"/>
    </w:lvl>
    <w:lvl w:ilvl="1">
      <w:lvlJc w:val="left"/>
      <w:lvlText w:val="%2."/>
      <w:numFmt w:val="lowerLetter"/>
      <w:start w:val="1"/>
    </w:lvl>
  </w:abstractNum>
  <w:abstractNum w:abstractNumId="156">
    <w:nsid w:val="17180B0B"/>
    <w:multiLevelType w:val="hybridMultilevel"/>
    <w:lvl w:ilvl="0">
      <w:lvlJc w:val="left"/>
      <w:lvlText w:val="(%1)"/>
      <w:numFmt w:val="decimal"/>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8"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jpe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jpeg"/><Relationship Id="rId165" Type="http://schemas.openxmlformats.org/officeDocument/2006/relationships/image" Target="media/image135.png"/><Relationship Id="rId166" Type="http://schemas.openxmlformats.org/officeDocument/2006/relationships/image" Target="media/image136.jpe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jpeg"/><Relationship Id="rId174" Type="http://schemas.openxmlformats.org/officeDocument/2006/relationships/image" Target="media/image144.jpe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jpe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11" Type="http://schemas.openxmlformats.org/officeDocument/2006/relationships/hyperlink" Target="https://www.sec.gov/Archives/edgar/data/1846069/000184606924000163/kind-charter.htm" TargetMode="External"/><Relationship Id="rId112" Type="http://schemas.openxmlformats.org/officeDocument/2006/relationships/hyperlink" Target="https://www.sec.gov/Archives/edgar/data/1846069/000184606922000061/kind-amendedandrestatedb.htm" TargetMode="External"/><Relationship Id="rId113" Type="http://schemas.openxmlformats.org/officeDocument/2006/relationships/hyperlink" Target="https://www.sec.gov/Archives/edgar/data/0001846069/000162828021023197/exhibit41-super8xk.htm" TargetMode="External"/><Relationship Id="rId114" Type="http://schemas.openxmlformats.org/officeDocument/2006/relationships/hyperlink" Target="https://www.sec.gov/Archives/edgar/data/0001846069/000162828021023197/exhibit105-super8xk.htm" TargetMode="External"/><Relationship Id="rId115" Type="http://schemas.openxmlformats.org/officeDocument/2006/relationships/hyperlink" Target="https://www.sec.gov/Archives/edgar/data/0001846069/000162828021014051/exhibit1024-sx4.htm" TargetMode="External"/><Relationship Id="rId116" Type="http://schemas.openxmlformats.org/officeDocument/2006/relationships/hyperlink" Target="https://www.sec.gov/Archives/edgar/data/0001846069/000162828021014051/exhibit1026-sx4.htm" TargetMode="External"/><Relationship Id="rId117" Type="http://schemas.openxmlformats.org/officeDocument/2006/relationships/hyperlink" Target="https://www.sec.gov/Archives/edgar/data/0001846069/000162828021014051/exhibit1027-sx4.htm" TargetMode="External"/><Relationship Id="rId118" Type="http://schemas.openxmlformats.org/officeDocument/2006/relationships/hyperlink" Target="https://www.sec.gov/Archives/edgar/data/0001846069/000162828021014051/exhibit1025-sx4.htm" TargetMode="External"/><Relationship Id="rId119" Type="http://schemas.openxmlformats.org/officeDocument/2006/relationships/hyperlink" Target="https://www.sec.gov/Archives/edgar/data/0001846069/000162828021014051/exhibit1028-sx4.htm" TargetMode="External"/><Relationship Id="rId120" Type="http://schemas.openxmlformats.org/officeDocument/2006/relationships/hyperlink" Target="https://www.sec.gov/Archives/edgar/data/1846069/000162828021014051/exhibit1029-sx4.htm" TargetMode="External"/><Relationship Id="rId121" Type="http://schemas.openxmlformats.org/officeDocument/2006/relationships/hyperlink" Target="https://www.sec.gov/Archives/edgar/data/0001846069/000162828021023197/exhibit1018-super8xk.htm" TargetMode="External"/><Relationship Id="rId122" Type="http://schemas.openxmlformats.org/officeDocument/2006/relationships/hyperlink" Target="https://www.sec.gov/Archives/edgar/data/0001846069/000162828021023197/exhibit107-super8xk.htm" TargetMode="External"/><Relationship Id="rId123" Type="http://schemas.openxmlformats.org/officeDocument/2006/relationships/hyperlink" Target="https://www.sec.gov/Archives/edgar/data/1846069/000162828021014051/exhibit1015-sx4.htm" TargetMode="External"/><Relationship Id="rId124" Type="http://schemas.openxmlformats.org/officeDocument/2006/relationships/hyperlink" Target="https://www.sec.gov/Archives/edgar/data/0001846069/000162828021014051/exhibit1016-sx4.htm" TargetMode="External"/><Relationship Id="rId125" Type="http://schemas.openxmlformats.org/officeDocument/2006/relationships/hyperlink" Target="https://www.sec.gov/Archives/edgar/data/0001846069/000162828021023197/exhibit1010-super8xk.htm" TargetMode="External"/><Relationship Id="rId126" Type="http://schemas.openxmlformats.org/officeDocument/2006/relationships/hyperlink" Target="https://www.sec.gov/Archives/edgar/data/1846069/000184606924000047/ex1015executiveofferletter.htm" TargetMode="External"/><Relationship Id="rId127" Type="http://schemas.openxmlformats.org/officeDocument/2006/relationships/hyperlink" Target="https://www.sec.gov/Archives/edgar/data/1846069/000184606925000136/a101advisoragreementmattan.htm" TargetMode="External"/><Relationship Id="rId129" Type="http://schemas.openxmlformats.org/officeDocument/2006/relationships/hyperlink" Target="https://www.sec.gov/Archives/edgar/data/0001846069/000184606924000127/a102offerletterniravtolia-.htm" TargetMode="External"/><Relationship Id="rId130" Type="http://schemas.openxmlformats.org/officeDocument/2006/relationships/hyperlink" Target="https://www.sec.gov/Archives/edgar/data/0001846069/000162828021023197/exhibit106-super8xk.htm" TargetMode="External"/><Relationship Id="rId131" Type="http://schemas.openxmlformats.org/officeDocument/2006/relationships/hyperlink" Target="https://www.sec.gov/Archives/edgar/data/1846069/000162828021014051/exhibit1023-sx4.htm" TargetMode="External"/><Relationship Id="rId132" Type="http://schemas.openxmlformats.org/officeDocument/2006/relationships/hyperlink" Target="https://www.sec.gov/Archives/edgar/data/1846069/000184606925000017/ex191insidertradingpolicy.htm" TargetMode="External"/><Relationship Id="rId133" Type="http://schemas.openxmlformats.org/officeDocument/2006/relationships/hyperlink" Target="https://www.sec.gov/Archives/edgar/data/0001846069/000162828021023197/exhibit211-super8k.htm" TargetMode="External"/><Relationship Id="rId134" Type="http://schemas.openxmlformats.org/officeDocument/2006/relationships/hyperlink" Target="https://www.sec.gov/Archives/edgar/data/0001846069/000184606924000047/ex971compensationrecovery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2026-02-18T15:22:07Z</dcterms:created>
  <dcterms:modified xsi:type="dcterms:W3CDTF">2026-02-18T15:22:07Z</dcterms:modified>
</cp:coreProperties>
</file>