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10.png" ContentType="image/pn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1.png" ContentType="image/pn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40" w:before="0" w:after="0"/>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bidi w:val="0"/>
        <w:spacing w:lineRule="auto" w:line="240"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0" w:after="0"/>
        <w:jc w:val="center"/>
        <w:rPr>
          <w:rFonts w:ascii="Times New Roman;sans-serif" w:hAnsi="Times New Roman;sans-serif"/>
          <w:b/>
          <w:color w:val="000000"/>
          <w:sz w:val="34"/>
        </w:rPr>
      </w:pPr>
      <w:r>
        <w:rPr>
          <w:rFonts w:ascii="Times New Roman;sans-serif" w:hAnsi="Times New Roman;sans-serif"/>
          <w:b/>
          <w:color w:val="000000"/>
          <w:sz w:val="34"/>
        </w:rPr>
        <w:t>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0" w:after="0"/>
        <w:jc w:val="left"/>
        <w:rPr>
          <w:rFonts w:ascii="Times New Roman;sans-serif" w:hAnsi="Times New Roman;sans-serif"/>
          <w:b/>
          <w:color w:val="000000"/>
          <w:sz w:val="14"/>
        </w:rPr>
      </w:pPr>
      <w:r>
        <w:rPr>
          <w:rFonts w:ascii="Times New Roman;sans-serif" w:hAnsi="Times New Roman;sans-serif"/>
          <w:b/>
          <w:color w:val="000000"/>
          <w:sz w:val="14"/>
        </w:rPr>
        <w:t>(Mark One)</w:t>
      </w:r>
    </w:p>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ANNUAL REPORT PURSUANT TO SECTION 13 OR 15(d) OF THE SECURITIES EXCHANGE ACT OF 1934</w:t>
            </w:r>
          </w:p>
        </w:tc>
      </w:tr>
    </w:tbl>
    <w:p>
      <w:pPr>
        <w:pStyle w:val="TextBody"/>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For the fiscal year ended December 31, 2023</w:t>
      </w:r>
    </w:p>
    <w:p>
      <w:pPr>
        <w:pStyle w:val="TextBody"/>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80" w:after="180"/>
              <w:jc w:val="left"/>
              <w:rPr/>
            </w:pPr>
            <w:r>
              <w:rPr>
                <w:rFonts w:ascii="Times New Roman;sans-serif" w:hAnsi="Times New Roman;sans-serif"/>
                <w:b/>
                <w:color w:val="000000"/>
                <w:sz w:val="17"/>
              </w:rPr>
              <w:t>TRANSITION REPORT PURSUANT TO SECTION 13 OR 15(d) OF THE SECURITIES EXCHANGE ACT OF 1934 FOR THE TRANSITION PERIOD FROM</w:t>
            </w:r>
            <w:r>
              <w:rPr>
                <w:color w:val="000000"/>
              </w:rPr>
              <w:t xml:space="preserve">                      </w:t>
            </w:r>
            <w:r>
              <w:rPr>
                <w:rFonts w:ascii="Times New Roman;sans-serif" w:hAnsi="Times New Roman;sans-serif"/>
                <w:b/>
                <w:color w:val="000000"/>
                <w:sz w:val="17"/>
              </w:rPr>
              <w:t>TO</w:t>
            </w:r>
            <w:r>
              <w:rPr>
                <w:color w:val="000000"/>
              </w:rPr>
              <w:t>                    </w:t>
            </w:r>
          </w:p>
        </w:tc>
      </w:tr>
    </w:tbl>
    <w:p>
      <w:pPr>
        <w:pStyle w:val="TextBody"/>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Commission File Number 001-40246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0" w:after="0"/>
        <w:jc w:val="center"/>
        <w:rPr>
          <w:rFonts w:ascii="Times New Roman;sans-serif" w:hAnsi="Times New Roman;sans-serif"/>
          <w:b/>
          <w:color w:val="000000"/>
          <w:sz w:val="44"/>
        </w:rPr>
      </w:pPr>
      <w:r>
        <w:rPr>
          <w:rFonts w:ascii="Times New Roman;sans-serif" w:hAnsi="Times New Roman;sans-serif"/>
          <w:b/>
          <w:color w:val="000000"/>
          <w:sz w:val="44"/>
        </w:rPr>
        <w:t>Nextdoor Holdings, Inc.</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tbl>
      <w:tblPr>
        <w:tblW w:w="4198" w:type="dxa"/>
        <w:jc w:val="left"/>
        <w:tblInd w:w="0" w:type="dxa"/>
        <w:tblLayout w:type="fixed"/>
        <w:tblCellMar>
          <w:top w:w="28" w:type="dxa"/>
          <w:left w:w="28" w:type="dxa"/>
          <w:bottom w:w="28" w:type="dxa"/>
          <w:right w:w="28" w:type="dxa"/>
        </w:tblCellMar>
      </w:tblPr>
      <w:tblGrid>
        <w:gridCol w:w="923"/>
        <w:gridCol w:w="811"/>
        <w:gridCol w:w="819"/>
        <w:gridCol w:w="126"/>
        <w:gridCol w:w="126"/>
        <w:gridCol w:w="126"/>
        <w:gridCol w:w="370"/>
        <w:gridCol w:w="370"/>
        <w:gridCol w:w="527"/>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86-1776836</w:t>
            </w:r>
          </w:p>
        </w:tc>
      </w:tr>
      <w:tr>
        <w:trPr/>
        <w:tc>
          <w:tcPr>
            <w:tcW w:w="25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(State or Other Jurisdiction of</w:t>
            </w:r>
          </w:p>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Incorporation or Organization)</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(I.R.S. Employer</w:t>
              <w:br/>
              <w:t>Identification No.)</w:t>
            </w:r>
          </w:p>
        </w:tc>
      </w:tr>
      <w:tr>
        <w:trPr/>
        <w:tc>
          <w:tcPr>
            <w:tcW w:w="25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5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420 Taylor Street</w:t>
            </w:r>
          </w:p>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San Francisco, California</w:t>
            </w:r>
          </w:p>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(Address of Principal Executive Offices)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94102</w:t>
            </w:r>
          </w:p>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(Zip Code)</w:t>
            </w:r>
          </w:p>
        </w:tc>
      </w:tr>
      <w:tr>
        <w:trPr/>
        <w:tc>
          <w:tcPr>
            <w:tcW w:w="4198" w:type="dxa"/>
            <w:gridSpan w:val="9"/>
            <w:tcBorders/>
            <w:tcMar>
              <w:top w:w="0" w:type="dxa"/>
              <w:left w:w="0" w:type="dxa"/>
              <w:bottom w:w="0" w:type="dxa"/>
              <w:right w:w="0" w:type="dxa"/>
            </w:tcMar>
            <w:vAlign w:val="center"/>
          </w:tcPr>
          <w:p>
            <w:pPr>
              <w:pStyle w:val="TableContents"/>
              <w:bidi w:val="0"/>
              <w:spacing w:lineRule="auto" w:line="288" w:before="0" w:after="60"/>
              <w:jc w:val="center"/>
              <w:rPr>
                <w:rFonts w:ascii="Times New Roman;sans-serif" w:hAnsi="Times New Roman;sans-serif"/>
                <w:b/>
                <w:color w:val="000000"/>
                <w:sz w:val="14"/>
              </w:rPr>
            </w:pPr>
            <w:r>
              <w:rPr>
                <w:rFonts w:ascii="Times New Roman;sans-serif" w:hAnsi="Times New Roman;sans-serif"/>
                <w:b/>
                <w:color w:val="000000"/>
                <w:sz w:val="14"/>
              </w:rPr>
              <w:t>Registrant’s telephone number, including area code: (415) 344-0333</w:t>
            </w:r>
          </w:p>
          <w:p>
            <w:pPr>
              <w:pStyle w:val="TableContents"/>
              <w:bidi w:val="0"/>
              <w:spacing w:before="0" w:after="60"/>
              <w:jc w:val="center"/>
              <w:rPr/>
            </w:pPr>
            <w:r>
              <w:rPr/>
            </w:r>
          </w:p>
          <w:p>
            <w:pPr>
              <w:pStyle w:val="TableContents"/>
              <w:bidi w:val="0"/>
              <w:spacing w:lineRule="auto" w:line="288" w:before="0" w:after="60"/>
              <w:jc w:val="center"/>
              <w:rPr>
                <w:rFonts w:ascii="Times New Roman;sans-serif" w:hAnsi="Times New Roman;sans-serif"/>
                <w:b/>
                <w:color w:val="000000"/>
                <w:sz w:val="14"/>
              </w:rPr>
            </w:pPr>
            <w:r>
              <w:rPr>
                <w:rFonts w:ascii="Times New Roman;sans-serif" w:hAnsi="Times New Roman;sans-serif"/>
                <w:b/>
                <w:color w:val="000000"/>
                <w:sz w:val="14"/>
              </w:rPr>
              <w:t>Securities registered pursuant to Section 12(b) of the Act: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tbl>
      <w:tblPr>
        <w:tblW w:w="7018" w:type="dxa"/>
        <w:jc w:val="left"/>
        <w:tblInd w:w="0" w:type="dxa"/>
        <w:tblLayout w:type="fixed"/>
        <w:tblCellMar>
          <w:top w:w="28" w:type="dxa"/>
          <w:left w:w="28" w:type="dxa"/>
          <w:bottom w:w="28" w:type="dxa"/>
          <w:right w:w="28" w:type="dxa"/>
        </w:tblCellMar>
      </w:tblPr>
      <w:tblGrid>
        <w:gridCol w:w="1395"/>
        <w:gridCol w:w="1226"/>
        <w:gridCol w:w="1248"/>
        <w:gridCol w:w="304"/>
        <w:gridCol w:w="304"/>
        <w:gridCol w:w="306"/>
        <w:gridCol w:w="654"/>
        <w:gridCol w:w="654"/>
        <w:gridCol w:w="927"/>
      </w:tblGrid>
      <w:tr>
        <w:trPr/>
        <w:tc>
          <w:tcPr>
            <w:tcW w:w="139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Title of Each Class</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Trading Symbol</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Name of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 par value $0.0001 per share</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KIND</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Securities registered pursuant to Section 12(g) of the Act: None</w:t>
      </w:r>
    </w:p>
    <w:p>
      <w:pPr>
        <w:pStyle w:val="TextBody"/>
        <w:bidi w:val="0"/>
        <w:spacing w:lineRule="auto" w:line="240" w:before="100" w:after="283"/>
        <w:jc w:val="left"/>
        <w:rPr/>
      </w:pPr>
      <w:r>
        <w:rPr>
          <w:rFonts w:ascii="Times New Roman;sans-serif" w:hAnsi="Times New Roman;sans-serif"/>
          <w:b w:val="false"/>
          <w:color w:val="000000"/>
          <w:sz w:val="14"/>
        </w:rPr>
        <w:t>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4"/>
        </w:rPr>
        <w:t>No </w:t>
      </w:r>
      <w:r>
        <w:rPr>
          <w:color w:val="000000"/>
        </w:rPr>
        <w:t>☒</w:t>
      </w:r>
    </w:p>
    <w:p>
      <w:pPr>
        <w:pStyle w:val="TextBody"/>
        <w:bidi w:val="0"/>
        <w:spacing w:lineRule="auto" w:line="240" w:before="80" w:after="283"/>
        <w:jc w:val="left"/>
        <w:rPr/>
      </w:pPr>
      <w:r>
        <w:rPr>
          <w:rFonts w:ascii="Times New Roman;sans-serif" w:hAnsi="Times New Roman;sans-serif"/>
          <w:b w:val="false"/>
          <w:color w:val="000000"/>
          <w:sz w:val="14"/>
        </w:rPr>
        <w:t>Indicate by check mark if the Registrant is not required to file reports pursuant to Section 13 or 15(d) of the Act. Yes </w:t>
      </w:r>
      <w:r>
        <w:rPr>
          <w:color w:val="000000"/>
        </w:rPr>
        <w:t xml:space="preserve">☐ </w:t>
      </w:r>
      <w:r>
        <w:rPr>
          <w:rFonts w:ascii="Times New Roman;sans-serif" w:hAnsi="Times New Roman;sans-serif"/>
          <w:b w:val="false"/>
          <w:color w:val="000000"/>
          <w:sz w:val="14"/>
        </w:rPr>
        <w:t>No </w:t>
      </w:r>
      <w:r>
        <w:rPr>
          <w:color w:val="000000"/>
        </w:rPr>
        <w:t>☒</w:t>
      </w:r>
    </w:p>
    <w:p>
      <w:pPr>
        <w:pStyle w:val="TextBody"/>
        <w:bidi w:val="0"/>
        <w:spacing w:lineRule="auto" w:line="240" w:before="100" w:after="283"/>
        <w:jc w:val="left"/>
        <w:rPr/>
      </w:pPr>
      <w:r>
        <w:rPr>
          <w:rFonts w:ascii="Times New Roman;sans-serif" w:hAnsi="Times New Roman;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4"/>
        </w:rPr>
        <w:t>No </w:t>
      </w:r>
      <w:r>
        <w:rPr>
          <w:color w:val="000000"/>
        </w:rPr>
        <w:t>☐</w:t>
      </w:r>
    </w:p>
    <w:p>
      <w:pPr>
        <w:pStyle w:val="TextBody"/>
        <w:bidi w:val="0"/>
        <w:spacing w:lineRule="auto" w:line="240" w:before="100" w:after="283"/>
        <w:jc w:val="left"/>
        <w:rPr/>
      </w:pPr>
      <w:r>
        <w:rPr>
          <w:rFonts w:ascii="Times New Roman;sans-serif" w:hAnsi="Times New Roman;sans-serif"/>
          <w:b w:val="false"/>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4"/>
        </w:rPr>
        <w:t>No </w:t>
      </w:r>
      <w:r>
        <w:rPr>
          <w:color w:val="000000"/>
        </w:rPr>
        <w:t>☐</w:t>
      </w:r>
    </w:p>
    <w:p>
      <w:pPr>
        <w:pStyle w:val="TextBody"/>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pStyle w:val="TextBody"/>
        <w:bidi w:val="0"/>
        <w:spacing w:lineRule="auto" w:line="240" w:before="0" w:after="0"/>
        <w:jc w:val="left"/>
        <w:rPr>
          <w:color w:val="000000"/>
        </w:rPr>
      </w:pPr>
      <w:r>
        <w:rPr>
          <w:color w:val="000000"/>
        </w:rPr>
        <w:t> </w:t>
      </w:r>
    </w:p>
    <w:tbl>
      <w:tblPr>
        <w:tblW w:w="4086"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109"/>
        <w:gridCol w:w="109"/>
        <w:gridCol w:w="109"/>
        <w:gridCol w:w="564"/>
        <w:gridCol w:w="564"/>
        <w:gridCol w:w="568"/>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0" w:after="0"/>
        <w:jc w:val="left"/>
        <w:rPr/>
      </w:pPr>
      <w:r>
        <w:rPr>
          <w:rFonts w:ascii="Times New Roman;sans-serif" w:hAnsi="Times New Roman;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40" w:before="100" w:after="283"/>
        <w:jc w:val="left"/>
        <w:rPr/>
      </w:pPr>
      <w:r>
        <w:rPr>
          <w:rFonts w:ascii="Times New Roman;sans-serif" w:hAnsi="Times New Roman;sans-serif"/>
          <w:b w:val="false"/>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14"/>
        </w:rPr>
      </w:pPr>
      <w:r>
        <w:rPr>
          <w:rFonts w:ascii="Times New Roman;sans-serif" w:hAnsi="Times New Roman;sans-serif"/>
          <w:b w:val="false"/>
          <w:color w:val="000000"/>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80"/>
        <w:jc w:val="both"/>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lineRule="auto" w:line="288" w:before="0" w:after="180"/>
        <w:jc w:val="both"/>
        <w:rPr/>
      </w:pPr>
      <w:r>
        <w:rPr>
          <w:rFonts w:ascii="Times New Roman;sans-serif" w:hAnsi="Times New Roman;sans-serif"/>
          <w:b w:val="false"/>
          <w:color w:val="000000"/>
          <w:sz w:val="14"/>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4"/>
        </w:rPr>
        <w:t>No </w:t>
      </w:r>
      <w:r>
        <w:rPr>
          <w:color w:val="000000"/>
        </w:rPr>
        <w:t>☒</w:t>
      </w:r>
    </w:p>
    <w:p>
      <w:pPr>
        <w:pStyle w:val="TextBody"/>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The aggregate market value of the voting and non-voting stock held by non-affiliates of the registrant, as of June 30, 2023, the last business day of the registrant’s recently completed second fiscal quarter, was approximately $692.4 million based upon the closing price reported for such date on the New York Stock Exchange. </w:t>
      </w:r>
    </w:p>
    <w:p>
      <w:pPr>
        <w:pStyle w:val="TextBody"/>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As of February 23, 2024, there were 192,311,520 shares of the registrant’s Class A common stock outstanding and 201,319,374 shares of the registrant’s Class B common stock outstanding.</w:t>
      </w:r>
    </w:p>
    <w:p>
      <w:pPr>
        <w:pStyle w:val="TextBody"/>
        <w:bidi w:val="0"/>
        <w:spacing w:lineRule="auto" w:line="240" w:before="100" w:after="283"/>
        <w:jc w:val="center"/>
        <w:rPr>
          <w:rFonts w:ascii="Times New Roman;sans-serif" w:hAnsi="Times New Roman;sans-serif"/>
          <w:b/>
          <w:color w:val="000000"/>
          <w:sz w:val="14"/>
        </w:rPr>
      </w:pPr>
      <w:r>
        <w:rPr>
          <w:rFonts w:ascii="Times New Roman;sans-serif" w:hAnsi="Times New Roman;sans-serif"/>
          <w:b/>
          <w:color w:val="000000"/>
          <w:sz w:val="14"/>
        </w:rPr>
        <w:t>DOCUMENTS INCORPORATED BY REFERENCE</w:t>
      </w:r>
    </w:p>
    <w:p>
      <w:pPr>
        <w:pStyle w:val="TextBody"/>
        <w:bidi w:val="0"/>
        <w:spacing w:lineRule="auto" w:line="240" w:before="8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Information required in responses to Part III of Form 10-K is hereby incorporated by reference to portions of the Registrant’s Proxy Statement for the Annual Meeting of Stockholders to be held in 2024. The Proxy Statement will be filed by the Registrant with the Securities and Exchange Commission no later than 120 days after the end of the Registrant’s fiscal year ended December 31, 2023.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696"/>
        <w:gridCol w:w="611"/>
        <w:gridCol w:w="611"/>
        <w:gridCol w:w="2656"/>
        <w:gridCol w:w="2519"/>
        <w:gridCol w:w="2568"/>
        <w:gridCol w:w="158"/>
        <w:gridCol w:w="158"/>
        <w:gridCol w:w="228"/>
      </w:tblGrid>
      <w:tr>
        <w:trPr/>
        <w:tc>
          <w:tcPr>
            <w:tcW w:w="6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13">
              <w:r>
                <w:rPr>
                  <w:rStyle w:val="InternetLink"/>
                  <w:rFonts w:ascii="Times New Roman;sans-serif" w:hAnsi="Times New Roman;sans-serif"/>
                  <w:b w:val="false"/>
                  <w:color w:val="0000FF"/>
                  <w:sz w:val="20"/>
                  <w:u w:val="single"/>
                </w:rPr>
                <w:t>Special Note Regarding Forward-Looking Statements</w:t>
              </w:r>
            </w:hyperlink>
          </w:p>
        </w:tc>
        <w:tc>
          <w:tcPr>
            <w:tcW w:w="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def94aa1c3a24c4db62a0e85df24754d_13">
              <w:r>
                <w:rPr>
                  <w:rStyle w:val="InternetLink"/>
                  <w:rFonts w:ascii="Times New Roman;sans-serif" w:hAnsi="Times New Roman;sans-serif"/>
                  <w:b w:val="false"/>
                  <w:color w:val="0000FF"/>
                  <w:sz w:val="20"/>
                  <w:u w:val="single"/>
                </w:rPr>
                <w:t>2</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16">
              <w:r>
                <w:rPr>
                  <w:rStyle w:val="InternetLink"/>
                  <w:rFonts w:ascii="Times New Roman;sans-serif" w:hAnsi="Times New Roman;sans-serif"/>
                  <w:b w:val="false"/>
                  <w:color w:val="0000FF"/>
                  <w:sz w:val="20"/>
                  <w:u w:val="single"/>
                </w:rPr>
                <w:t>Risk Factor Summary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16">
              <w:r>
                <w:rPr>
                  <w:rStyle w:val="InternetLink"/>
                  <w:rFonts w:ascii="Times New Roman;sans-serif" w:hAnsi="Times New Roman;sans-serif"/>
                  <w:b w:val="false"/>
                  <w:color w:val="0000FF"/>
                  <w:sz w:val="20"/>
                  <w:u w:val="single"/>
                </w:rPr>
                <w:t>4</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19">
              <w:r>
                <w:rPr>
                  <w:rStyle w:val="InternetLink"/>
                  <w:rFonts w:ascii="Times New Roman;sans-serif" w:hAnsi="Times New Roman;sans-serif"/>
                  <w:b/>
                  <w:color w:val="0000FF"/>
                  <w:sz w:val="20"/>
                  <w:u w:val="single"/>
                </w:rPr>
                <w:t>PART I</w:t>
              </w:r>
            </w:hyperlink>
          </w:p>
        </w:tc>
        <w:tc>
          <w:tcPr>
            <w:tcW w:w="7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22">
              <w:r>
                <w:rPr>
                  <w:rStyle w:val="InternetLink"/>
                  <w:rFonts w:ascii="Times New Roman;sans-serif" w:hAnsi="Times New Roman;sans-serif"/>
                  <w:b w:val="false"/>
                  <w:color w:val="0000FF"/>
                  <w:sz w:val="20"/>
                  <w:u w:val="single"/>
                </w:rPr>
                <w:t>Business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22">
              <w:r>
                <w:rPr>
                  <w:rStyle w:val="InternetLink"/>
                  <w:rFonts w:ascii="Times New Roman;sans-serif" w:hAnsi="Times New Roman;sans-serif"/>
                  <w:b w:val="false"/>
                  <w:color w:val="0000FF"/>
                  <w:sz w:val="20"/>
                  <w:u w:val="single"/>
                </w:rPr>
                <w:t>6</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def94aa1c3a24c4db62a0e85df24754d_58">
              <w:r>
                <w:rPr>
                  <w:rStyle w:val="InternetLink"/>
                  <w:rFonts w:ascii="Times New Roman;sans-serif" w:hAnsi="Times New Roman;sans-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58">
              <w:r>
                <w:rPr>
                  <w:rStyle w:val="InternetLink"/>
                  <w:rFonts w:ascii="Times New Roman;sans-serif" w:hAnsi="Times New Roman;sans-serif"/>
                  <w:b w:val="false"/>
                  <w:color w:val="0000FF"/>
                  <w:sz w:val="20"/>
                  <w:u w:val="single"/>
                </w:rPr>
                <w:t>12</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def94aa1c3a24c4db62a0e85df24754d_61">
              <w:r>
                <w:rPr>
                  <w:rStyle w:val="InternetLink"/>
                  <w:rFonts w:ascii="Times New Roman;sans-serif" w:hAnsi="Times New Roman;sans-serif"/>
                  <w:b w:val="false"/>
                  <w:color w:val="0000FF"/>
                  <w:sz w:val="20"/>
                  <w:u w:val="single"/>
                </w:rPr>
                <w:t>Unresolved Staff Comments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61">
              <w:r>
                <w:rPr>
                  <w:rStyle w:val="InternetLink"/>
                  <w:rFonts w:ascii="Times New Roman;sans-serif" w:hAnsi="Times New Roman;sans-serif"/>
                  <w:b w:val="false"/>
                  <w:color w:val="0000FF"/>
                  <w:sz w:val="20"/>
                  <w:u w:val="single"/>
                </w:rPr>
                <w:t>41</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def94aa1c3a24c4db62a0e85df24754d_884">
              <w:r>
                <w:rPr>
                  <w:rStyle w:val="InternetLink"/>
                  <w:rFonts w:ascii="Times New Roman;sans-serif" w:hAnsi="Times New Roman;sans-serif"/>
                  <w:b w:val="false"/>
                  <w:color w:val="000080"/>
                  <w:sz w:val="20"/>
                  <w:u w:val="single"/>
                </w:rPr>
                <w:t>C</w:t>
              </w:r>
            </w:hyperlink>
            <w:hyperlink w:anchor="idef94aa1c3a24c4db62a0e85df24754d_884">
              <w:r>
                <w:rPr>
                  <w:rStyle w:val="InternetLink"/>
                  <w:rFonts w:ascii="Times New Roman;sans-serif" w:hAnsi="Times New Roman;sans-serif"/>
                  <w:b w:val="false"/>
                  <w:color w:val="000080"/>
                  <w:sz w:val="20"/>
                  <w:u w:val="single"/>
                </w:rPr>
                <w:t>ybersecurity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884">
              <w:r>
                <w:rPr>
                  <w:rStyle w:val="InternetLink"/>
                  <w:rFonts w:ascii="Times New Roman;sans-serif" w:hAnsi="Times New Roman;sans-serif"/>
                  <w:b w:val="false"/>
                  <w:color w:val="0000FF"/>
                  <w:sz w:val="20"/>
                  <w:u w:val="single"/>
                </w:rPr>
                <w:t>41</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def94aa1c3a24c4db62a0e85df24754d_64">
              <w:r>
                <w:rPr>
                  <w:rStyle w:val="InternetLink"/>
                  <w:rFonts w:ascii="Times New Roman;sans-serif" w:hAnsi="Times New Roman;sans-serif"/>
                  <w:b w:val="false"/>
                  <w:color w:val="0000FF"/>
                  <w:sz w:val="20"/>
                  <w:u w:val="single"/>
                </w:rPr>
                <w:t>Properties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64">
              <w:r>
                <w:rPr>
                  <w:rStyle w:val="InternetLink"/>
                  <w:rFonts w:ascii="Times New Roman;sans-serif" w:hAnsi="Times New Roman;sans-serif"/>
                  <w:b w:val="false"/>
                  <w:color w:val="0000FF"/>
                  <w:sz w:val="20"/>
                  <w:u w:val="single"/>
                </w:rPr>
                <w:t>42</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3. </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def94aa1c3a24c4db62a0e85df24754d_67">
              <w:r>
                <w:rPr>
                  <w:rStyle w:val="InternetLink"/>
                  <w:rFonts w:ascii="Times New Roman;sans-serif" w:hAnsi="Times New Roman;sans-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67">
              <w:r>
                <w:rPr>
                  <w:rStyle w:val="InternetLink"/>
                  <w:rFonts w:ascii="Times New Roman;sans-serif" w:hAnsi="Times New Roman;sans-serif"/>
                  <w:b w:val="false"/>
                  <w:color w:val="0000FF"/>
                  <w:sz w:val="20"/>
                  <w:u w:val="single"/>
                </w:rPr>
                <w:t>42</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def94aa1c3a24c4db62a0e85df24754d_70">
              <w:r>
                <w:rPr>
                  <w:rStyle w:val="InternetLink"/>
                  <w:rFonts w:ascii="Times New Roman;sans-serif" w:hAnsi="Times New Roman;sans-serif"/>
                  <w:b w:val="false"/>
                  <w:color w:val="0000FF"/>
                  <w:sz w:val="20"/>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70">
              <w:r>
                <w:rPr>
                  <w:rStyle w:val="InternetLink"/>
                  <w:rFonts w:ascii="Times New Roman;sans-serif" w:hAnsi="Times New Roman;sans-serif"/>
                  <w:b w:val="false"/>
                  <w:color w:val="0000FF"/>
                  <w:sz w:val="20"/>
                  <w:u w:val="single"/>
                </w:rPr>
                <w:t>42</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73">
              <w:r>
                <w:rPr>
                  <w:rStyle w:val="InternetLink"/>
                  <w:rFonts w:ascii="Times New Roman;sans-serif" w:hAnsi="Times New Roman;sans-serif"/>
                  <w:b/>
                  <w:color w:val="0000FF"/>
                  <w:sz w:val="20"/>
                  <w:u w:val="single"/>
                </w:rPr>
                <w:t>PART II</w:t>
              </w:r>
            </w:hyperlink>
          </w:p>
        </w:tc>
        <w:tc>
          <w:tcPr>
            <w:tcW w:w="7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76">
              <w:r>
                <w:rPr>
                  <w:rStyle w:val="InternetLink"/>
                  <w:rFonts w:ascii="Times New Roman;sans-serif" w:hAnsi="Times New Roman;sans-serif"/>
                  <w:b w:val="false"/>
                  <w:color w:val="0000FF"/>
                  <w:sz w:val="20"/>
                  <w:u w:val="single"/>
                </w:rPr>
                <w:t>Item 5. Market for Registrant’s Common Equity, Related Stockholder Matters and Issuer Purchases of Equity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76">
              <w:r>
                <w:rPr>
                  <w:rStyle w:val="InternetLink"/>
                  <w:rFonts w:ascii="Times New Roman;sans-serif" w:hAnsi="Times New Roman;sans-serif"/>
                  <w:b w:val="false"/>
                  <w:color w:val="0000FF"/>
                  <w:sz w:val="20"/>
                  <w:u w:val="single"/>
                </w:rPr>
                <w:t>43</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79">
              <w:r>
                <w:rPr>
                  <w:rStyle w:val="InternetLink"/>
                  <w:rFonts w:ascii="Times New Roman;sans-serif" w:hAnsi="Times New Roman;sans-serif"/>
                  <w:b w:val="false"/>
                  <w:color w:val="0000FF"/>
                  <w:sz w:val="20"/>
                  <w:u w:val="single"/>
                </w:rPr>
                <w:t>Item 6. [Reserved]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79">
              <w:r>
                <w:rPr>
                  <w:rStyle w:val="InternetLink"/>
                  <w:rFonts w:ascii="Times New Roman;sans-serif" w:hAnsi="Times New Roman;sans-serif"/>
                  <w:b w:val="false"/>
                  <w:color w:val="0000FF"/>
                  <w:sz w:val="20"/>
                  <w:u w:val="single"/>
                </w:rPr>
                <w:t>44</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82">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82">
              <w:r>
                <w:rPr>
                  <w:rStyle w:val="InternetLink"/>
                  <w:rFonts w:ascii="Times New Roman;sans-serif" w:hAnsi="Times New Roman;sans-serif"/>
                  <w:b w:val="false"/>
                  <w:color w:val="0000FF"/>
                  <w:sz w:val="20"/>
                  <w:u w:val="single"/>
                </w:rPr>
                <w:t>45</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115">
              <w:r>
                <w:rPr>
                  <w:rStyle w:val="InternetLink"/>
                  <w:rFonts w:ascii="Times New Roman;sans-serif" w:hAnsi="Times New Roman;sans-serif"/>
                  <w:b w:val="false"/>
                  <w:color w:val="0000FF"/>
                  <w:sz w:val="20"/>
                  <w:u w:val="single"/>
                </w:rPr>
                <w:t>Item 7A. 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115">
              <w:r>
                <w:rPr>
                  <w:rStyle w:val="InternetLink"/>
                  <w:rFonts w:ascii="Times New Roman;sans-serif" w:hAnsi="Times New Roman;sans-serif"/>
                  <w:b w:val="false"/>
                  <w:color w:val="0000FF"/>
                  <w:sz w:val="20"/>
                  <w:u w:val="single"/>
                </w:rPr>
                <w:t>57</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118">
              <w:r>
                <w:rPr>
                  <w:rStyle w:val="InternetLink"/>
                  <w:rFonts w:ascii="Times New Roman;sans-serif" w:hAnsi="Times New Roman;sans-serif"/>
                  <w:b w:val="false"/>
                  <w:color w:val="0000FF"/>
                  <w:sz w:val="20"/>
                  <w:u w:val="single"/>
                </w:rPr>
                <w:t>Item 8. Financial Statements and Supplementary Data</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118">
              <w:r>
                <w:rPr>
                  <w:rStyle w:val="InternetLink"/>
                  <w:rFonts w:ascii="Times New Roman;sans-serif" w:hAnsi="Times New Roman;sans-serif"/>
                  <w:b w:val="false"/>
                  <w:color w:val="0000FF"/>
                  <w:sz w:val="20"/>
                  <w:u w:val="single"/>
                </w:rPr>
                <w:t>59</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190">
              <w:r>
                <w:rPr>
                  <w:rStyle w:val="InternetLink"/>
                  <w:rFonts w:ascii="Times New Roman;sans-serif" w:hAnsi="Times New Roman;sans-serif"/>
                  <w:b w:val="false"/>
                  <w:color w:val="0000FF"/>
                  <w:sz w:val="20"/>
                  <w:u w:val="single"/>
                </w:rPr>
                <w:t>Item 9. Changes in and Disagreements With Accountants on Accounting and Financial Disclosure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190">
              <w:r>
                <w:rPr>
                  <w:rStyle w:val="InternetLink"/>
                  <w:rFonts w:ascii="Times New Roman;sans-serif" w:hAnsi="Times New Roman;sans-serif"/>
                  <w:b w:val="false"/>
                  <w:color w:val="0000FF"/>
                  <w:sz w:val="20"/>
                  <w:u w:val="single"/>
                </w:rPr>
                <w:t>91</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193">
              <w:r>
                <w:rPr>
                  <w:rStyle w:val="InternetLink"/>
                  <w:rFonts w:ascii="Times New Roman;sans-serif" w:hAnsi="Times New Roman;sans-serif"/>
                  <w:b w:val="false"/>
                  <w:color w:val="0000FF"/>
                  <w:sz w:val="20"/>
                  <w:u w:val="single"/>
                </w:rPr>
                <w:t>Item 9A. 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193">
              <w:r>
                <w:rPr>
                  <w:rStyle w:val="InternetLink"/>
                  <w:rFonts w:ascii="Times New Roman;sans-serif" w:hAnsi="Times New Roman;sans-serif"/>
                  <w:b w:val="false"/>
                  <w:color w:val="0000FF"/>
                  <w:sz w:val="20"/>
                  <w:u w:val="single"/>
                </w:rPr>
                <w:t>91</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196">
              <w:r>
                <w:rPr>
                  <w:rStyle w:val="InternetLink"/>
                  <w:rFonts w:ascii="Times New Roman;sans-serif" w:hAnsi="Times New Roman;sans-serif"/>
                  <w:b w:val="false"/>
                  <w:color w:val="0000FF"/>
                  <w:sz w:val="20"/>
                  <w:u w:val="single"/>
                </w:rPr>
                <w:t>Item 9B. 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196">
              <w:r>
                <w:rPr>
                  <w:rStyle w:val="InternetLink"/>
                  <w:rFonts w:ascii="Times New Roman;sans-serif" w:hAnsi="Times New Roman;sans-serif"/>
                  <w:b w:val="false"/>
                  <w:color w:val="0000FF"/>
                  <w:sz w:val="20"/>
                  <w:u w:val="single"/>
                </w:rPr>
                <w:t>91</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199">
              <w:r>
                <w:rPr>
                  <w:rStyle w:val="InternetLink"/>
                  <w:rFonts w:ascii="Times New Roman;sans-serif" w:hAnsi="Times New Roman;sans-serif"/>
                  <w:b w:val="false"/>
                  <w:color w:val="0000FF"/>
                  <w:sz w:val="20"/>
                  <w:u w:val="single"/>
                </w:rPr>
                <w:t>Item 9C. Disclosure Regarding Foreign Jurisdictions that Prevent Inspections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199">
              <w:r>
                <w:rPr>
                  <w:rStyle w:val="InternetLink"/>
                  <w:rFonts w:ascii="Times New Roman;sans-serif" w:hAnsi="Times New Roman;sans-serif"/>
                  <w:b w:val="false"/>
                  <w:color w:val="0000FF"/>
                  <w:sz w:val="20"/>
                  <w:u w:val="single"/>
                </w:rPr>
                <w:t>92</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202">
              <w:r>
                <w:rPr>
                  <w:rStyle w:val="InternetLink"/>
                  <w:rFonts w:ascii="Times New Roman;sans-serif" w:hAnsi="Times New Roman;sans-serif"/>
                  <w:b/>
                  <w:color w:val="0000FF"/>
                  <w:sz w:val="20"/>
                  <w:u w:val="single"/>
                </w:rPr>
                <w:t>PART III</w:t>
              </w:r>
            </w:hyperlink>
          </w:p>
        </w:tc>
        <w:tc>
          <w:tcPr>
            <w:tcW w:w="7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205">
              <w:r>
                <w:rPr>
                  <w:rStyle w:val="InternetLink"/>
                  <w:rFonts w:ascii="Times New Roman;sans-serif" w:hAnsi="Times New Roman;sans-serif"/>
                  <w:b w:val="false"/>
                  <w:color w:val="0000FF"/>
                  <w:sz w:val="20"/>
                  <w:u w:val="single"/>
                </w:rPr>
                <w:t>Item 10. Directors, Executive Officers and Corporate Governance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205">
              <w:r>
                <w:rPr>
                  <w:rStyle w:val="InternetLink"/>
                  <w:rFonts w:ascii="Times New Roman;sans-serif" w:hAnsi="Times New Roman;sans-serif"/>
                  <w:b w:val="false"/>
                  <w:color w:val="0000FF"/>
                  <w:sz w:val="20"/>
                  <w:u w:val="single"/>
                </w:rPr>
                <w:t>92</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208">
              <w:r>
                <w:rPr>
                  <w:rStyle w:val="InternetLink"/>
                  <w:rFonts w:ascii="Times New Roman;sans-serif" w:hAnsi="Times New Roman;sans-serif"/>
                  <w:b w:val="false"/>
                  <w:color w:val="0000FF"/>
                  <w:sz w:val="20"/>
                  <w:u w:val="single"/>
                </w:rPr>
                <w:t>Item 11. Executive Compensation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208">
              <w:r>
                <w:rPr>
                  <w:rStyle w:val="InternetLink"/>
                  <w:rFonts w:ascii="Times New Roman;sans-serif" w:hAnsi="Times New Roman;sans-serif"/>
                  <w:b w:val="false"/>
                  <w:color w:val="0000FF"/>
                  <w:sz w:val="20"/>
                  <w:u w:val="single"/>
                </w:rPr>
                <w:t>92</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211">
              <w:r>
                <w:rPr>
                  <w:rStyle w:val="InternetLink"/>
                  <w:rFonts w:ascii="Times New Roman;sans-serif" w:hAnsi="Times New Roman;sans-serif"/>
                  <w:b w:val="false"/>
                  <w:color w:val="0000FF"/>
                  <w:sz w:val="20"/>
                  <w:u w:val="single"/>
                </w:rPr>
                <w:t>Item 12. Security Ownership of Certain Beneficial Owners and Management and Related Stockholder Matters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211">
              <w:r>
                <w:rPr>
                  <w:rStyle w:val="InternetLink"/>
                  <w:rFonts w:ascii="Times New Roman;sans-serif" w:hAnsi="Times New Roman;sans-serif"/>
                  <w:b w:val="false"/>
                  <w:color w:val="0000FF"/>
                  <w:sz w:val="20"/>
                  <w:u w:val="single"/>
                </w:rPr>
                <w:t>92</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214">
              <w:r>
                <w:rPr>
                  <w:rStyle w:val="InternetLink"/>
                  <w:rFonts w:ascii="Times New Roman;sans-serif" w:hAnsi="Times New Roman;sans-serif"/>
                  <w:b w:val="false"/>
                  <w:color w:val="0000FF"/>
                  <w:sz w:val="20"/>
                  <w:u w:val="single"/>
                </w:rPr>
                <w:t>Item 13. Certain Relationships and Related Transactions, and Director Independence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214">
              <w:r>
                <w:rPr>
                  <w:rStyle w:val="InternetLink"/>
                  <w:rFonts w:ascii="Times New Roman;sans-serif" w:hAnsi="Times New Roman;sans-serif"/>
                  <w:b w:val="false"/>
                  <w:color w:val="0000FF"/>
                  <w:sz w:val="20"/>
                  <w:u w:val="single"/>
                </w:rPr>
                <w:t>92</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217">
              <w:r>
                <w:rPr>
                  <w:rStyle w:val="InternetLink"/>
                  <w:rFonts w:ascii="Times New Roman;sans-serif" w:hAnsi="Times New Roman;sans-serif"/>
                  <w:b w:val="false"/>
                  <w:color w:val="0000FF"/>
                  <w:sz w:val="20"/>
                  <w:u w:val="single"/>
                </w:rPr>
                <w:t>Item 14. Principal Accountant Fees and Services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217">
              <w:r>
                <w:rPr>
                  <w:rStyle w:val="InternetLink"/>
                  <w:rFonts w:ascii="Times New Roman;sans-serif" w:hAnsi="Times New Roman;sans-serif"/>
                  <w:b w:val="false"/>
                  <w:color w:val="0000FF"/>
                  <w:sz w:val="20"/>
                  <w:u w:val="single"/>
                </w:rPr>
                <w:t>92</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220">
              <w:r>
                <w:rPr>
                  <w:rStyle w:val="InternetLink"/>
                  <w:rFonts w:ascii="Times New Roman;sans-serif" w:hAnsi="Times New Roman;sans-serif"/>
                  <w:b/>
                  <w:color w:val="0000FF"/>
                  <w:sz w:val="20"/>
                  <w:u w:val="single"/>
                </w:rPr>
                <w:t>PART IV</w:t>
              </w:r>
            </w:hyperlink>
          </w:p>
        </w:tc>
        <w:tc>
          <w:tcPr>
            <w:tcW w:w="7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223">
              <w:r>
                <w:rPr>
                  <w:rStyle w:val="InternetLink"/>
                  <w:rFonts w:ascii="Times New Roman;sans-serif" w:hAnsi="Times New Roman;sans-serif"/>
                  <w:b w:val="false"/>
                  <w:color w:val="0000FF"/>
                  <w:sz w:val="20"/>
                  <w:u w:val="single"/>
                </w:rPr>
                <w:t>Item 15. Exhibits, Financial Statement Schedules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223">
              <w:r>
                <w:rPr>
                  <w:rStyle w:val="InternetLink"/>
                  <w:rFonts w:ascii="Times New Roman;sans-serif" w:hAnsi="Times New Roman;sans-serif"/>
                  <w:b w:val="false"/>
                  <w:color w:val="0000FF"/>
                  <w:sz w:val="20"/>
                  <w:u w:val="single"/>
                </w:rPr>
                <w:t>93</w:t>
              </w:r>
            </w:hyperlink>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774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FF"/>
                <w:sz w:val="20"/>
                <w:u w:val="single"/>
              </w:rPr>
              <w:t xml:space="preserve">Item 16. </w:t>
            </w:r>
            <w:hyperlink w:anchor="idef94aa1c3a24c4db62a0e85df24754d_226">
              <w:r>
                <w:rPr>
                  <w:rStyle w:val="InternetLink"/>
                  <w:rFonts w:ascii="Times New Roman;sans-serif" w:hAnsi="Times New Roman;sans-serif"/>
                  <w:b w:val="false"/>
                  <w:color w:val="000080"/>
                  <w:sz w:val="20"/>
                  <w:u w:val="single"/>
                </w:rPr>
                <w:t>Form 10-K Summary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226">
              <w:r>
                <w:rPr>
                  <w:rStyle w:val="InternetLink"/>
                  <w:rFonts w:ascii="Times New Roman;sans-serif" w:hAnsi="Times New Roman;sans-serif"/>
                  <w:b w:val="false"/>
                  <w:color w:val="0000FF"/>
                  <w:sz w:val="20"/>
                  <w:u w:val="single"/>
                </w:rPr>
                <w:t>94</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229">
              <w:r>
                <w:rPr>
                  <w:rStyle w:val="InternetLink"/>
                  <w:rFonts w:ascii="Times New Roman;sans-serif" w:hAnsi="Times New Roman;sans-serif"/>
                  <w:b w:val="false"/>
                  <w:color w:val="0000FF"/>
                  <w:sz w:val="20"/>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229">
              <w:r>
                <w:rPr>
                  <w:rStyle w:val="InternetLink"/>
                  <w:rFonts w:ascii="Times New Roman;sans-serif" w:hAnsi="Times New Roman;sans-serif"/>
                  <w:b w:val="false"/>
                  <w:color w:val="0000FF"/>
                  <w:sz w:val="20"/>
                  <w:u w:val="single"/>
                </w:rPr>
                <w:t>95</w:t>
              </w:r>
            </w:hyperlink>
          </w:p>
        </w:tc>
      </w:tr>
    </w:tbl>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See “</w:t>
      </w:r>
      <w:r>
        <w:rPr>
          <w:rFonts w:ascii="Times New Roman;sans-serif" w:hAnsi="Times New Roman;sans-serif"/>
          <w:b w:val="false"/>
          <w:i/>
          <w:color w:val="000000"/>
          <w:sz w:val="20"/>
        </w:rPr>
        <w:t>Management’s Discussion and Analysis of Financial Condition and Results of Operations</w:t>
      </w:r>
      <w:r>
        <w:rPr>
          <w:color w:val="000000"/>
        </w:rPr>
        <w:t>” — “</w:t>
      </w:r>
      <w:r>
        <w:rPr>
          <w:rFonts w:ascii="Times New Roman;sans-serif" w:hAnsi="Times New Roman;sans-serif"/>
          <w:b w:val="false"/>
          <w:i/>
          <w:color w:val="000000"/>
          <w:sz w:val="20"/>
        </w:rPr>
        <w:t>Key Business Metrics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Non-GAAP Financial Measure</w:t>
      </w:r>
      <w:r>
        <w:rPr>
          <w:color w:val="000000"/>
        </w:rPr>
        <w:t xml:space="preserve">” </w:t>
      </w:r>
      <w:r>
        <w:rPr>
          <w:rFonts w:ascii="Times New Roman;sans-serif" w:hAnsi="Times New Roman;sans-serif"/>
          <w:b w:val="false"/>
          <w:color w:val="000000"/>
          <w:sz w:val="20"/>
        </w:rPr>
        <w:t>for the definitions of the following terms used in this Annual Report: “WAU,” “ARPU,” and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0"/>
        <w:jc w:val="both"/>
        <w:rPr/>
      </w:pPr>
      <w:r>
        <w:rPr>
          <w:rFonts w:ascii="Times New Roman;sans-serif" w:hAnsi="Times New Roman;sans-serif"/>
          <w:b w:val="false"/>
          <w:color w:val="000000"/>
          <w:sz w:val="20"/>
        </w:rPr>
        <w:t>This Annual Report on Form 10-K (“Annual Report”) contains forward-looking statements within the meaning of the federal securities laws. All statements contained in this Annual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 “projects,” “plans,” “targets,” and variations of such words and similar expressions are intended to identify forward-looking statements.</w:t>
      </w:r>
      <w:r>
        <w:rPr>
          <w:color w:val="000000"/>
        </w:rPr>
        <w:t xml:space="preserve"> </w:t>
      </w:r>
      <w:r>
        <w:rPr>
          <w:rFonts w:ascii="Times New Roman;sans-serif" w:hAnsi="Times New Roman;sans-serif"/>
          <w:b w:val="false"/>
          <w:color w:val="000000"/>
          <w:sz w:val="20"/>
        </w:rPr>
        <w:t>Forward-looking statements in this Annual Report may include, for example, statements about:</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anticipated growth, including our ability to scale new neighbor growth, our ability to grow engagement by our existing neighbor base and our ability to increase monetization of our platform;</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ability to scale our business and monetization efforts;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political, economic, and macroeconomic climate, whether in the advertising industry in general, or among specific types of advertisers or within particular geographies, including but not limited to the impacts related to actual or perceived instability in the global banking system, labor shortages, supply chain disruptions, a potential recession, uncertainty with respect to the federal budget and debt ceiling and a potential temporary federal government shutdown related thereto, inflation, and changing interest rates;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expand our business operations abroad by opening new and expanding within existing neighborhoods outside of the United States;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respond to general economic conditions;</w: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invest in, and the ultimate success of, technologies aimed at enhancing our business solutions and delivering additional value to customers on our platform;</w:t>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ability to scale our business effectively;</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ability to achieve and maintain profitability in the future;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ability to access sources of capital to finance operations and growth;</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the success of strategic relationships with third parties;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ability to maintain the listing of our Class A common stock on the New York Stock Exchange;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changes in applicable laws or regulations, both within and outside of the United States;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the impact of the regulatory environment and complexities with compliance related to such environment;</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the inability to develop and maintain effective internal controls;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on our business as a result of interruptions, delays, or failures resulting from earthquakes, fires, floods, adverse weather conditions, other natural disasters, power loss, terrorism, pandemics, geopolitical conflict (including the war in Ukraine and the Israel-Hamas war), other physical security threats, cyber-attacks, or other catastrophic events;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ability to raise financing in the future;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success in retaining or recruiting, or changes required in, our officers, key employees or directors;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financial performance; and</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other factors detailed in Part I, Item 1A, “Risk Factors” in this Annual Report.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this Annual Report. Readers are urged to carefully review and consider the various disclosures made in this Annual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Annual Report may not occur and actual results could differ materially and adversely from those anticipated or implied in the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Annual Report are made as of the date of this filing, and we do not undertake, and expressly disclaim any duty, to update such statements for any reason after the date of this Annual Report or to conform statements to actual results or revised expectations, except as required by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Annual Report and the documents that we reference herein and have filed with the SEC as exhibits to this Annual Report with the understanding that our actual future results, performance, and events and circumstances may be materially different from what we expect.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used in this Annual Report, the terms “Nextdoor,” “we,” “us,” and “our” mean Nextdoor Holdings, Inc. and its subsidiaries unless the context indicates otherwise.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including those described in Part I, Item 1A, “Risk Factors” in this Annual Report. You should carefully consider these risks and uncertainties when investing in our Class A common stock. Some of the principal risks and uncertainties include the following:</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Adverse global economic and financial conditions could harm our business and financial condition.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currently generate substantially all of our revenue from advertising. If advertisers reduce or eliminate their spending with us, our business, operating results, and financial condition would be adversely impacted.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is highly competitive. Competition presents an ongoing threat to the success of our business.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If we fail to scale our business effectively, our business, operating results, and financial condition would be adversely affected.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If our efforts to build strong brand identity and reputation are not successful, we may not be able to attract or retain neighbors, and our business, operating results, and financial condition will be adversely affected.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plan to continue expanding our international operations where we have limited operating experience and may be subject to increased business, regulatory, and economic risks that could seriously harm our business, operating results, and financial condition.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If we need additional capital in the future, it may not be available on favorable terms, if at all.</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are dependent on third-party software and service providers, including the Google Ad Manager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rely on third-party software and service providers, including Amazon Web Services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Technologies have been developed that can block the display of advertisements on the Nextdoor platform, which could adversely impact our business, operating results, and financial condition.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Security breaches, including improper access to or disclosure of our data or our neighbors’ data, or other hacking and phishing attacks on our or third-party systems, could harm our reputation and adversely affect our business.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Certain of our market opportunities and key metric estimates could prove to be inaccurate, and any real or perceived inaccuracies may harm our reputation and negatively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4</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may have greater than anticipated tax liabilities, which could harm our business, revenue and financial results.</w: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cannot guarantee that our Share Repurchase Program will be fully consummated or that it will enhance long-term stockholder value. Share repurchases could also increase the volatility of the trading price of our stock and diminish our cash reserves.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be liable as a result of content or information that is published or made available on our platform.</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is subject to complex and evolving U.S. and foreign laws, regulations, and industry standards, many of which are subject to change and uncertain interpretations, which uncertainty could harm our business, operating results, and financial conditions.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could be involved in legal disputes that are expensive and time consuming, and, if resolved adversely, could harm our business, operating results, and financial condition.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Failure to maintain effective systems of internal controls and disclosure controls could have a material adverse effect on our business, operating results, and financial condition.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If we are unable to protect our intellectual property, the value of our brands and other intangible assets may be diminished, and our business, operating results, and financial condition may be adversely affected.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Third parties may claim that our platform infringes their intellectual property rights and this may create liability for us or otherwise adversely affect our business, operating results, and financial condition.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use of “open source” software could subject us to possible litigation or could prevent us from offering products that include open source software or require us to obtain licenses on unfavorable terms.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license technology from third parties, and our inability to maintain those licenses could harm our business.</w: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price of our Class A common stock has been and may continue to be volatile.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dual class structure of our common stock may adversely affect the trading market for our Class A common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dual class structure of our common stock has the effect of concentrating voting power with our management and other existing stockholders, which will limit your ability to influence the outcome of important transactions, including a change in control.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do not intend to pay cash dividends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1.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76" w:before="0" w:after="180"/>
        <w:jc w:val="both"/>
        <w:rPr/>
      </w:pPr>
      <w:r>
        <w:rPr>
          <w:rFonts w:ascii="Times New Roman;sans-serif" w:hAnsi="Times New Roman;sans-serif"/>
          <w:b w:val="false"/>
          <w:color w:val="000000"/>
          <w:sz w:val="20"/>
        </w:rPr>
        <w:t>At Nextdoor, our purpose is to cultivate a kinder world where everyone has a neighborhood they can rely on. Neighbors around the world turn to Nextdoor to receive trusted information, give and get help, get things done, and build real world connections with those nearby — neighbors, businesses, and public services. By fostering these connections, both online and in the real world, Nextdoor builds stronger, more vibrant, and more resilient neighborhoods. As of December 31, 2023, Nextdoor was in more than 325,000 neighborhoods around the world and in 1 in 3 households in the United States. As of the end of the fourth quarter of 2023, Nextdoor had 88 million global Verified Neighbors.</w:t>
      </w:r>
      <w:r>
        <w:rPr>
          <w:rFonts w:ascii="Times New Roman;sans-serif" w:hAnsi="Times New Roman;sans-serif"/>
          <w:b w:val="false"/>
          <w:color w:val="000000"/>
          <w:sz w:val="13"/>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bookmarkStart w:id="0" w:name="ie746e74220784f268b71096c0f7f926e_13885"/>
      <w:bookmarkEnd w:id="0"/>
      <w:r>
        <w:rPr>
          <w:rFonts w:ascii="Times New Roman;sans-serif" w:hAnsi="Times New Roman;sans-serif"/>
          <w:b/>
          <w:color w:val="000000"/>
          <w:sz w:val="20"/>
        </w:rPr>
        <w:t>Our Platform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Nextdoor platform enables neighbors and organizations to build an engaged community of trusted neighbors, businesses and public services that can be depended on to exchange valuable information, goods, and services.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Neighbors use Nextdoor to engage with and stay up to date on the communities that matter to them. They can find posts, photos, and discussions in the Feed, discover nearby neighbors, Groups, businesses, events, and items through a nativized maps surface in the Discover tab, and search for specific content and organizations through our Search feature.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Nextdoor is a high-utility platform that connects neighbors with organizations and other local resources. Neighbors can discover and interact with local businesses, leave recommendations, and follow their Faves on the platform. Neighbors can utilize a truly local marketplace, For Sale &amp; Free, to buy, sell, or give away items, and offer services such as dog walking.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Nextdoor is where neighbors can receive critical, real-time information from trusted officials. Public agencies, including government entities and service providers, turn to Nextdoor to directly, quickly, and easily reach neighbors in their community with relevant local information and alerts.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unique local data set includes event information, safety reports, recommendations, reviews, and discussions, as well as demographic data, interests, and behaviors of local residents. This detailed data contribute to the formation of the unique local knowledge graph that Nextdoor owns. Businesses on Nextdoor can use our real-time local data to devise advertising strategies and ensure their messages reach the most relevant and receptive audience in their immediate locality. Other artificial intelligence (“AI”) and machine learning (“ML”) applications allow us to improve notifications, drive positive interactions, optimize ad delivery, drive growth of comments and replies, and analyze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Advertising Solutions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Nextdoor offers advertising solutions designed to generate tangible value for businesses seeking to expand their reach and drive sales with unique local context that allows advertisers of all sizes to reach the right neighbor, at the right time, with the right message.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enables advertisers to achieve measurable outcomes that help advertisers build brand awareness, drive consideration and engagement, and generate sales. Ads can be leveraged on multiple surfaces on and off the platform, including Feed, Search, For Sale &amp; Free, Right Hand Rail, and email.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continually improving and building upon our library of ad formats, including sponsored posts and lead generation, which feature combinations of text (static or dynamic), images (including static and animated), and URL links, and the ways in which advertisers can purchase and deliver ads across our platform.</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Ad Auction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Ads on the Nextdoor platform primarily compete via an auction-based system. Our auction system selects the best ad for each available ad impression based on the likelihood of a desired action occurring and how much that action is worth to advertisers. The likelihood of the action occurring depends on a variety of factors, such as ad relevance and creative quality. </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Measurement &amp; Targeting</w:t>
      </w:r>
    </w:p>
    <w:p>
      <w:pPr>
        <w:pStyle w:val="TextBody"/>
        <w:bidi w:val="0"/>
        <w:spacing w:lineRule="auto" w:line="288" w:before="0" w:after="18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Verified Neighbors are individuals who have joined Nextdoor and completed the verification process for their account.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6</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Delivering and demonstrating value for our advertisers is a key focus for Nextdoor. We offer a variety of measurement solutions, including a Conversion API, that are mapped to advertisers’ goals and objectives and validate Nextdoor’s performance. Nextdoor offers both brand safety controls as well as brand safety measurement via independent third-party partners.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Utilizing our neighborhood graph, advertisers can effectively target and reach multiple high value audiences, such as homeowners, parents, and recent movers. Nextdoor’s neighborhood graph is built off high quality signals shared directly by our neighbors and partners. These signals are integrated using proprietary machine learning models that undergo continuous refinement and optimization to ensure scalability and accuracy.</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Go-to-Market Approach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Nextdoor offers diverse marketing solutions for advertisers depending on size and goals. Our go-to-market approach combines the utilization of our self-service ads platform and support of a dedicated global sales force for managed campaigns. Our sales team is strategically positioned to attract and retain advertisers across all products, and provides support through all stages of the marketing cycle, including campaign planning, optimization, and performance analytics.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 Kind Platform</w:t>
      </w:r>
    </w:p>
    <w:p>
      <w:pPr>
        <w:pStyle w:val="TextBody"/>
        <w:bidi w:val="0"/>
        <w:spacing w:lineRule="auto" w:line="288" w:before="0" w:after="180"/>
        <w:jc w:val="both"/>
        <w:rPr/>
      </w:pPr>
      <w:r>
        <w:rPr>
          <w:rFonts w:ascii="Times New Roman;sans-serif" w:hAnsi="Times New Roman;sans-serif"/>
          <w:b w:val="false"/>
          <w:color w:val="000000"/>
          <w:sz w:val="20"/>
        </w:rPr>
        <w:t>Nextdoor is a leading innovator in creating a welcoming platform that facilitates healthy neighborhood connections and conversations. We set clear Community Guidelines and use a combination of people, including nearly 200,000</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volunteer community moderators, and technology to encourage kind conversations and promote neighborhood vitality.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day one, we’ve required neighbors to sign up with their real names and addresses to ensure neighborhoods are made up of real people, nearby, and we have improved on similar verification procedures for businesses. We require all new neighbors to accept our Neighbor Pledge upon joining, in order to introduce our Community Guidelines and provide personal accountability for interactions on the platform. Further, neighbors are alerted when a new neighbor joins so they can reach out with a message of connection and belonging and establish rapport.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neighbors interact through the platform, we use a combination of human review and machine learning and predictive technology solutions, like our Kindness Reminder and Constructive Conversations Reminder, launched in 2022, to enforce our Community Guidelines, support civility, and cultivate kindness. In 2023, we gave neighbors the ability to use generative AI to help write posts that are more likely to drive positive community engagement, and integrated AI into the Kindness Remainder to suggest more constructive revisions for comments that may violate the Community Guidelines. These developments enable us to better analyze tone and context, and help authors rephrase posts and comments to receive a better response from their community.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always believed it is important to incorporate local context into moderation decisions, which is why we have incorporated volunteer community moderators into our moderation program, alongside Nextdoor operations staff. Volunteer community moderators are active neighbors who have access to specialized tools and resources they can utilize as they help enforce our Community Guidelines. While local community moderators review most types of guideline-violating content, reports of certain types of harmful content (e.g., misinformation, discrimination) are handled by Nextdoor operations staff to ensure our standards and policies are applied consistently.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Technology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investments in technology are consistently focused on creating and improving products for neighbors and organizations in the countries in which we operate around the world. We have built generative AI features that personalize the distribution of content and make posts more engaging and kind through the use of Post Assistant. We continue to use machine-learning and proprietary technology to power our product strategy of building an engaged community.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also continue to invest in our proprietary ad platform to expand and improve our advertising solutions for businesses of all sizes. In support of our objectives of delivering advertiser value, reducing advertising effort, and enabling businesses to thrive on Nextdoor, our development roadmap is focused on unifying our self-service offerings, leveraging machine learning and AI technologies to improve ad targeting, and enhancing measurement solutions to better inform our value proposition.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intellectual property and core technological innovations are integral components of our business. To establish and protect our intellectual property, proprietary rights and brand, we rely on a combination of federal, state, and common-law rights in the United </w:t>
      </w:r>
    </w:p>
    <w:p>
      <w:pPr>
        <w:pStyle w:val="TextBody"/>
        <w:bidi w:val="0"/>
        <w:spacing w:lineRule="auto" w:line="288" w:before="0" w:after="18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Nextdoor Transparency Report,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States and the rights under the laws of other countries, patents, trademarks, copyrights, domain name, trade secrets, including know-how, license agreements, confidentiality procedures, non-disclosure agreements with third parties, employee disclosure, and invention assignment agreements, and other contractual rights.</w:t>
      </w:r>
    </w:p>
    <w:p>
      <w:pPr>
        <w:pStyle w:val="TextBody"/>
        <w:bidi w:val="0"/>
        <w:spacing w:lineRule="auto" w:line="288" w:before="0" w:after="180"/>
        <w:jc w:val="both"/>
        <w:rPr/>
      </w:pPr>
      <w:r>
        <w:rPr>
          <w:rFonts w:ascii="Times New Roman;sans-serif" w:hAnsi="Times New Roman;sans-serif"/>
          <w:b w:val="false"/>
          <w:color w:val="000000"/>
          <w:sz w:val="20"/>
        </w:rPr>
        <w:t xml:space="preserve">We own a trademark portfolio, including registered trademarks and applications in the United States and other countries, for the marks NEXTDOOR, </w:t>
      </w:r>
      <w:r>
        <w:rPr/>
        <w:drawing>
          <wp:inline distT="0" distB="0" distL="0" distR="0">
            <wp:extent cx="152400" cy="9525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52400" cy="95250"/>
                    </a:xfrm>
                    <a:prstGeom prst="rect">
                      <a:avLst/>
                    </a:prstGeom>
                  </pic:spPr>
                </pic:pic>
              </a:graphicData>
            </a:graphic>
          </wp:inline>
        </w:drawing>
      </w:r>
      <w:r>
        <w:rPr>
          <w:rFonts w:ascii="Times New Roman;sans-serif" w:hAnsi="Times New Roman;sans-serif"/>
          <w:b w:val="false"/>
          <w:color w:val="000000"/>
          <w:sz w:val="20"/>
        </w:rPr>
        <w:t xml:space="preserve">, and </w:t>
      </w:r>
      <w:r>
        <w:rPr/>
        <w:drawing>
          <wp:inline distT="0" distB="0" distL="0" distR="0">
            <wp:extent cx="142875" cy="9525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42875" cy="95250"/>
                    </a:xfrm>
                    <a:prstGeom prst="rect">
                      <a:avLst/>
                    </a:prstGeom>
                  </pic:spPr>
                </pic:pic>
              </a:graphicData>
            </a:graphic>
          </wp:inline>
        </w:drawing>
      </w:r>
      <w:r>
        <w:rPr>
          <w:rFonts w:ascii="Times New Roman;sans-serif" w:hAnsi="Times New Roman;sans-serif"/>
          <w:b w:val="false"/>
          <w:color w:val="000000"/>
          <w:sz w:val="20"/>
        </w:rPr>
        <w:t>. We have registered domain names that we use in or relate to our business, such as the &lt;nextdoor.com&gt; domain name and country code top level domain name equivalents. As of December 31, 2023, we had 10 issued patents in the United States. We cannot assure you that any of our patent applications will result in the issuance of a patent or whether the examination process will require us to narrow our claims. Additionally, our current and future patents, trademarks, and other intellectual property or other proprietary rights may be contested, circumvented or found unenforceable or invalid. We may not be able to obtain or maintain sufficient protection for or successfully enforce our intellectual property. We license content, technology, and other intellectual property from our partners, and rely on our license agreements with those partners to use the intellectual property. Third parties may assert claims related to intellectual property rights against our partners or us.</w:t>
      </w:r>
    </w:p>
    <w:p>
      <w:pPr>
        <w:pStyle w:val="TextBody"/>
        <w:bidi w:val="0"/>
        <w:spacing w:lineRule="auto" w:line="288" w:before="0" w:after="180"/>
        <w:jc w:val="both"/>
        <w:rPr/>
      </w:pPr>
      <w:r>
        <w:rPr>
          <w:rFonts w:ascii="Times New Roman;sans-serif" w:hAnsi="Times New Roman;sans-serif"/>
          <w:b w:val="false"/>
          <w:color w:val="000000"/>
          <w:sz w:val="20"/>
        </w:rPr>
        <w:t>For additional information, please see the section entitled “</w:t>
      </w:r>
      <w:r>
        <w:rPr>
          <w:rFonts w:ascii="Times New Roman;sans-serif" w:hAnsi="Times New Roman;sans-serif"/>
          <w:b w:val="false"/>
          <w:i/>
          <w:color w:val="000000"/>
          <w:sz w:val="20"/>
        </w:rPr>
        <w:t>Risk Factors — Risks Related to Intellectual Property</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Culture and Core Values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Community is at the heart of Nextdoor and our community of employees is our lifeblood. Our employees have a wide range of experiences and perspectives, which fuel our purpose to cultivate a kinder world where everyone has a neighborhood they can rely 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company core values are: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Earn trust everyday;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Invest in community;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Customer obsessed;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Think big;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Experiment and learn quickly; and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Act like an owner.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live these core values through our approach to our people practices, summarized below.</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Employees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594 employees in the United States and in our international locations in Canada, the United Kingdom, the Netherlands, Ireland, France and Australia.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Diversity, Equity, Inclusion and Belonging</w:t>
      </w:r>
    </w:p>
    <w:p>
      <w:pPr>
        <w:pStyle w:val="TextBody"/>
        <w:bidi w:val="0"/>
        <w:spacing w:lineRule="auto" w:line="288" w:before="0" w:after="180"/>
        <w:jc w:val="both"/>
        <w:rPr/>
      </w:pPr>
      <w:r>
        <w:rPr>
          <w:rFonts w:ascii="Times New Roman;sans-serif" w:hAnsi="Times New Roman;sans-serif"/>
          <w:b w:val="false"/>
          <w:color w:val="000000"/>
          <w:sz w:val="20"/>
        </w:rPr>
        <w:t>The principles of Diversity, Equity, Inclusion and Belonging (“DEIB</w:t>
      </w:r>
      <w:r>
        <w:rPr>
          <w:color w:val="000000"/>
        </w:rPr>
        <w:t>”</w:t>
      </w:r>
      <w:r>
        <w:rPr>
          <w:rFonts w:ascii="Times New Roman;sans-serif" w:hAnsi="Times New Roman;sans-serif"/>
          <w:b w:val="false"/>
          <w:color w:val="000000"/>
          <w:sz w:val="20"/>
        </w:rPr>
        <w:t>) are woven into the very fabric of our organization and guide how we recruit, retain, and develop our talent.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commitment to DEIB begins at the top and is underscored by the importance of making diverse perspectives a business imperative. This is reflected in the racially diverse and gendered-balanced leaders that make up our Board of Directors, management team, and employees, and who all share in our passion for contributing to and effecting change in communities globally.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thrive on creating a dynamic, inclusive environment that aims to support and value our employees, and contributes to our award-winning company culture. We have active and engaged Employee Resource Groups (“ERG”) that are aligned around dimensions of diversity, such as gender, ethnicity, religion, sexual orientation and other shared attributes, which we believe help foster a sense of community, and a diverse and inclusive workplace. We have equipped our ERG leaders with tools and training to engage in courageous conversations with their communities. This approach is designed to foster space discussions on cultural topics that support the well-being of our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focus our global recruitment efforts on ensuring that teams and hiring managers have the opportunity to consider qualified people from historically excluded groups for open roles. Moreover, we distribute a bi-annual employment engagement survey to measure our employees’ satisfaction at Nextdoor, including employees’ perspectives on our current state of workplace inclusivity.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Learning, Development, and Engagement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 dedicated Talent Management and Development team that develops and delivers company-wide people programs and learning and development experiences to help our employees grow in their careers. The programs include performance feedback and promotion cycles and recognition through our “Nextdoor Values Awards”. Our learning and development experiences focus on onboarding new hires as well as offering resources focused on skills development and compliance training.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making Nextdoor the best place to work by engaging with, and listening to, our community of employees. We maintain ongoing connection with our team members through regular all hands meetings, our speaker series, and bi-annual engagement surveys.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Compensation, Benefits and Perks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employees with competitive compensation packages that include base salaries, sales commissions for certain employees, and equity awards. Additional benefits programs (which vary by country and region) include a 401(k) Plan with a company match, healthcare, vision, and dental insurance benefits, health savings and flexible spending accounts, flexible paid time off, parental leave, and other benefits tailored to the specific needs of our employees such as family forming, caregiving and mental health resources. We also support and encourage our employees to give back to our communities by giving each employee “Volunteer Time Off” to dedicate to the causes that matter most to them.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compete in almost every aspect of our business with companies that provide a variety of internet products, services, content, and online advertising. In addition, aspects of our platform compete with other products and services, including home services, classifieds, real estate, recommendations and search engines. Of these companies, we most directly compete with social media companies that offer local products to advertisers and users, including large companies such as Meta (including through Facebook and Instagram), Alphabet (including through Google), and other companies that provide home services, classifieds, real estate, recommendations, and search engines. We compete with these companies to attract, engage, and retain users and to attract and retain advertisers. As we introduce new products, as our platform evolves, or as other companies introduce new products and services, we may become subject to additional competition in other countries.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our industry is evolving rapidly and is becoming increasingly competitive, we believe that we compete effectively due to our singular focus on creating and strengthening our neighborhood networks, the size and engagement of our user base, our ability to provide neighbors with trusted information from a uniquely local perspective, our value proposition to advertisers including businesses and public agencies, and our powerful network effects.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strengths include a strong value proposition based on real people, real conversations and real achievements; Built-in community: creating instant access for new neighbors and businesses joining the neighborhood; and, Our unique ability to connect neighbors to what matters to them. For our customers key strengths also include real people, as well as a high-intent audience with an action mindset and the ability to target neighborhoods everywhere in the countries we serve. Each of these elements reinforce each other to create a strong competitive moat.</w:t>
      </w:r>
    </w:p>
    <w:p>
      <w:pPr>
        <w:pStyle w:val="TextBody"/>
        <w:bidi w:val="0"/>
        <w:spacing w:lineRule="auto" w:line="288" w:before="0" w:after="180"/>
        <w:jc w:val="both"/>
        <w:rPr/>
      </w:pPr>
      <w:r>
        <w:rPr>
          <w:rFonts w:ascii="Times New Roman;sans-serif" w:hAnsi="Times New Roman;sans-serif"/>
          <w:b w:val="false"/>
          <w:color w:val="000000"/>
          <w:sz w:val="20"/>
        </w:rPr>
        <w:t>For additional information, see the section entitled “</w:t>
      </w:r>
      <w:r>
        <w:rPr>
          <w:rFonts w:ascii="Times New Roman;sans-serif" w:hAnsi="Times New Roman;sans-serif"/>
          <w:b w:val="false"/>
          <w:i/>
          <w:color w:val="000000"/>
          <w:sz w:val="20"/>
        </w:rPr>
        <w:t>Risk Factors — Our business is highly competitive. Competition presents an ongoing threat to the success of our business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many U.S. federal and state and foreign laws, regulations, and industry standards that involve matters central to our business, including laws and regulations that involve data privacy and data protection, intellectual property (including copyright and patent laws), content regulation, rights of publicity, advertising, marketing, health and safety, competition, protection of minors, consumer protection, taxation, anti-bribery, anti-money laundering and corruption, telecommunications, AI and machine learning, and securities. Our business may also be affected by the adoption of any new or existing laws or regulations or changes in laws or regulations that adversely affect the growth, popularity or use of the internet, or that significantly restrict or impose conditions on our ability to collect, store, augment, analyze, use and share data or increase consumer notice or consent requirements before a company can utilize cookies or other tracking technologies or that increase the liability of content platforms like us. These laws and regulations are constantly evolving and may be interpreted, applied, created, or amended, in a manner that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variety of statutory and common-law frameworks and defenses relevant to the content available on our service, including the Digital Millennium Copyright Act (the “DMCA”), the Communications Decency Act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have seen recent Supreme Court challenges and there have been legislative efforts to curtail the CDA’s protections. These efforts could expose us to lawsuits in which we could incur significant costs and could seriously harm our business. In addition, various countries around the world have adopted legislation, including the Digital Services Act (the “DSA”) in the European Union, the Online Safety Act in Australia, and the Online Safety Bill in the United Kingdom, that may impose additional obligations or liability on us associated with content uploaded by users to our platform.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process, store, use, and share data, some of which contains personal information. We are therefore subject to U.S. federal, state, local, and foreign laws and regulations regarding data privacy and the collection, storage, sharing, use, processing, disclosure and protection of personal information and other data from users, employees or business partners, including the European Union’s General Data Protection Regulation (“GDPR”), the United Kingdom’s General Data Protection Regulation (“UK GDPR”), Canada’s Personal Information Protection and Electronic Documents Act, Australia’s The Privacy Act 1988 and Australian Privacy Principles, the California Consumer Privacy Act (“CCPA”), along with similar privacy laws enacted in other U.S. states. There are also a number of legislative proposals recently enacted or pending before the U.S. Congress, various state legislatures and foreign governments concerning content regulation and data protection that could affect us, These and other laws and regulations that may be enacted, or new interpretation of existing laws and regulations, may require us to modify our data processing practices and policies and to incur substantial costs in order to comply.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Further, the impact of these laws and regulations may disproportionately affect our business in comparison to our peers in the technology sector that have greater resources. Any failure on our part to comply with these laws and regulations may subject us to significant liabilities or penalties, or otherwise adversely affect our business, financial condition or operating results. Further, it is possible that certain governments may seek to block or limit our products or otherwise impose other restrictions that may affect the accessibility or usability of any or all our products for an extended period of time or indefinitely.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communicate with lawmakers and regulators in the countries and regions in which we do business. We have a dedicated policy team that monitors legal and regulatory developments and works with policymakers and regulators around the world to help ensure that our perspective is heard in matters of importance to us.</w:t>
      </w:r>
    </w:p>
    <w:p>
      <w:pPr>
        <w:pStyle w:val="TextBody"/>
        <w:bidi w:val="0"/>
        <w:spacing w:lineRule="auto" w:line="288" w:before="0" w:after="180"/>
        <w:jc w:val="both"/>
        <w:rPr/>
      </w:pPr>
      <w:r>
        <w:rPr>
          <w:rFonts w:ascii="Times New Roman;sans-serif" w:hAnsi="Times New Roman;sans-serif"/>
          <w:b w:val="false"/>
          <w:color w:val="000000"/>
          <w:sz w:val="20"/>
        </w:rPr>
        <w:t>For additional information, see the section entitled “</w:t>
      </w:r>
      <w:r>
        <w:rPr>
          <w:rFonts w:ascii="Times New Roman;sans-serif" w:hAnsi="Times New Roman;sans-serif"/>
          <w:b w:val="false"/>
          <w:i/>
          <w:color w:val="000000"/>
          <w:sz w:val="20"/>
        </w:rPr>
        <w:t>Risk Factors — Risks Related to Legal and Regulatory Matters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were initially a blank check or special purpose acquisition company called KVSB, incorporated in Delaware on January 29, 2021, formed for the purpose of effecting a merger, capital stock exchange, asset acquisition, stock purchase, reorganization or similar business combination with one or more businesses or entities. On November 5, 2021 (the “Closing Date”), KVSB consummated the transactions contemplated by the Agreement and Plan of Merger, dated July 6, 2021, as amended on September 30, 2021 (the “Merger Agreement”), by and among KVSB, Lorelei Merger Sub Inc., a direct wholly owned subsidiary of KVSB (“Merger Sub”) and Nextdoor, Inc. (“Legacy Nextdoor”), with Legacy Nextdoor surviving as a wholly owned subsidiary of KVSB (the “Merger” and the transactions contemplated thereby, the “Business Combination”). Legacy Nextdoor was incorporated in Delaware on December 4, 2007. Following the consummation of the Business Combination on the Closing Date, KVSB changed its name from Khosla Ventures Acquisition Co. II to Nextdoor Holdings, Inc.</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at 420 Taylor Street, San Francisco, California 94102 and our telephone number is (415) 344-0333. Our website address is https://www.nextdoor.com. The information contained on, or that can be accessed through, our website is not incorporated by reference into, and is not a part of, this Annual Report. Investors should not rely on any such information in deciding whether to purchase our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Nextdoor, the Nextdoor logo, and other registered or common law trade names, trademarks, or service marks of Nextdoor appearing in this Annual Report are the property of Nextdoor. This Annual Report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Annual Report appear without the ® and ™ symbols, but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those references are not intended to indicate, in any way, that we will not assert, to the fullest extent under applicable law, our rights, or the right of the applicable licensor, to these trademarks and tradenames.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reports filed with or furnished to the SEC pursuant to Sections 13(a) and 15(d) of the Securities Exchange Act of 1934, as amended (the “Exchange Act”), are available, free of charge, on our Investor Relations website at https://investors.nextdoor.com/ as soon as reasonably practicable after we electronically file such material with, or furnish it to, the SEC. The SEC maintains a website at http://www.sec.gov that contains reports, proxy and information statements, and other information regarding us and other companies that file materials with the SEC electronically. Copies of our reports on Form 10-K, Forms 10-Q, and Forms 8-K, and amendments to those reports may also be obtained, free of charge, electronically through our Investor Relations website located at the web address appearing above as soon as reasonably practicable after we file such material with, or furnish it to, the SEC. We use our Investor Relations website as a means of disclosing material information and for complying with our disclosure obligations under Regulation FD. Accordingly, investors should monitor our Investor Relations website, in addition to following our press releases, SEC filings, and public conference calls and webcasts.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content of our websites and information that we may post on or provide to online and social media channels and information that can be accessed through our websites or these online and social media channels are not incorporated by reference into this Annual Report or in any other report or document we file with the SEC, and any references to our websites or these online and social media channels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in our Class A common stock involves risks. You should carefully consider the risks and uncertainties described below, together with all of the other information in this Annual Report, including the section titled “Management’s Discussion and Analysis of Financial Condition and Results of Operations” and our consolidated financial statements and related notes, before deciding whether to purchase shares of our Class A common stock. You should also carefully consider the following risk factors in addition to the other information included in this Annual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commenced operating the Nextdoor platform in 2011 and began supporting the platform with advertising in 2016. Our limited operating history at the current scale of our business may make it difficult to evaluate our current business and future prospects. We have encountered, and will continue to encounter, risks and difficulties frequently experienced by growing companies in rapidly evolving industries, including challenges in accurate financial planning and forecasting, increasing competition and expenses as we effectively scale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a business with a limited operating history. We cannot ensure that we will be successful in addressing these and other challenges we may face in the future, and our business, operating results, and financial condition may be adversely affected if we do not manage these risks successfully. We may not be able to sustain or increase our current rate of growth, which is a risk characteristic often shared by companies with limited operating histories participating in rapidly evolving industries.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Given the current macroeconomic environment, it may be more difficult for us to capitalize on our growth strategies. There can be no assurance that we will successfully increase monetization on our platform or that we will sustain or increase the current growth rate of our revenue.</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Adverse global economic and financial conditions could harm our business and financial condition.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Adverse global economic and financial events and the effects thereof, such as health epidemics or pandemics, the war in Ukraine and the Israel-Hamas war, inflation, changing interest rates, potential recessions, uncertainty with respect to the federal budget or debt ceiling and a potential temporary federal government shutdown related thereto, fluctuations in foreign exchange rates, actual or perceived instability in the global banking system, supply chain issues and inventory and labor shortages, have caused, and could in the future cause, disruptions and volatility in global financial markets. These conditions have in the past and may in the future translate to cost increases to us and advertisers and lead to decreased spending by our advertisers. In addition, since the majority of our revenue is derived from advertisers within the United States, economic conditions in the United States have a greater impact on us. We may not perform well in adverse macroeconomic conditions, which could adversely affect our business, financial condition and operating results.</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currently generate substantially all of our revenue from advertising. If advertisers reduce or eliminate their spending with us, our business, operating results, and financial condition would be adversely impacted.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of our revenue is currently generated from the sales of advertising on our platform in the form of online display advertisements, which include sponsored posts and local deals. Our advertisers typically do not have long-term advertising spend commitments with us. Many of our advertisers spend only a relatively small portion of their overall advertising budget with us.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 advertisers may view some of the features on our platform as experimental and unproven. Advertisers will not continue to do business with us, or they will reduce the prices they are willing to pay to advertise with us, if we do not deliver advertisements in an effective manner, or if advertisers do not believe that their investment in advertising with us will generate a competitive return relative to alternatives. Our ability to attract and retain advertisers, and ultimately generate revenue, may be adversely affected by a number of factors, including but not limited to:</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decreases in neighbor or advertiser engagement on the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slower than anticipated growth in, or lack of growth or decreases in, the number of neighbors active on the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macroeconomic conditions, whether in the advertising industry in general, among specific types of advertisers or within particular geographies, including but not limited to health epidemics or pandemics, actual or perceived instability in the global banking system, labor shortages, supply chain disruptions, a potential recession, uncertainty with respect to the federal budget or debt ceiling and a potential temporary federal government shutdown related thereto, inflation and changing interest rates;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platform changes (such as the migration to our proprietary ad server) or inventory management decisions that change the size, format, frequency, or relative prominence of advertisements displayed on the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competitors offering more attractive pricing for advertisements that we are unable or unwilling to match;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 decrease in the quantity or quality of advertisements shown to neighbors;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to laws, third-party policies or applications that limit our ability to deliver, target, or measure the effectiveness of advertising, including changes by mobile operating system and browser providers such as Apple and Google;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to demographics of our neighbors that make us less attractive to advertisers;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 increase in neighbors who exercise opt-out rights under privacy laws to restrict the advertisements they receive;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neighbors that upload content or take other actions that are deemed to be hostile, inappropriate, illicit, objectionable, illegal, or otherwise not consistent with the brand of our advertisers;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adverse government actions or legislative, regulatory, or other legal developments;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neighbor behavior or changes to the platform that may affect, among other things, the safety and security of other neighbors or the cultivation of a positive and inclusive online community;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adverse media reports or other negative publicity involving us;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implementing or enforcing policies, such as advertising policies, community guidelines, and other terms or service that are perceived negatively by advertisers;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develop and improve our products for advertisers;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limitations in, or reductions to, the availability, accuracy, utility, and security of analytics and measurement solutions offered by us or third parties that are intended to demonstrate the value of our advertisements to advertisers;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to our data privacy practices that affect the type or manner of advertising that we are able to provide, including as a result of changes to laws, regulations or regulatory actions, such as the GDPR, European Directive 2002/58/EC (the “ePrivacy Directive”), the UK GDPR, the UK Data Protection Act 2018, the CCPA, Nevada’s Online Privacy Law, the CDPA, the VCPDA, the CPRA, and other U.S. state privacy laws, or changes to third-party policies.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certain of these factors have adversely affected our revenue to varying degrees.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ability to attract and retain advertisers depends on our ability to collect and use data and develop products to enable us to effectively deliver and accurately measure advertisements on the Nextdoor platform.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launched its Intelligent Tracking Prevention (“ITP”) feature in its Safari browser. ITP blocks some or all third-party cookies by default on mobile and desktop and ITP has become increasingly restrictive over time. Apple’s related Privacy-Preserving Ad Click attribution, intended to preserve some of the functionality lost with ITP, would, for example, prevent uniquely identifying individuals and devices across sites for the purpose of Ad Click attribution, prevent measurement outside a narrowly-defined attribution window, and prevent advertisement re-targeting and optimization. Further, Apple introduced an App Tracking Transparency framework that limits the ability of mobile applications to request an iOS device’s advertising identifier and may also affect our ability to track neighbors’ actions off our platform and connect their interactions with on-platform advertising. Similarly, Google has announced that it plans to start phasing out third-party cookies in its Google Chrome browser, beginning in the second half of 2024, and, more recently, that it intends to limit access by mobile applications to advertising identifiers on Android devices. These web and mobile browser developers have also implemented and may continue to implement changes and restrictions in browser or device functionality that limit our ability to communicate with or understand the identity of our neighbors.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add new neighbors or retain current neighbors, or if current neighbors engage less with the Nextdoor platform, our business, operating results, and financial condition would be adversely impacted.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neighbors that use the Nextdoor platform and their level of engagement on the platform are critical to our success. We must continue to engage and retain existing neighbors on our platform as well as attract, engage and retain new neighbors. The number of neighbors on the Nextdoor platform may not continue to grow at historical growth rates or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active neighbor base slows or reverses, we may be required to incur significantly higher marketing expenses than we currently anticipate in order to acquire new neighbors or retain current neighbors.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many factors that could negatively impact our ability to grow, retain and engage current and prospective neighbors, including but not limited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neighbors increasing their engagement with competitors’ platforms, products or services instead of, or more frequently than, our platform;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the amount of time neighbors spend across all applications and platforms, including our platform;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failing to introduce platform enhancements that neighbors find engaging or if we introduce new features, terms, policies or procedures, or make changes to our platform, that are not favorably received by current or prospective neighbors;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technical or other problems frustrating the neighbor experience, such as problems that prevent us from delivering our service in a fast and reliable manner;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neighbors having difficulty installing, updating or otherwise accessing the Nextdoor platform on mobile devices through the app or web browsers;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neighbor behavior on the Nextdoor platform changing, including a decrease in the quality and frequency of content shares on the platform;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decreases in neighbor or advertiser sentiment due to questions about the quality or usefulness of our platform, concerns about the nature of content made available on the platform, concerns related to privacy, safety, security, well-being or other factors;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mandated by legislation, government and regulatory authorities, or litigation that adversely impact our platform or neighbors;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third parties preventing their content from being displayed on the Nextdoor platform;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we may make to how we promote different features on our platform;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initiatives designed to attract and retain neighbors and engagement are unsuccessful or discontinued, whether as a result of actions by us, third parties, or otherwise;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or other partners and companies in the industry are the subject of adverse media reports or other negative publicity;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unable to combat spam, harassment, cyberbullying or other hostile, inappropriate, abusive or offensive content or usage on our platform;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cannot preserve and enhance our brand and reputation as a trusted neighborhood networking community.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business is highly competitive. Competition presents an ongoing threat to the success of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compete with companies that provide a variety of internet products, services, content, and online advertising. In addition, aspects of our platform compete with other products and services, including home services, classifieds, real estate, recommendations, and search engines. Of these companies, we most directly compete with social media companies that offer local products to advertisers and users, including large companies such as Meta (including through Facebook and Instagram) and Alphabet (including through Google), and other companies that provide home services, classifieds, real estate,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and services or evolve their platforms, we may fail to engage or retain neighbors or attract new neighbors, which could harm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 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introduced changes starting with iOS 14.5 that limit our ability, and the ability of others in the digital advertising industry, to track individual users and devices, and target and measure advertisements effectively. Additionally, the Apple App Store guidelines require apps that support account creation to also allow users to delete their account within the app. This change has and may continue to impact our ability to retain users. Moreover, Google recently announced that it intends to limit access by mobile applications to advertising identifiers on Android devices, likely by the end of 2024.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ability to compete depends upon many factors both within and beyond our control, including: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popularity, usefulness, ease of use, performance, and reliability of our platform compared to our competitors’ products;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size and composition of our neighbor base;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engagement of neighbors with our platform and competing products;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first- and third-party data available to us relative to our competitors;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attract and retain advertisers who use our free or paid advertisements services;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timing and market acceptance of developments and enhancements to our platform or our competitors’ products;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safety and security efforts and our ability to protect neighbor data and to provide neighbors with control over their data;</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distribute our platform to new and existing neighbors;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effectively monetize our platform;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successful implementation of platform changes, such as the migration to our proprietary ad server and introduction of AI technologies into our platform;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frequency, size, format, quality, and relative prominence of the advertisements displayed by us or our competitors;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customer service and support efforts;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marketing and selling efforts, including our ability to measure the effectiveness of our advertisements and to provide advertisers with a compelling return on their investments;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establish and maintain publisher interest in integrating their content with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mandated by legislation, regulatory authorities, or litigation, some of which may have a disproportionate effect on us;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acquisitions or consolidation within our industry, which may result in more formidable competitors;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attract, retain, and motivate talented employees, particularly software engineers, designers, and managers;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cost-effectively manage and grow our operations;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reputation and brand strength relative to those of our competitors.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compete effectively, our neighbor base and level of neighbor engagement may decrease, we may become less attractive to advertisers and our business, operating results, and financial condition may be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geopolitical conflict (including the current war in Ukraine and the Israel-Hamas war), other physical security threats, cyber-attacks, or other catastrophic events. If such an event were to occur, neighbors may be subject to service disruptions or outages and we may not be able to recover our technical infrastructure and neighbor data in a timely manner to restart or provide our services, which may adversely affect our financial results. In addition, the substantial amount of our employees are based in our headquarters located in San Francisco, California. If there is a catastrophic failure involving our systems or major disruptive event affecting our headquarters or the San Francisco area in general, we may be unable to operate our platform.</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network infrastructure is provided by third parties, including AWS. We also rely on third parties for other technology related services, including certain AI functions.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 and increases in the costs of these services.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scale our business effectively, our business, operating results, and financial condition would be adversely affected.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growth in recent years and expect to continue to invest strategically across our organization to support measured growth, while also scaling back certain areas of our business in response to changing economic conditions. Although we have experienced rapid growth historically, we may not return to prior growth rates or sustain our growth rates, nor can we assure you that our investments to support our growth or to manage expenses by scaling back other areas of our business will be successful. The effective scaling of our business will require us to invest financial and operational resources and the continuous dedication of our management team.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pStyle w:val="TextBody"/>
        <w:bidi w:val="0"/>
        <w:spacing w:lineRule="auto" w:line="288" w:before="0" w:after="0"/>
        <w:jc w:val="both"/>
        <w:rPr/>
      </w:pPr>
      <w:r>
        <w:rPr>
          <w:rFonts w:ascii="Times New Roman;sans-serif" w:hAnsi="Times New Roman;sans-serif"/>
          <w:b w:val="false"/>
          <w:color w:val="000000"/>
          <w:sz w:val="20"/>
        </w:rPr>
        <w:t>Further, as we have grown, our business has become increasingly complex and requires more resources. To manage any future growth effectively, we must continue to improve and expand our information technology and financial infrastructure, our operating and administrative systems and controls, and our ability to manage headcount, capital, and processes in an efficient and appropriate manner. Failure to 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including video, we may not be able to do so cost-effectively. Effectively managing our growth may also be more difficult to accomplish the longer that our employees, our advertisers, neighbors and the overall economy is impacted due to macroeconomic conditions and factors, including but not limited to the impacts related to the actual or perceived instability in the global banking system, labor shortages, supply chain disruptions, a potential recession, uncertainty with respect to the federal budget or debt ceiling and a potential temporary federal government shutdown, related thereto, changing interest rates and inflation, and the war in Ukraine and the</w:t>
      </w:r>
      <w:r>
        <w:rPr>
          <w:color w:val="000000"/>
        </w:rPr>
        <w:t xml:space="preserve"> </w:t>
      </w:r>
      <w:r>
        <w:rPr>
          <w:rFonts w:ascii="Times New Roman;sans-serif" w:hAnsi="Times New Roman;sans-serif"/>
          <w:b w:val="false"/>
          <w:color w:val="000000"/>
          <w:sz w:val="20"/>
        </w:rPr>
        <w:t>Israel-Hamas war.</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from time to time, we realign our resources and talent to implement stage-appropriate business strategies, which could include furloughs, layoffs and reductions in force. For example, in November 2023, in response to changing economic conditions and in an effort to support our growth, scale and profitability objectives, reduce our operational costs and improve our organizational efficiency, we executed a restructuring plan, which included a restructuring and reduction of the current workforce by approximately 25%. The restructuring plan was substantially completed by the end of the fourth quarter of 2023. If there are unforeseen expenses associated with such realignments in our business strategies, and we incur unanticipated charges or liabilities, then we may not be able to effectively realize the expected cost savings or other benefits of such actions. Failure to manage any growth or any scaling back of our operations could have an adverse effect on our business, operating results, and financial condition.</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or our industry generally are unable to provide a high-quality and secure customer experience in the various locales in which we operate, our brand could suffer reputational damage and our business results could be harmed.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our AI initiatives, which could adversely affect our business, reputation, or financial results.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continuing to make investments in AI initiatives, including to recommend relevant content across our products, enhance our advertising tools, and develop new product features using generative AI. Our AI initiatives may require increased investment in infrastructure and headcount. AI technologies are complex and rapidly evolving, and we face significant competition from other companies as well as an evolving regulatory landscape. These efforts, including the introduction of new products or changes to existing products, may result in new or enhanced governmental or regulatory scrutiny, litigation, ethical concerns, or other complications that could adversely affect our business, operating results and financial condition. For example, the use of datasets to develop AI models, the content generated by AI systems, or the application of AI systems may be found to be insufficient, offensive, biased, or harmful, or violate current or future laws and regulations. Moreover, AI may give rise to litigation risk, including potential intellectual property or privacy liability. In addition, market acceptance of AI technologies is uncertain, and we may be unsuccessful in our product development efforts. Moreover, our competitors may introduce AI technologies and features into their products and services that achieve greater market acceptance that ours. Any of these factors could adversely affect our business, operating results, and financial condition.</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our efforts to build strong brand identity and reputation are not successful, we may not be able to attract or retain neighbors, and our business, operating results, and financial condition will be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the “Nextdoor” brand and reputation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brand and reputation may also be negatively affected by the content or actions of neighbors that are deemed to be hostile or inappropriate to other neighbors, by the actions of neighbors acting under false or inauthentic identities, by the use of our platform to disseminate misleading or false information, the use of our platform for fraudulent schemes and scams, or by the use of our service for illicit, illegal or objectionable ends.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Unfavorable media coverage negatively affects our business from time to time.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plan to continue expanding our international operations where we have limited operating experience and may be subject to increased business, regulatory, and economic risks that could seriously harm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expanding our business operations abroad by opening new and expanding within existing neighborhoods outside of the United States. As of December 31, 2023, the Nextdoor platform was accessible in 11 countries (including the United States) and had over 325,000 neighborhoods. We plan to enter new international markets and expand in existing markets where we have limited or no experience in marketing, selling, advertising and deploying our platform or selling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our international operations and sales to advertisers continue to grow, we will be subject to a variety of risks inherent in doing business internationally, including: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political, social and economic instability, including as a result of acts of war or terrorism, including the war in Ukraine and the Israel-Hamas war;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risks related to the legal and regulatory environment in foreign jurisdictions, including with respect to privacy and data protection, and unexpected changes in laws, regulatory requirements, and enforcement;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potential damage to our brand and reputation due to compliance with local laws, including potential censorship and requirements to provide neighbor information to local authorities;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enhanced difficulty in reviewing content on the Nextdoor platform and enforcing community standards across different languages and countries;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currency exchange rates;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compliance with multiple U.S. and international tax jurisdictions and management of tax impact of global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potentially higher levels of credit risk and payment fraud;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difficulties integrating any foreign acquisitions;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burdens of complying with a variety of foreign laws, including laws related to taxation, content removal, data localization, data transfer, consents, payments, and regulatory oversight;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reduced protection for intellectual property rights in some countries;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difficulties in staffing and managing global operations and the increased travel, infrastructure, and legal compliance costs associated with multiple international 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need additional capital in the future, it may not be available on favorable terms, if at all.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The current macroeconomic environment may make it more difficult to raise additional capital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make acquisitions, which could harm our financial condition or operating results and may adversely affect the price of our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have made, and may in the future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business depends largely on our ability to attract, and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and the change by companies to offer a remote or hybrid work environment may increase the competition for such employees from employers outside of our traditional office locations.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 we realize the benefit of our investment in recruiting and training them. As we move into new geographies, we will need to attract and recruit skilled personnel in those areas. Further, labor is subject to external factors that are beyond our control, including our industry’s highly competitive market for skilled workers and leaders, cost inflation, and workforce participation rates. Further, in November 2023, in response to changing economic conditions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an effort to reduce our operational costs and improve our organizational efficiency, we executed a restructuring plan, which included a restructuring and reduction of the current workforce by approximately 25%. The restructuring plan was substantially complete by the end of the fourth quarter of 2023. This restructuring plan could negatively impact our ability to attract, integrate, retain and motivate key employees. If we are unable to attract and retain suitably qualified individuals who are capable of meeting our growing technical, operational, and managerial requirements, on a timely basis or at all, our business, operating results, and financial condition may be adversely affected.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also depends in large part on the continued services of senior management and other key personnel. We rely on our senior management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On February 23, 2024, we announced that Nirav Tolia, co-founder of Legacy Nextdoor, will return as Chief Executive Officer, President and Chairperson of our Board of Directors. The effective date of Mr. Tolia’s position as Chief Executive Officer, President and Chairperson of the Board will be May 8, 2024 (the “Transition Date”). Mr. Tolia will initially serve as the Executive Chair of the Company, effective March 18, 2024. To support the planned orderly transition of our Chief Executive Officer, Sarah Friar will remain employed by the Company as the Chief Executive Officer, President and Chairperson of our Board of Directors until the Transition Date.</w:t>
      </w:r>
      <w:r>
        <w:rPr>
          <w:color w:val="000000"/>
        </w:rPr>
        <w:t xml:space="preserve"> </w:t>
      </w:r>
      <w:r>
        <w:rPr>
          <w:rFonts w:ascii="Times New Roman;sans-serif" w:hAnsi="Times New Roman;sans-serif"/>
          <w:b w:val="false"/>
          <w:color w:val="000000"/>
          <w:sz w:val="20"/>
        </w:rPr>
        <w:t>If we lose the services of senior management or other key personnel, or if we are unable to attract, train, assimilate, and retain the highly skilled personnel that we need, our business, operating results, and financial condition could be adversely affected.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core values may conflict with the short-term interests of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our core values as a guide to the decisions we make, which we believe is essential to our success in increasing our neighbor growth rate and engagement and in serving the best, long-term interests of Nextdoor and our stockholders. In the past, we have forgone, and may in the future forgo, certain expansion or revenue opportunities that we do not believe are aligned with our core values, even if our decision may negatively impact our operating results in the short term. Our decisions may not result in the long-term benefits that we expect, in which case our neighbor engagement, business, operating results, and financial condition could be harmed.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Security and Technology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dependent on third-party software and service providers, including the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 are dependent on third-party software and service providers, including the GAM platform, for management and delivery of advertisements on the Nextdoor platform. As such, the continued use of third-party software and service providers, including GAM,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rely on third-party software and service providers, including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third-party software and service providers, including AWS, to provide systems, storage and services, including neighbor login authentication, for our website. Any technical problem with, cyber-attack on or loss of access to such third parties’ systems, servers, or technologies could result in the inability of neighbors to access the Nextdoor platform or result in the theft of neighbors’ personal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rely on third-party technology providers in our business, we rely on the cybersecurity practices and policies adopted by these third parties. Our ability to monitor our third-party technology providers’ cybersecurity practices is limited.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If neighbors or advertisers are not able to access our platform or encounter difficulties in doing so, we may lose neighbors or advertisers, which could harm our reputation,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data center hosting facilities operated by AWS, located in various facilities.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including email providers, mobile data networks, and geolocation providers to complete the verification process for our neighbors’ accounts. Any failure or interruption experienced by such third parties could result in the inability of neighbors to join our platform, resulting in harm to our reputation and an adverse impact to our business, operating results, and financial condition.</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to verify our neighbors’ accounts through several methods, including but not limited to email, SMS text message, phone calls, geolocation and mailed invitations. For example, we utilize email providers, mobile data networks, and geolocation providers to verify neighbors’ accounts. Account verification is a critical feature of our platform because it demonstrates that neighbors actually live in the neighborhood they desire to join. Any failure, interruption, or loss of access to such third parties or their software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geolocation providers or postal providers may be more costly to use than our current providers. Any disruption in the third parties could harm our neighbor growth, which in turn could make us a less attractive advertising platform and harm our reputation, and could harm our business, operating results,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Technologies have been developed that can block the display of advertisements on the Nextdoor platform, which could adversely impact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 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Security breaches, including improper access to or disclosure of our data or our neighbors’ data, or other hacking and phishing attacks on our or third-party systems, could harm our reputation and adversely affect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store and otherwise process personal data relating to a number of individuals such as our neighbors, employees and partners, including, but not limited to, neighbor contact details, network details, and location data. The evolution of technology systems introduces unknown and complex security risks that can be unpredictable and difficult to defend against. Cyber-attacks continue to evolve in sophistication and volume, and inherently may be difficult to detect for long periods of time. In particular, social media companies, like us, are prone to cyber-attacks by third parties seeking unauthorized access to company or user data or to disrupt their ability to provide access to their products and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trend towards working from home and using private residential networks to access the Internet may further exacerbate risks associated with cyberattacks and data security breaches, because we cannot guarantee these private work environments and electronic connections to our work environment have the same robust security measures deployed in our physical offices.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take a variety of technical and organizational security measures and other measures to protect our data. Although we have implemented systems and processes that are designed to protect our data and our neighbors’ data, prevent data loss, disable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(predominantly spear phishing attacks), ransomware,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 objectionable ends. Our efforts to protect our company data or the information that we receive may also be unsuccessful due to software bugs or other technical malfunctions; employee, contractor, or vendor error or malfeasance; government surveillance; or other threats that evolve.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Some third parties, including advertisers and vendors, may store information that we share with them on their networks. If these third parties fail to implement adequate data-security practices or fail to comply with their contractual obligations and/or, where applicable, our terms and policies, neighbor data may be improperly accessed, used or disclosed. Even if these third parties take all the necessary precautions and comply with their applicable obligations, their networks may still suffer a breach, which could compromise neighbor data.</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Security breaches may cause interruptions to our platform, degrade the neighbor experience, cause neighbors or advertisers to lose confidence and trust in our platform, impair our internal systems, or result in financial harm to our company.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that may not be fully covered by insurance, if at all,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 effect on our business, operating results, financial condition, market acceptance of our products or revenues and may also divert development resources and increase service and support costs.</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landscape of laws, regulations, and industry standards related to cybersecurity is evolving globally. We may be subject to increased compliance burdens by regulators and customers with respect to our platform, as well as additional costs to oversee and monitor security risks. Many jurisdictions have enacted laws mandating companies to inform individuals, stockholders, regulatory authorities, and others of security breaches. For example, the SEC recently adopted cybersecurity risk management and disclosure rules, which require the disclosure of information pertaining to cybersecurity incidents and cybersecurity risk management, strategy, and governance. This mandatory disclosure can be costly, harm our reputation, erode customer trust, and require significant resources to mitigate issues stemming from actual or perceived security breaches.</w:t>
      </w:r>
    </w:p>
    <w:p>
      <w:pPr>
        <w:pStyle w:val="TextBody"/>
        <w:bidi w:val="0"/>
        <w:spacing w:before="0" w:after="0"/>
        <w:jc w:val="both"/>
        <w:rPr/>
      </w:pPr>
      <w:r>
        <w:rPr/>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 security breach of our system could trigger a breach of our agreements with partners that we rely on to deliver our services and expose us to significant loss.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an incident that triggers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marketing of our platform in any material way, it could materially adversely affect our business, operating results, and financial condition.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or placement of advertisements could materially adversely affect the usage of our platform on mobile devices, our business, operating results and financial condition. For example, the release of iOS 14.5 brought with it a number of new changes, including the need for neighbors using the app to opt in before their identifier for advertisers (“IDFA”) can be accessed by an app (which came into effect in April 2021). Apple’s IDFA is a string of numbers and letters assigned to Apple devices which advertisers use to identify app users to deliver personalized and targeted advertising. As a consequence, the ability of advertisers to accurately target and measure their advertising campaigns at the neighbor level will depend on the opt-in rate to grant IDFA access and if the opt-in rate is low, advertisers’ ability to target and measure advertising campaigns on the Nextdoor platform may become significantly limited. We did not observe any directly attributable negative impact on our business, operating results or financial condition, including our revenue, revenue growth rates, and operating income (loss), related to the introduction of IDFA during the year ended December 31, 2023, though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any such changes. Further, in May 2022, Apple introduced changes for the Apple mail client available on its operating systems, which have impacted, and are expected to continue to impact our ability to track individual users and devices, and measure the effectiveness of our advertisements. Moreover, Google recently announced that it intends to limit access by mobile applications to advertising identifiers on Android devices, likely by the end of 2024. As a result, advertisers may find our products less appealing and may seek alternative platforms on which to run their advertising campaigns.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platform and internal systems rely on software and hardware that is highly technical, and any errors, bugs, or vulnerabilities in these systems, or failures to address or mitigate technical limitations in our systems, could adversely affect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 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inquiries, litigation, or liability for fines, damages, or other remedies, any of which could adversely affect our business, operating results,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Social and ethical issues may result in reputational harm and liability.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Positions we may take (or choose not to take) on social and ethical issues may be unpopular with some of our employees, neighbors, or with our advertisers or potential advertisers, which may in the future impact our ability to attract or retain employees, neighbors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advertisers. Further, actions taken by our customers or partners, including through the use or misuse of our products, may result in reputational harm or possible liability. Any such claims could cause reputational harm to our brand or result in liability.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disclosures on environmental, social, and governance (“ESG”) matters, and any standards we may set for ourselves or a failure to meet these standards, may influence our reputation and the value of our brand. For example, we have elected to share publicly certain information about our ESG initiatives and information, and our commitment to the recruitment, engagement and retention of a diverse board and workforce. In addition, the SEC has also proposed additional disclosure requirements regarding, among other ESG topics, the impact our business has on the environment. Moreover, California recently adopted two new climate-related bills, which require companies doing business in California that meet certain revenue thresholds to publicly disclose certain greenhouse gas emissions data and climate-related financial risk reports. California also recently enacted the Voluntary Carbon Market Disclosures Act, which requires companies that operate within the state to make certain climate-related claims and to provide enhanced disclosures around the achievement of such claims.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To the extent the SEC proposals become effective for our company, we will be required to establish additional internal controls, engage additional consultants, and incur additional costs related to evaluating our environmental impact and preparing such disclosures. If we fail to implement sufficient internal controls or accurately capture and disclose, among other things, our environmental impact, our reputation, business, operating results and financial condition may be materially adversely affected.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Financial and Accounting Matters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which makes our future results difficult to predict.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generate revenues from our platform;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acquire, retain, and grow our neighbors and neighbor engagement on our platform;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ability to attract and retain advertisers;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ability to recognize revenue or collect payments from advertisers in a particular period;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fluctuations in spending by our advertisers due to macroeconomic conditions, seasonality, episodic regional or global events, or other factors;</w:t>
      </w:r>
    </w:p>
    <w:p>
      <w:pPr>
        <w:pStyle w:val="TextBody"/>
        <w:bidi w:val="0"/>
        <w:spacing w:before="0" w:after="0"/>
        <w:ind w:left="0" w:right="0" w:firstLine="36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changes in domestic and global business and macroeconomic conditions, including actual or perceived instability in the global banking system, potential recession, uncertainty with respect to the federal budget and debt ceiling and a potential temporary federal government shutdown related thereto, local and national elections, the continued rise of inflation, changing interest rates, and the war in Ukraine and the Israel-Hamas war; </w: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internet usage generally;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number, prominence, size, format, quality and relevancy of advertisements shown to neighbors;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success of technologies designed to block the display of advertisements;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to third-party policies or applications that limit our ability to deliver, target, or measure the effectiveness of advertising, including changes by mobile operating system and browser providers such as Apple and Google;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pricing of our advertisements;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timing, cost of and mix of new and existing sales and marketing and promotional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availability of our platform and app on mobile devices and other third-party platforms;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to our platform or the development and introduction of new products or services by our competitors;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advertising industry association rules and standards that limit our ability to deliver, target or measure the effectiveness of advertising, such as the Network Advertising Initiative, and Interactive Advertising Bureau;</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neighbor behavior or platform changes that may reduce traffic to features of the platform that we monetize;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system failures, disruptions, breaches of security or privacy, whether on our platform or on those of third parties, and the costs associated with any such breaches and remediation;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negative publicity associated with our platform, including as a result of content on our platform, security breaches and neighbor privacy concerns that may result in advertisers reducing or eliminating their spend with us;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health epidemics, such as the COVID-19 pandemic, influenza, and other highly communicable diseases or viruses;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timing of incurring additional expenses, such as increases in sales and marketing or research and development;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adverse litigation judgments, settlements, or other litigation-related costs;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the legislative or regulatory environment, including with respect to privacy and cybersecurity, or actions by governments or regulators, including fines, orders, or consent decrees;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U.S. generally accepted accounting principles.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believe that our rapid historical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 third to fourth quarter 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Certain of our market opportunities and key metric estimates could prove to be inaccurate, and any real or perceived inaccuracies may harm our reputation and negatively affect our business.</w:t>
      </w:r>
    </w:p>
    <w:p>
      <w:pPr>
        <w:pStyle w:val="TextBody"/>
        <w:bidi w:val="0"/>
        <w:spacing w:lineRule="auto" w:line="288" w:before="0" w:after="180"/>
        <w:jc w:val="both"/>
        <w:rPr/>
      </w:pPr>
      <w:r>
        <w:rPr>
          <w:rFonts w:ascii="Times New Roman;sans-serif" w:hAnsi="Times New Roman;sans-serif"/>
          <w:b w:val="false"/>
          <w:color w:val="000000"/>
          <w:sz w:val="20"/>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section, which could cause actual results to differ materially from our estimates. Unfavorable changes in any of these or other assumptions, most 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 significant uncertainty and are based on assumptions that may not prove to be accurate. In particular, our estimates regarding our market penetration in new and existing markets are difficult to predict.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review key business and other metrics, including WAUs, Verified Neighbors and ARPU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For example, in 2021, Apple introduced changes for the Apple mail client available on its operating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which have limited, and are expected to continue to limit, our ability to track individual users and devices, and measure user engagement with our emails containing monetizable content for users that use the Apple email client. These changes have affected our ability to calculate WAUs, a key business metric. Because of the introduction of these changes, we are required to rely on estimates based on past user behavior and behavior of users engaging with our monetizable content on email clients other than the Apple email client in order to determine the portion of our WAU figure relating to users that engage solely with emails with monetizable content, which may impact the effectiveness of our analytics platform, as well as the accuracy of our WAU calculations. If we fail to maintain an effective analytics platform, our key metrics calculations may be inaccurate, and we may not be able to identify those inaccuracies.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significant net losses each year since we began operations in 2007, including net losses of $147.8 million, $137.9 million and $95.3 million for the years ended December 31, 2023, 2022 and 2021, respectively. We have an accumulated deficit of $766.0 million as of December 31, 2023. We anticipate that our operating expenses and capital expenditures will increase in the foreseeable future as we continue to invest in acquiring additional neighbors, increasing engagement on our platform, increasing monetization on our platform, expanding our platform and operations internationally, attracting and retaining team members, developing and enhancing our platform, marketing and sales, and enhancing our infrastructure. Our expansion efforts may prove more expensive than we anticipate, and we may not succeed in increasing our revenues sufficiently to offset these higher expenses. While we consistently evaluate opportunities to reduce our operating costs and optimize efficiencies, including, for example, through our workforce reduction in November 2023, we cannot guarantee that these efforts will be successful or that we will not re-accelerate operating expenditures in the future in order to capitalize on growth opportunities.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ability to use our U.S. federal and state net operating losses to offset future taxable income may be subject to certain limitations which could subject our business to higher tax liability.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gross U.S. federal net operating loss (“NOL”) carryforwards of approximately $413.6 million and gross state NOL carryforwards of approximately $280.8 million, which if not utilized, will begin to expire for federal and state income tax purposes beginning in 2028. To the extent that we continue to generate taxable losses, unused losses will carry forward to offset future taxable income, if any. Under the 2017 Tax Cuts and Jobs Act, as modified by the Coronavirus Aid, Relief, and Economic Security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 382 of the Code, and corresponding provisions of state law,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Though we recently completed a Section 382 study that supports that our use of NOLs will not be subject to limitation, it is possible that the limitation could still apply.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experience ownership change(s) in the future as a result of subsequent shifts in our stock ownership, some of which may be outside our control. Therefore, it is possible that such an ownership change could limit the amount of NOLs we can use to offset future taxable income. Our current NOL carryforwards, and any NOL carryforwards of companies we have acquired, may be subject to limitations, thereby increasing our overall tax liability. Our NOL carryforwards may also be impaired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financial results may be adversely affected by changes in accounting principles generally accepted in the United States and our financial estimates may be different from our financial results.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currency exchange rates fluctuate substantially in the future, our operating results, which are reported in U.S. dollars, could be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our international operations, we will become more exposed to the effects of fluctuations in currency exchange rates. A substantial majority of our revenues to date have been denominated in U.S. dollars and, therefore, we have not historically been subject to foreign currency risk. In addition, as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have greater than anticipated tax liabilities, which could harm our business, revenue and financial results.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number of tax jurisdictions globally, including in the United States at the federal, state and local levels, and in many foreign countries, and plan to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which would negatively affect our financial results. In August 2022, President Biden signed into law the Inflation Reduction Act of 2022 (“IRA”). The IRA includes a 15% corporate alternative minimum tax for companies with modified GAAP net income in excess of $1 billion, a 1% excise tax on certain stock repurchases, and numerous environmental and green energy tax credits. Currently, we are not subject to the corporate alternative minimum tax and we do not expect the new law to have a material impact on our results of operations.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cannot guarantee that our Share Repurchase Program will be fully consummated or that it will enhance long-term stockholder value. Share repurchases could also increase the volatility of the trading price of our stock and diminish our cash reserves.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2022, our Board of Directors authorized and approved a share repurchase program (the “Share Repurchase Program”) pursuant to which we may repurchase up to $100.0 million in aggregate of shares of our Class A common stock, with the authorization to expire on June 30, 2024, or such shorter period if $100.0 million in aggregate of shares of our Class A common stock have been repurchased. As of December 31, 2023, we had $22.8 million available for future share repurchases under the Share Repurchase Program. On February 21, 2024, the Company’s Board of Directors authorized and approved an increase of $150.0 million to the Share Repurchase Program and extended the expiration date to March 31, 2026. Although our Board of Directors has authorized this Share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Share Repurchase Program may be modified, suspended, or terminated at any time, and we cannot guarantee that the Share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Legal and Regulatory Matters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be liable as a result of content or information that is published or made available on our platform.</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many U.S. federal and state and foreign laws and regulations that involve matters central to our business, including laws and regulations that involve data privacy and protection, intellectual property (including copyright and patent laws), content regulation, the use of AI, rights of publicity, advertising, marketing, health and safety, competition, protection of minors, age verification,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In addition, the availability of copyright protection and other legal protections for intellectual property generated by certain new technologies, such as generative AI, is uncertain. The use of generative AI and other forms of AI may expose us to risks because the intellectual property ownership and license rights, including copyright, of generative and other AI output, has not been fully interpreted by U.S. courts or been fully addressed by U.S. federal or state regulation, as well as in foreign jurisdictions. Our systems, tools and personnel that help us to proactively detect potentially policy-violating or otherwise inappropriate content cannot identify all such content on our service, and in many cases this content will appear on the Nextdoor platform. This risk may increase as we develop and increase the use of certain features, such as video, for which identifying such content and obtaining appropriate consents is challenging. Additionally, some controversial content may not be banned on the Nextdoor platform and, even if it is not featured in advertisements to neighbors, it may still appear in the Feed or elsewhere. This risk is enhanced in certain jurisdictions outside of the United States where our protection from liability for content published on our platform by third parties may be unclear and where we may be less protected under local 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rely on a variety of statutory and common-law frameworks and defenses, including those provided by the DMCA, the CDA, the fair-use doctrine in the United States and the Electronic 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third-parties to our platform.</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Actions by governments that restrict access to the Nextdoor platform in their countries, or that otherwise impair our ability to sell advertising in their countries, could substantially harm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 could take action that impairs our ability to sell advertising, collect, process, use, store, disclose or transfer data including in countries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complex and evolving U.S. and foreign laws, regulations, and industry standards, many of which are subject to change and uncertain interpretations, which uncertainty could harm our business, operating results, and financial condition.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many U.S. federal and state and foreign laws, regulations and industry standards that involve matters central to our business, including laws and regulations that involve data privacy, data security, intellectual property (including copyright and patent laws), content, rights of publicity, advertising, marketing, competition, protection of minors, age verification, consumer protection, taxation, and telecommunications. These laws and regulations are constantly evolving and may be interpreted, applied, created, or amended, in a manner that could harm our business. In addition, the introduction of new products, expansion of our activities in certain jurisdictions, or other actions that we may take may subject the company to additional laws, regulations, or other government scrutiny.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variety of statutory and common-law frameworks and defenses relevant to the content available on the Nextdoor platform, including the DMCA, the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Although the U.S. Supreme Court declined to narrow the scope of Section 230 in its Gonzalez v. Google decision, there are still legislative efforts to amend the CDA, which if successful could expose us to additional lawsuits and potential judgments that could seriously harm our business. We could incur significant costs investigating and defending such claims and, if we are found liable, significant damages.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DSA, signed into law in the European Union on October 19, 2022, is a package of legislation intended to update the liability and safety rules for digital platforms, products, and services. The DSA, which started to apply to our business in February 2024, could negatively impact the scope of the limited immunity provided by the E-Commerce Directive, limit targeted advertising, and require us to expend resources to try to comply with the new regulations or incur liability. The DSA also includes significant penalties for non-compliance. On October 26, 2023, similarly, the United Kingdom’s Online Safety Act became law. The Act creates requirements around monitoring and handling harmful content and will require us to expend resources to try to comply with the new regulations or incur liability. Additionally, Australia’s Online Safety Act 2021, which went into effect in January 2022, and its accompanying Social Media Services Code, which went into effect in December 2023, may impose new obligations and liabilities on platforms with respect to certain types of harmful content. These new and proposed laws, together with any changes to the existing laws and regulations within the jurisdictions in which we operate could require us to expend additional resources to maintain compliance with any new or evolving regulations. As a result, we may incur additional liability, and our business, operating results, and financial condition could be harmed.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store, use, share and otherwise process data, some of which contains personal information about individuals including, but not limited to, our neighbors, employees and partners including, contact details, network details, and location data. We are therefore subject to U.S. (federal, state, local) and foreign laws and regulations regarding data privacy and security and the processing of personal information and other data from neighbors, employees or business partners. The regulatory framework for privacy, information security, data protection and processing worldwide and interpretations of existing laws and regulations is likely to continue to be uncertain and current or future legislation or regulations in the United States and other jurisdictions, or new interpretations of existing laws and regulations, could significantly restrict or impose conditions on our ability to process data and increase notice or consent requirements before we can utilize advertising technologies.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internal and publicly posted policies regarding our collection, processing, use, disclosure, deletion and security of information. Although we endeavor to comply with our policies and documentation, we may at times fail to do so or be accused of having failed to do so. The publication of our privacy policies and other documentation that provide commitments about data privacy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security can subject us to potential actions if they are found to be deceptive, unfair, or otherwise misrepresent our actual practices, which could materially and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we are subject to numerous federal, state and local data privacy and security laws and regulations governing the processing of information about individuals. For example, the CCPA establishes certain transparency obligations and creates data privacy rights for users, including rights to access and delete their personal information as well as opt-out of certain sales or transfers of their personal information. The law also prohibits covered businesses from discriminating against consumers (for example, charging more for services) for exercising any of their CCPA rights. The CCPA imposes statutory damages for certain violations of the law as well as a private right of action for certain data breaches that result in the loss of personal information, which increases the likelihood of, and risks associated with, data breach litigation. Additionally, California voters approved a new privacy law, the CPRA, which became effective January 1, 2023 (with a look back to January 1, 2022). The CPRA significantly modifies the CCPA, including by expanding consumers’ rights and establishing a new state agency that is vested with authority to implement and enforce the CPRA. Other states have also passed comparable legislation, with unique compliance requirements relevant to our business. For example, Virginia, Colorado, Connecticut, and Utah have all passed data privacy laws that went into effect in 2023, which may impose obligations similar to or more stringent than those we may face under other data protection laws. Additionally, the Federal Trade Commission and many state attorneys general are interpreting federal and state consumer protection laws to impose standards for the online collection, use, dissemination and security of data. Compliance with these laws and any newly enacted privacy and data security laws or regulations may be challenging and cost- and time-intensive, and may require us to modify our data processing practices and policies and to incur substantial costs and potential liability in an effort to comply with such legislation.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we are subject to an increasing number of laws, regulations and industry standards that apply to data privacy and security. In Canada, we are subject to the Personal Information Protection and Electronic Documents Act, which governs the collection, use and disclosure of Canadian residents’ personal information in the course of commercial activities. In Australia, we are also subject to, among other laws, Australia’s “Privacy Act 1988” and Australian Privacy Principles (“APPs”), which require us to, among other things: (a) establish a governance framework for managing privacy and data protection; (b) give individuals the option of not identifying themselves or using a pseudonym (unless certain exceptions apply); (c) destroy or de-identify unsolicited personal information that was not obtained for a purpose reasonably necessary or directly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In the EEA, we are subject to the GDPR and in the United Kingdom, we are subject to the United Kingdom data protection regime consisting primarily of the UK GDPR and the UK Data Protection Act 2018, in each case in relation to our collection, control, processing, sharing, disclosure and other use of data relating to an identifiable living individual (personal data). The GDPR, and national implementing legislation in EEA member states and the United Kingdom, imposes a strict data protection compliance regime, grants new rights for data subjects in regard to their personal data (including the right to be “forgotten” and the right to data portability) and enhances current rights (e.g., data subject access requests).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European Union rules with respect to cross-border transfers of personal data out of the EEA and the United Kingdom. After years of uncertainty following the July 16, 2020 decision of the Court of Justice of the European Union invalidating the EU-U.S. Privacy Shield Framework (the “Privacy Shield”), on July 10, 2023 the European Commission adopted its adequacy decision for the new EU-U.S. Data Privacy Framework (“DPF”). The DPF creates a path forward for personal data to be transferred from the EU to the United States for U.S. entities that have self-certified with the U.S. Department of Commerce.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evolving EU and U.K. privacy laws on cookies and e-marketing. In the EU and the U.K., regulators are increasingly focusing on compliance with current national laws that implement the ePrivacy Directive. The ePrivacy Directive may be replaced by an EU regulation known as the ePrivacy Regulation that will significantly increase fines for non-compliance. In the EU and the U.K., informed consent is required for the placement of certain cookies or similar technologies on a user’s device and for direct electronic marketing and (under the UK GDPR and the GDPR) valid consent is tightly defined, including, a prohibition on pre-checked consents and, in the context of cookies, a requirement to obtain separate consents for each type of cookie or similar technology. While the text of the ePrivacy Regulation is still under development, a December 2021 European court decision and regulators’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 Furthermore, the EU Artificial Intelligence Act, which was proposed on April 21, 2021 by the European Commission and aims to introduce a common regulatory and legal framework for AI, is expected to pass in the coming months. The EU Artificial Intelligence Act would regulate AI providers and entities making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use of AI tools in a professional capacity, and may require the implementation of additional quality assurance controls and measures to be reviewed and approved by regulatory submissions of our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put in efforts to comply with these regulations, the uncertainty surrounding enforcement and changing privacy landscapes could change our compliance status. Similarly, there are a number of legislative proposals in the European Union, the United States, at both the federal and state level, as well as other jurisdictions that could impose new obligations or limitations in areas affecting our business.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The impact of these laws and regulations may disproportionately affect our business in comparison to our peers in the technology sector that have greater resources. Even though we communicate with lawmakers and regulators in countries and regions in which we conduct business, and despite having a dedicated policy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could be involved in legal disputes that are expensive and time consuming, and, if resolved adversely, could harm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involved in, and may in the future be involved in, actual and threatened legal proceedings, claims, investigations and government inquiries arising in the ordinary course of our business, including intellectual property, data privacy, cybersecurity,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obligations associated with operating as a public company require significant resources and management attention and have, and will continue to, cause us to incur additional expenses, which will adversely affect our profitability.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as a public company has and is expected to continue to increase our expenses as a result of the additional accounting, legal and various other additional expenses associated with operating as a public company and complying with public company disclosure obligations. We are required to comply with certain requirements of the Exchange Act, the Sarbanes-Oxley Act, the Dodd-Frank Wall Street Reform and Consumer Protection Act of 2010, the listing requirements of the NYSE and other applicable securities rules and regulations. The Exchange Act requires, among other things, that we file annual, quarterly, and current reports with respect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business and operating results with the SEC. We are also required to ensure that we have the ability to prepare financial statements that are fully compliant with all SEC reporting requirements on a timely basis. Compliance with these rules and regulations has increased, and will continue to increase, our legal and financial compliance costs, make some activities more difficult, time-consuming or costly and increase demand on our systems and resources. As a public company, we have and will continue to, among other things: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prepare and distribute periodic public reports and other stockholder communications in compliance with our obligations under the federal securities laws;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create or expand the roles and duties of our Board of Directors and committees of the Board of Directors;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institute more comprehensive financial reporting and disclosure compliance functions;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establish new and enhance existing internal policies, including those relating to disclosure controls and procedures.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changes, and the additional involvement of accountants and legal advisors, will require a significant commitment of additional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ambiguities related to practice, regulatory authorities may initiate legal proceedings against us, and our business may be harmed. Moreover, the cost of our directors’ and officers’ insurance coverage has increased as a public company.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Failure to maintain effective systems of internal controls and disclosure controls could have a material adverse effect on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and expect to continue to incur significant expenses and devote substantial management effort toward ensuring compliance with the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obligated to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our intellectual property, the value of our brands and other intangible assets may be diminished, and our business, operating results, and financial condition may be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Confidentiality agreements with employees and others may not adequately prevent disclosure of trade secrets and proprietary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Third parties may claim that our platform infringes their intellectual property rights and this may create liability for us or otherwise adversely affect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claim that the Nextdoor platform infringes their intellectual property rights, and such claims may result in legal claims against us and our technology partners and customers. These claims may damage our brand and reputation and create liability for us. We expect the number of such claims to increase as the functionality of our platform overlaps with that of other products and services, and as the volume of issued software patents and patent applications continues to increase.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use of “open source” software could subject us to possible litigation or could prevent us from offering products that include open source software or require us to obtain licenses on unfavorable terms.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 or using the open source software, or that we license such modifications or derivative works under the terms of the particular open source license. From time to time, companies that use third-party open source software have also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license technology from third parties, and our inability to maintain those licenses could harm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As a result, our business, operating results and financial condition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price of our Class A common stock has been and may continue to be volatile.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actual or anticipated fluctuations in our user growth, retention, engagement, revenue, or other operating results;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developments involving our competitors;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variations between our actual operating results and the expectations of securities analysts, investors, and the financial community;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actual or anticipated fluctuations in our quarterly or annual operating results;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forward-looking financial or operating information we may provide to the public or securities analysts, any changes in this information, or our failure to meet expectations based on this information;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publication of research reports by securities analysts about us, our competitors or our industry;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public’s reaction to our press releases, our other public announcements and our filings with the SEC;</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additional shares of our Class A common stock being sold into the market by us or our existing stockholders, or the anticipation of such sales, or if existing stockholders subject to a lock-up sell shares into the market when applicable “lock-up” periods end;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additions and departures of key personnel;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commencement of, or involvement in, litigation involving us;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volume of shares of our Class A common stock available for public sale;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announcements by us or our competitors of significant products or features, technical innovations, acquisitions, strategic partnerships, joint ventures, or capital commitments;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announcements by us or estimates by third parties of actual or anticipated changes in the size of our user base or the level of user engagement;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operating performance and stock market valuations of technology companies in our industry, including our partners and competitors;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impact of interest rate increases on the overall stock market and the market for technology company stocks;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price and volume fluctuations in the overall stock market, including as a result of trends in the economy as a whole;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developments in new legislation and pending lawsuits or regulatory actions, including interim or final rulings by judicial or regulatory bodies;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events or factors, including those resulting from recessions, rising inflation, changing interest rates, local and national elections, actual or perceived instability in the global banking system, international currency fluctuations, corruption, political instability and acts of war or terrorism, such as the war in Ukraine and the Israel-Hamas war.</w:t>
      </w:r>
    </w:p>
    <w:p>
      <w:pPr>
        <w:pStyle w:val="TextBody"/>
        <w:bidi w:val="0"/>
        <w:spacing w:before="0" w:after="0"/>
        <w:ind w:left="0" w:right="0" w:firstLine="36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may adversely affect the trading market for our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Certain stock index providers limit the eligibility of public companies with multiple classes of shares of common stock from inclusion in their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has the effect of concentrating voting power with our management and other existing stockholders, which will limit your ability to influence the outcome of important transactions, including a change in control.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December 31, 2023.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do not intend to pay cash dividends for the foreseeable future.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intend to retain our future earnings, if any, to finance the further development and expansion of our business, as well as to fund our Share Repurchase Program,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analysts do not publish research about our business or if they publish inaccurate or unfavorable research, our stock price and trading volume could decline.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 stock price and trading volume may decline. Similar results may occur if one or more of these analysts stop covering us in the future or fail to publish reports on us regularly.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be subject to securities litigation, which is expensive and could divert management attention.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Future resales of our Class A common stock may cause the market price of our securities to drop significantly, even if our business is doing well.</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shares of our Class A common stock in the public market could occur at any time. These sales, or the perception in the market that the holders of a large number of our Class A common stock intend to sell shares, could reduce the market price of our Class A common stock. As of December 31, 2023, we had 186,415,075 shares of our Class A common stock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filed a registration statement related to the offer and sale from time to time by the selling securityholders named in the prospectus that forms a part of the registration statement of up to 206,159,498 shares of our Class A common stock, which registration statement has been declared effective by the SEC. To the extent shares are sold into the market pursuant to a registration statement that has been declared effective by the SEC, under Rule 144 or otherwise, particularly in substantial quantities, the market price of our Class A common stock could decline.</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in our Amended and Restated Certificate of Incorporation (the “Certificate of Incorporation”) and our Amended and Restated Bylaws (the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provide that our Board of Directors is classified into three classes of directors with staggered three-year terms;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permit our Board of Directors to establish the number of directors and fill any vacancies and newly created directorships;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require super-majority voting to amend some provisions in our Certificate of Incorporation and Bylaws;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authorize the issuance of “blank check” preferred stock that our Board of Directors could use to implement a stockholder rights plan;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provide that only our chairperson of the Board of Directors, our chief executive officer, the lead independent director or a majority of our Board of Directors will be authorized to call a special meeting of stockholders;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eliminate the ability of our stockholders to call special meetings of stockholders;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do not provide for cumulative voting;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provide that directors may only be removed “for cause” and only with the approval of two-thirds of our stockholders;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prohibit stockholder action by written consent, which requires all stockholder actions to be taken at a meeting of our stockholders;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provide that our Board of Directors is expressly authorized to make, alter, or repeal our Bylaws;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Certificate of Incorporation contains exclusive forum provisions for certain claims, which may limit our stockholders’ ability to obtain a favorable judicial forum for disputes with us or our directors, officers, or employees.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stockholders will not be deemed to have waived our compliance with the federal securities laws and the regulations promulgated thereunder.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 Management and Strategy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policies, standards, processes and practices are based on applicable laws and regulations and informed by industry standards and industry-recognized practices. Our strategy to assess, identify, and manage material cybersecurity risks is through a comprehensive, cross-functional approach that is focused on preserving the confidentiality, security, and availability of our information systems and data. We implement security measures and processes to identify, prevent, and mitigate cybersecurity threats and to effectively respond to cybersecurity incidents when they occur. Our cyber risk management includes: (1) enterprise risk management to identify top cybersecurity risks; (2) vulnerability management to identify software vulnerabilities and risks related to compute infrastructure; (3) vendor risk management to identify risks related to third parties and business partners, which includes pre-engagement review, use of contractual security provisions, and continued monitoring, as applicable; (4) privacy risk management to identify privacy risks in our product and platforms and ensure regulatory compliance; (5) security monitoring to analyze and assess threat activity in real time; and (6) security incident response to investigate, respond to, and mitigate cyber threats. We regularly engage third parties to identify risks in our underlying software and infrastructure, to provide threat intelligence, and to assist in triaging, identifying, and responding to cyber threats.</w:t>
      </w:r>
    </w:p>
    <w:p>
      <w:pPr>
        <w:pStyle w:val="TextBody"/>
        <w:bidi w:val="0"/>
        <w:spacing w:lineRule="auto" w:line="288" w:before="0" w:after="180"/>
        <w:jc w:val="both"/>
        <w:rPr/>
      </w:pPr>
      <w:r>
        <w:rPr>
          <w:rFonts w:ascii="Times New Roman;sans-serif" w:hAnsi="Times New Roman;sans-serif"/>
          <w:b w:val="false"/>
          <w:color w:val="000000"/>
          <w:sz w:val="20"/>
        </w:rPr>
        <w:t xml:space="preserve">In 2023,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undetected cybersecurity incidents. For more information regarding cybersecurity risks that we face and potential impacts on our business related thereto, see the section entitled </w:t>
      </w:r>
      <w:r>
        <w:rPr>
          <w:color w:val="000000"/>
        </w:rPr>
        <w:t>“</w:t>
      </w:r>
      <w:r>
        <w:rPr>
          <w:rFonts w:ascii="Times New Roman;sans-serif" w:hAnsi="Times New Roman;sans-serif"/>
          <w:b w:val="false"/>
          <w:i/>
          <w:color w:val="000000"/>
          <w:sz w:val="20"/>
        </w:rPr>
        <w:t>Risk Factors — Security breaches, including improper access to or disclosure of our data or our neighbors’ data, or other hacking and phishing attacks on our or third-party systems, could harm our reputation and adversely affect our business.”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Governance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maintains oversight of risks from cybersecurity threats by meeting with and receiving periodic updates from our Chief Information Security Officer (“CISO”), via our Audit &amp; Risk Committee, which is assigned oversight of cybersecurity risks. Our Audit &amp; Risk Committee is responsible for ensuring that management has processes in place designed to identify and evaluate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risks to which the company is exposed and to implement processes and programs to manage cybersecurity risks and mitigate cybersecurity incidents.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CISO, has over 20 years of experience in the technology and cybersecurity, including senior leadership roles in software security, penetration testing, and incident response. Our CISO attained and maintains multiple security certifications including CISSP (Certified Information Security Professional). Prior to Nextdoor, our CISO led Software Security at the Federal Reserve’s National Incident Response Team.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2. Properties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headquartered in San Francisco, California. As of December 31, 2023, we maintained offices in various locations in the United States and internationally, including approximately 115,770 square feet for our corporate headquarters. All of our facilities are leased. We believe that our current facilities are adequate to meet our current needs and that, should it be needed, suitable additional or alternative space will be available to accommodate our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or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Market Information for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began trading on the New York Stock Exchange under the symbol “KIND” on November 8, 2021. Prior to that date, there was no public trading market for our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is not listed or traded on any stock exchange.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23, 2024, there were 72 stockholders of record of our Class A common stock and 318 stockholders of record of our Class B common stock. The actual number of holders of our Class A and Class B common stock is greater than the number of record holders and includes stockholders who are beneficial owners, but whose shares are held in street name by brokers or other nominees. The number of holders of record presented here also does not include stockholders whose shares may be held in trust by other entities.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nor paid any cash dividends on our capital stock and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 In addition, our ability to pay dividends may be limited by covenants of any future indebtedness we incur.</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Proxy Statement (the “Proxy Statement”) for the 2024 Annual Meeting of Stockholders, to be filed with the SEC within 120 days of the year ended December 31, 2023, and is incorporated herein by reference.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Sales of Unregistered Securities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Use of Proceeds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26, 2021, KVSB consummated its initial public offering of 40,000,000 public shares. On March 30, 2021 in connection with the underwriters’ election to partially exercise their over-allotment option, KVSB sold an additional 1,634,412 public shares to cover over-allotments. The public shares were sold at a price of $10.00 per share, generating total gross proceeds of $416.3 million from the initial public offering and partial exercise of the underwriters’ over-allotment option. The securities sold in the offering were registered under the Securities Act on a registration statement on Form S-1 (No. 333-253098). The registration statement became effective on March 23, 2021.</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Simultaneously with the consummation of the initial public offering, KVSB consummated a private placement of 1,100,000 private placement shares, at a price of $10.00 per share, to </w:t>
      </w:r>
      <w:r>
        <w:rPr>
          <w:rFonts w:ascii="Times New Roman;sans-serif" w:hAnsi="Times New Roman;sans-serif"/>
          <w:b w:val="false"/>
          <w:color w:val="000000"/>
          <w:sz w:val="20"/>
          <w:shd w:fill="FFFFFF" w:val="clear"/>
        </w:rPr>
        <w:t>Khosla Ventures SPAC Sponsor II LLC (the “Sponsor”)</w:t>
      </w:r>
      <w:r>
        <w:rPr>
          <w:rFonts w:ascii="Times New Roman;sans-serif" w:hAnsi="Times New Roman;sans-serif"/>
          <w:b w:val="false"/>
          <w:color w:val="000000"/>
          <w:sz w:val="20"/>
        </w:rPr>
        <w:t>, generating gross proceeds to KVSB of $11.0 million. In connection with the underwriters’ partial exercise of their over-allotment option that closed on March 30, 2021, KVSB also consummated the sale of an additional 32,688 private placement shares to the Sponsor, generating gross proceeds of $0.3 million. Such securities were issued pursuant to the exemption from registration contained in Section 4(a)(2) of the Securities Act.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KVSB incurred $23.6 million in offering costs for its initial public offering including $14.6 million of deferred underwriting fees, $8.3 million of underwriting discounts and commissions, and $0.7 million of other costs. Following the initial public offering, the partial exercise of the over-allotment option, and the sale of the private placement shares, a total of $416.3 million was deposited into the trust account for the purpose of effecting an initial business combination. As of November 5, 2021, the record date of the Business Combination, there was $416.4 million held in the trust account. After deducting payments to existing KVSB shareholders of $12.2 million in connection with their exercise of redemption rights, the payment of the $14.6 million of deferred underwriting fees, and $28.9 million of expenses in connection with the Business Combination paid from the trust account, the remainder of the trust account is now held on our balance sheet to fund our operations and continued growth.</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Issuer Purchases of Equity Securities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2022, our Board of Directors authorized and approved the Share Repurchase Program to repurchase up to $100.0 million in aggregate of our Class A common stock, with the authorization to expire on June 30, 2024. We did not repurchase or retire any shares of Class A common stock during the year ended December 31, 2023. As of December 31, 2023, we had $22.8 million available for future share repurchases under the Share Repurchase Program. On February 21, 2024, the Company’s Board of Directors authorized and approved an increase of $150.0 million to the Share Repurchase Program and extended the expiration date to March 31, 2026.</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Nextdoor Holdings, Inc. under the Securities Act of 1933, as amended (the “Securities Act”), or the Exchange 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shows a comparison of the cumulative total return for our Class A common stock, the Standard &amp; Poor's 500 Stock Index (“S&amp;P 500 Index”) and the Dow Jones Internet Composite Index (“DJ Internet Composite”). An investment of $100 and reinvestment of all dividends is assumed to have been made in our Class A common stock and in each index on November 8, 2021, the date our Class A common stock began trading on the New York Stock Exchange, and its relative performance is tracked through December 31, 2023. The stock price performance of the following graph is not necessarily indicative of future stock price performance.</w:t>
      </w:r>
    </w:p>
    <w:p>
      <w:pPr>
        <w:pStyle w:val="TextBody"/>
        <w:bidi w:val="0"/>
        <w:spacing w:before="0" w:after="180"/>
        <w:jc w:val="center"/>
        <w:rPr/>
      </w:pPr>
      <w:r>
        <w:rPr/>
        <w:drawing>
          <wp:inline distT="0" distB="0" distL="0" distR="0">
            <wp:extent cx="6781800" cy="3619500"/>
            <wp:effectExtent l="0" t="0" r="0" b="0"/>
            <wp:docPr id="4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 descr=""/>
                    <pic:cNvPicPr>
                      <a:picLocks noChangeAspect="1" noChangeArrowheads="1"/>
                    </pic:cNvPicPr>
                  </pic:nvPicPr>
                  <pic:blipFill>
                    <a:blip r:embed="rId4"/>
                    <a:stretch>
                      <a:fillRect/>
                    </a:stretch>
                  </pic:blipFill>
                  <pic:spPr bwMode="auto">
                    <a:xfrm>
                      <a:off x="0" y="0"/>
                      <a:ext cx="6781800" cy="36195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76"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which our management believes is relevant to an assessment and understanding of our consolidated results of operations and financial condition. The discussion should be read together with our consolidated financial statements and related notes that are included elsewhere in this Annual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Annual Report.</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Discussions regarding our financial condition and results of operations for the year ended December 31, 2023 compared to the year ended December 31, 2022 are presented below. Discussions regarding our financial condition and results of operations for the year ended December 31, 2022 compared to the year ended December 31, 2021 are located in Part II, Item 7, “Management’s Discussion and Analysis of Financial Condition and Results of Operations” of our Annual Report on Form 10-K for the year ended December 31, 2022, filed with the SEC on February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Nextdoor, our purpose is to cultivate a kinder world where everyone has a neighborhood they can rely on. Neighbors around the world turn to Nextdoor to receive trusted information, give and get help, get things done, and build real world connections with those nearby — neighbors, businesses, and public services. By fostering these connections, both online and in the real world, Nextdoor builds stronger, more vibrant, and more resilient neighborhoods. As of December 31, 2023, Nextdoor was in more than 325,000 neighborhoods around the world and in 1 in 3 households in the United States. As of the end of the fourth quarter of 2023, Nextdoor had 88 million global Verified Neighbors.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Key business metrics for the three months ended December 31, 2023 are as follows: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Weekly active users (“WAUs”) were 41.8 million, an increase of 5% compared to the three months ended December 31, 2022.</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Average revenue per weekly active user (“ARPU”) was $1.33 and remained flat compared to the three months ended December 31, 2022.</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Results as of and for the year ended December 31, 2023 are as follows: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Revenue was $218.3 million, an increase of 3% compared to 2022.</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Total costs and expenses were $390.6 million, an increase of 9% compared to 2022, including $11.1 million of restructuring charges.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Net loss increased 7% to $147.8 million in 2023, compared to $137.9 million in 2022.</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Adjusted EBITDA loss decreased 2% to $74.1 million in 2023, compared to $75.5 million in 2022.</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Cash, cash equivalents, and marketable securities were $531.1 million.</w:t>
      </w:r>
    </w:p>
    <w:p>
      <w:pPr>
        <w:pStyle w:val="TextBody"/>
        <w:bidi w:val="0"/>
        <w:spacing w:lineRule="auto" w:line="276" w:before="0" w:after="180"/>
        <w:jc w:val="both"/>
        <w:rPr/>
      </w:pPr>
      <w:r>
        <w:rPr>
          <w:rFonts w:ascii="Times New Roman;sans-serif" w:hAnsi="Times New Roman;sans-serif"/>
          <w:b w:val="false"/>
          <w:color w:val="000000"/>
          <w:sz w:val="20"/>
        </w:rPr>
        <w:t>See “</w:t>
      </w:r>
      <w:r>
        <w:rPr>
          <w:rFonts w:ascii="Times New Roman;sans-serif" w:hAnsi="Times New Roman;sans-serif"/>
          <w:b w:val="false"/>
          <w:i/>
          <w:color w:val="000000"/>
          <w:sz w:val="20"/>
        </w:rPr>
        <w:t>Management’s Discussion and Analysis of Financial Condition and Results of Operations—Non-GAAP Financial Measure</w:t>
      </w:r>
      <w:r>
        <w:rPr>
          <w:color w:val="000000"/>
        </w:rPr>
        <w:t xml:space="preserve">” </w:t>
      </w:r>
      <w:r>
        <w:rPr>
          <w:rFonts w:ascii="Times New Roman;sans-serif" w:hAnsi="Times New Roman;sans-serif"/>
          <w:b w:val="false"/>
          <w:color w:val="000000"/>
          <w:sz w:val="20"/>
        </w:rPr>
        <w:t>below for more information and for a reconciliation of net loss, the most directly comparable financial measure calculated and presented in accordance with U.S. generally accepted accounting principles (“GAAP”), to Adjusted EBITDA.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Restructuring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2023, we announced a cost reduction plan (the “Cost Reduction Plan”) intended to right size the business and align the workforce and other expenses with our near term revenue expectations and long term business priorities. The Cost Reduction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Plan included a reduction of full-time employee headcount by approximately 25%. The execution of the Cost Reduction Plan was substantially complete by the end of the fourth quarter of 2023.</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restructuring charges in the consolidated statements of operations for the year ended December 31, 2023 (in thousands):</w:t>
      </w:r>
    </w:p>
    <w:tbl>
      <w:tblPr>
        <w:tblW w:w="9149" w:type="dxa"/>
        <w:jc w:val="left"/>
        <w:tblInd w:w="0" w:type="dxa"/>
        <w:tblLayout w:type="fixed"/>
        <w:tblCellMar>
          <w:top w:w="28" w:type="dxa"/>
          <w:left w:w="28" w:type="dxa"/>
          <w:bottom w:w="28" w:type="dxa"/>
          <w:right w:w="28" w:type="dxa"/>
        </w:tblCellMar>
      </w:tblPr>
      <w:tblGrid>
        <w:gridCol w:w="837"/>
        <w:gridCol w:w="734"/>
        <w:gridCol w:w="738"/>
        <w:gridCol w:w="541"/>
        <w:gridCol w:w="1580"/>
        <w:gridCol w:w="279"/>
        <w:gridCol w:w="109"/>
        <w:gridCol w:w="109"/>
        <w:gridCol w:w="109"/>
        <w:gridCol w:w="608"/>
        <w:gridCol w:w="1775"/>
        <w:gridCol w:w="317"/>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 and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9,888 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14 to our consolidated financial statements for further information on our restructuring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measures presented in our consolidated financial statements, we use the following key business metrics to evaluate our business, measure our performance, develop financial forecasts, and make strategic decisions: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Weekly Active Users (WAUs)</w:t>
      </w:r>
    </w:p>
    <w:p>
      <w:pPr>
        <w:pStyle w:val="TextBody"/>
        <w:bidi w:val="0"/>
        <w:spacing w:lineRule="auto" w:line="276" w:before="0" w:after="180"/>
        <w:jc w:val="both"/>
        <w:rPr/>
      </w:pPr>
      <w:r>
        <w:rPr>
          <w:rFonts w:ascii="Times New Roman;sans-serif" w:hAnsi="Times New Roman;sans-serif"/>
          <w:b w:val="false"/>
          <w:color w:val="000000"/>
          <w:sz w:val="20"/>
        </w:rPr>
        <w:t>We define a Weekly Active User (“WAU”) as a Nextdoor user who opens our application, logs on to our website, or engages with an email with monetizable content at least once during a defined 7-day period.</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We calculate average WAUs for a particular period by calculating the count of unique users, on a rolling basis for the past seven days, for each day of that period, and dividing that sum by the number of days in that period. We assess the health of our business by measuring WAUs because we believe that weekly usage best captures the cadence at which we expect a healthy user base to engage with, and derive the most utility from our platform, and by extension their neighborhood. We also present WAUs by geography because we are more advanced in engagement and monetization in the United States than internationally. </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September 2021, Apple introduced changes to the Apple email client available on its operating systems, which limit our ability to measure user engagement with emails containing monetizable content for users that use the Apple email client. The introduction of these changes impacts our ability to accurately calculate a portion of WAUs for periods following the adoption of the updated operating systems. Following this introduction, we use estimates for these user engagement numbers based on historical data sets, as well as data from users who engage with Nextdoor’s monetizable content on email clients other than Apple email.</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WAU for the three months ended December 31, 2023 and 2022 was 41.8 million and 40.0 million, respectively, which represents 5% growth period over period.</w:t>
      </w:r>
    </w:p>
    <w:p>
      <w:pPr>
        <w:pStyle w:val="TextBody"/>
        <w:bidi w:val="0"/>
        <w:spacing w:lineRule="auto" w:line="288" w:before="0" w:after="18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Emails with monetizable content are emails with a primary purpose to regularly inform users about topics that are relevant to them, and are therefore appropriate for delivering ads to users. These emails comprise almost all of the emails that we send our users and include, but are not limited to, new, trending and top posts, weekly and anytime digests, welcome emails and urgent and emergency alerts. We earn revenue from delivery of ad impressions in emails with monetizable content on either a cost per thousand (“CPM”) basis, a cost per click (“CPC”) basis, or on a fixed-fee basis. While we have the ability to serve ads in all emails with monetizable content, we currently only do so on a portion of the total.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Quarterly Average Weekly Active Users</w:t>
      </w:r>
    </w:p>
    <w:p>
      <w:pPr>
        <w:pStyle w:val="TextBody"/>
        <w:bidi w:val="0"/>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(in millions)</w:t>
      </w:r>
    </w:p>
    <w:p>
      <w:pPr>
        <w:pStyle w:val="TextBody"/>
        <w:bidi w:val="0"/>
        <w:spacing w:before="0" w:after="180"/>
        <w:jc w:val="center"/>
        <w:rPr/>
      </w:pPr>
      <w:r>
        <w:rPr/>
        <w:drawing>
          <wp:inline distT="0" distB="0" distL="0" distR="0">
            <wp:extent cx="5048250" cy="3143250"/>
            <wp:effectExtent l="0" t="0" r="0" b="0"/>
            <wp:docPr id="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 descr=""/>
                    <pic:cNvPicPr>
                      <a:picLocks noChangeAspect="1" noChangeArrowheads="1"/>
                    </pic:cNvPicPr>
                  </pic:nvPicPr>
                  <pic:blipFill>
                    <a:blip r:embed="rId5"/>
                    <a:stretch>
                      <a:fillRect/>
                    </a:stretch>
                  </pic:blipFill>
                  <pic:spPr bwMode="auto">
                    <a:xfrm>
                      <a:off x="0" y="0"/>
                      <a:ext cx="5048250" cy="3143250"/>
                    </a:xfrm>
                    <a:prstGeom prst="rect">
                      <a:avLst/>
                    </a:prstGeom>
                  </pic:spPr>
                </pic:pic>
              </a:graphicData>
            </a:graphic>
          </wp:inline>
        </w:drawing>
      </w:r>
    </w:p>
    <w:p>
      <w:pPr>
        <w:pStyle w:val="TextBody"/>
        <w:bidi w:val="0"/>
        <w:spacing w:lineRule="auto" w:line="288" w:before="0" w:after="180"/>
        <w:jc w:val="center"/>
        <w:rPr/>
      </w:pPr>
      <w:r>
        <w:rPr/>
        <w:drawing>
          <wp:inline distT="0" distB="0" distL="0" distR="0">
            <wp:extent cx="2952750" cy="3048000"/>
            <wp:effectExtent l="0" t="0" r="0" b="0"/>
            <wp:docPr id="5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 descr=""/>
                    <pic:cNvPicPr>
                      <a:picLocks noChangeAspect="1" noChangeArrowheads="1"/>
                    </pic:cNvPicPr>
                  </pic:nvPicPr>
                  <pic:blipFill>
                    <a:blip r:embed="rId6"/>
                    <a:stretch>
                      <a:fillRect/>
                    </a:stretch>
                  </pic:blipFill>
                  <pic:spPr bwMode="auto">
                    <a:xfrm>
                      <a:off x="0" y="0"/>
                      <a:ext cx="2952750" cy="3048000"/>
                    </a:xfrm>
                    <a:prstGeom prst="rect">
                      <a:avLst/>
                    </a:prstGeom>
                  </pic:spPr>
                </pic:pic>
              </a:graphicData>
            </a:graphic>
          </wp:inline>
        </w:drawing>
      </w:r>
      <w:r>
        <w:rPr>
          <w:color w:val="000000"/>
        </w:rPr>
        <w:t xml:space="preserve"> </w:t>
      </w:r>
      <w:r>
        <w:rPr/>
        <w:drawing>
          <wp:inline distT="0" distB="0" distL="0" distR="0">
            <wp:extent cx="2952750" cy="3048000"/>
            <wp:effectExtent l="0" t="0" r="0" b="0"/>
            <wp:docPr id="5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6" descr=""/>
                    <pic:cNvPicPr>
                      <a:picLocks noChangeAspect="1" noChangeArrowheads="1"/>
                    </pic:cNvPicPr>
                  </pic:nvPicPr>
                  <pic:blipFill>
                    <a:blip r:embed="rId7"/>
                    <a:stretch>
                      <a:fillRect/>
                    </a:stretch>
                  </pic:blipFill>
                  <pic:spPr bwMode="auto">
                    <a:xfrm>
                      <a:off x="0" y="0"/>
                      <a:ext cx="2952750" cy="3048000"/>
                    </a:xfrm>
                    <a:prstGeom prst="rect">
                      <a:avLst/>
                    </a:prstGeom>
                  </pic:spPr>
                </pic:pic>
              </a:graphicData>
            </a:graphic>
          </wp:inline>
        </w:drawing>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Average Revenue per Weekly Active User (ARPU) </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primarily from advertising. We measure monetization of our platform through our ARPU metric. We define ARPU as our total revenue in that geography during a period divided by the average of the number of WAUs in that geography during the same period. We present ARPU on a U.S. and international basis because we are more advanced in our monetization in the United States than internationally.</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ARPU is higher primarily due to our decision to focus our earliest monetization efforts there, the size and maturity of our audience in the United States, as well the size of the U.S. advertising market. For purposes of calculating ARPU, revenue by user geography is apportioned to each region based on a determination of the location of the account where the revenue-generating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4"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180"/>
        <w:jc w:val="both"/>
        <w:rPr/>
      </w:pPr>
      <w:r>
        <w:rPr>
          <w:rFonts w:ascii="Times New Roman;sans-serif" w:hAnsi="Times New Roman;sans-serif"/>
          <w:b w:val="false"/>
          <w:color w:val="000000"/>
          <w:sz w:val="20"/>
        </w:rPr>
        <w:t xml:space="preserve">activities occur. </w:t>
      </w:r>
      <w:r>
        <w:rPr>
          <w:rFonts w:ascii="Times New Roman;sans-serif" w:hAnsi="Times New Roman;sans-serif"/>
          <w:b w:val="false"/>
          <w:color w:val="000000"/>
          <w:sz w:val="20"/>
          <w:shd w:fill="FFFFFF" w:val="clear"/>
        </w:rPr>
        <w:t xml:space="preserve">Our ARPU for the years ended December 31, 2023 and </w:t>
      </w:r>
      <w:r>
        <w:rPr>
          <w:rFonts w:ascii="Times New Roman;sans-serif" w:hAnsi="Times New Roman;sans-serif"/>
          <w:b w:val="false"/>
          <w:color w:val="000000"/>
          <w:sz w:val="20"/>
        </w:rPr>
        <w:t>2022</w:t>
      </w:r>
      <w:r>
        <w:rPr>
          <w:color w:val="000000"/>
          <w:shd w:fill="FFFFFF" w:val="clear"/>
        </w:rPr>
        <w:t xml:space="preserve"> </w:t>
      </w:r>
      <w:r>
        <w:rPr>
          <w:rFonts w:ascii="Times New Roman;sans-serif" w:hAnsi="Times New Roman;sans-serif"/>
          <w:b w:val="false"/>
          <w:color w:val="000000"/>
          <w:sz w:val="20"/>
          <w:shd w:fill="FFFFFF" w:val="clear"/>
        </w:rPr>
        <w:t>was $5.25 and $5.60, respectively, with the decrease due to stronger WAU growth relative to revenue growth.</w: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Quarterly ARPU</w:t>
      </w:r>
    </w:p>
    <w:p>
      <w:pPr>
        <w:pStyle w:val="TextBody"/>
        <w:bidi w:val="0"/>
        <w:spacing w:before="0" w:after="180"/>
        <w:jc w:val="center"/>
        <w:rPr/>
      </w:pPr>
      <w:r>
        <w:rPr/>
        <w:drawing>
          <wp:inline distT="0" distB="0" distL="0" distR="0">
            <wp:extent cx="5048250" cy="3143250"/>
            <wp:effectExtent l="0" t="0" r="0" b="0"/>
            <wp:docPr id="5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7" descr=""/>
                    <pic:cNvPicPr>
                      <a:picLocks noChangeAspect="1" noChangeArrowheads="1"/>
                    </pic:cNvPicPr>
                  </pic:nvPicPr>
                  <pic:blipFill>
                    <a:blip r:embed="rId8"/>
                    <a:stretch>
                      <a:fillRect/>
                    </a:stretch>
                  </pic:blipFill>
                  <pic:spPr bwMode="auto">
                    <a:xfrm>
                      <a:off x="0" y="0"/>
                      <a:ext cx="5048250" cy="3143250"/>
                    </a:xfrm>
                    <a:prstGeom prst="rect">
                      <a:avLst/>
                    </a:prstGeom>
                  </pic:spPr>
                </pic:pic>
              </a:graphicData>
            </a:graphic>
          </wp:inline>
        </w:drawing>
      </w:r>
    </w:p>
    <w:p>
      <w:pPr>
        <w:pStyle w:val="TextBody"/>
        <w:bidi w:val="0"/>
        <w:spacing w:lineRule="auto" w:line="288" w:before="0" w:after="180"/>
        <w:jc w:val="center"/>
        <w:rPr/>
      </w:pPr>
      <w:r>
        <w:rPr/>
        <w:drawing>
          <wp:inline distT="0" distB="0" distL="0" distR="0">
            <wp:extent cx="2952750" cy="3048000"/>
            <wp:effectExtent l="0" t="0" r="0" b="0"/>
            <wp:docPr id="5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8" descr=""/>
                    <pic:cNvPicPr>
                      <a:picLocks noChangeAspect="1" noChangeArrowheads="1"/>
                    </pic:cNvPicPr>
                  </pic:nvPicPr>
                  <pic:blipFill>
                    <a:blip r:embed="rId9"/>
                    <a:stretch>
                      <a:fillRect/>
                    </a:stretch>
                  </pic:blipFill>
                  <pic:spPr bwMode="auto">
                    <a:xfrm>
                      <a:off x="0" y="0"/>
                      <a:ext cx="2952750" cy="3048000"/>
                    </a:xfrm>
                    <a:prstGeom prst="rect">
                      <a:avLst/>
                    </a:prstGeom>
                  </pic:spPr>
                </pic:pic>
              </a:graphicData>
            </a:graphic>
          </wp:inline>
        </w:drawing>
      </w:r>
      <w:r>
        <w:rPr>
          <w:color w:val="000000"/>
        </w:rPr>
        <w:t xml:space="preserve"> </w:t>
      </w:r>
      <w:r>
        <w:rPr/>
        <w:drawing>
          <wp:inline distT="0" distB="0" distL="0" distR="0">
            <wp:extent cx="2952750" cy="3048000"/>
            <wp:effectExtent l="0" t="0" r="0" b="0"/>
            <wp:docPr id="5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9" descr=""/>
                    <pic:cNvPicPr>
                      <a:picLocks noChangeAspect="1" noChangeArrowheads="1"/>
                    </pic:cNvPicPr>
                  </pic:nvPicPr>
                  <pic:blipFill>
                    <a:blip r:embed="rId10"/>
                    <a:stretch>
                      <a:fillRect/>
                    </a:stretch>
                  </pic:blipFill>
                  <pic:spPr bwMode="auto">
                    <a:xfrm>
                      <a:off x="0" y="0"/>
                      <a:ext cx="2952750" cy="30480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bidi w:val="0"/>
        <w:spacing w:lineRule="auto" w:line="288" w:before="0" w:after="180"/>
        <w:jc w:val="both"/>
        <w:rPr/>
      </w:pPr>
      <w:r>
        <w:rPr>
          <w:rFonts w:ascii="Times New Roman;sans-serif" w:hAnsi="Times New Roman;sans-serif"/>
          <w:b w:val="false"/>
          <w:i/>
          <w:color w:val="000000"/>
          <w:sz w:val="20"/>
        </w:rPr>
        <w:t xml:space="preserve">Macroeconomic Conditions. </w:t>
      </w:r>
      <w:r>
        <w:rPr>
          <w:rFonts w:ascii="Times New Roman;sans-serif" w:hAnsi="Times New Roman;sans-serif"/>
          <w:b w:val="false"/>
          <w:color w:val="000000"/>
          <w:sz w:val="20"/>
        </w:rPr>
        <w:t>Macroeconomic conditions, such as inflation, supply chain issues, fluctuations in foreign currency exchange rates, competition from other platforms and other risks and uncertainties have impacted, and all or some of these factors may continue to impact, advertiser demand, user growth, user engagement, and our business, operations and financial results. See "Risk Factors" and "Special Note Regarding Forward-Looking Statements” for additional details.</w:t>
      </w:r>
    </w:p>
    <w:p>
      <w:pPr>
        <w:pStyle w:val="TextBody"/>
        <w:bidi w:val="0"/>
        <w:spacing w:lineRule="auto" w:line="288" w:before="0" w:after="180"/>
        <w:jc w:val="both"/>
        <w:rPr/>
      </w:pPr>
      <w:r>
        <w:rPr>
          <w:rFonts w:ascii="Times New Roman;sans-serif" w:hAnsi="Times New Roman;sans-serif"/>
          <w:b w:val="false"/>
          <w:i/>
          <w:color w:val="000000"/>
          <w:sz w:val="20"/>
        </w:rPr>
        <w:t>Growth in and Engagement of Users.</w:t>
      </w:r>
      <w:r>
        <w:rPr>
          <w:color w:val="000000"/>
        </w:rPr>
        <w:t xml:space="preserve"> </w:t>
      </w:r>
      <w:r>
        <w:rPr>
          <w:rFonts w:ascii="Times New Roman;sans-serif" w:hAnsi="Times New Roman;sans-serif"/>
          <w:b w:val="false"/>
          <w:color w:val="000000"/>
          <w:sz w:val="20"/>
        </w:rPr>
        <w:t xml:space="preserve">We measure growth in, and engagement of, users by tracking WAUs. As the size and engagement of our user base grows, we believe the potential to increase our revenue grows.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8"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face challenges increasing the size and engagement of our user base due to a number of factors including competition, challenges in acquiring and engaging users, or changes in regulations. </w:t>
      </w:r>
    </w:p>
    <w:p>
      <w:pPr>
        <w:pStyle w:val="TextBody"/>
        <w:bidi w:val="0"/>
        <w:spacing w:lineRule="auto" w:line="288" w:before="0" w:after="180"/>
        <w:jc w:val="both"/>
        <w:rPr/>
      </w:pPr>
      <w:r>
        <w:rPr>
          <w:rFonts w:ascii="Times New Roman;sans-serif" w:hAnsi="Times New Roman;sans-serif"/>
          <w:b w:val="false"/>
          <w:i/>
          <w:color w:val="000000"/>
          <w:sz w:val="20"/>
        </w:rPr>
        <w:t>Growth in Monetization</w:t>
      </w:r>
      <w:r>
        <w:rPr>
          <w:rFonts w:ascii="Times New Roman;sans-serif" w:hAnsi="Times New Roman;sans-serif"/>
          <w:b w:val="false"/>
          <w:color w:val="000000"/>
          <w:sz w:val="20"/>
        </w:rPr>
        <w:t>. Monetization trends, which are reflected in our ARPU, are a key factor that affects our revenue and financial results. To increase monetization, we are focused on serving more national brands by efficiently scaling our salesforce, increasing ad agency relationships, and enhancing our self-serve tools for customers of all sizes. We are also focused on increasing our user base and engagement in the United States and internationally, which will increase the opportunities for businesses to advertise on Nextdoor.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many variables that impact ARPU, including the number of ad impressions shown on our platform and the price per ad, which depends on a number of factors including the engagement of our user base, the number and diversity of our customers, seasonality of advertising spend, our customers’ advertising objectives, advertising performance, the effectiveness of our advertising products, our ability to measure that effectiveness for our customer, and the effect of geographic differences on each of these factors.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Due to our decision to focus our earliest monetization efforts in the United States, we have less experience monetizing international markets and therefore may experience challenges scaling and monetizing these markets. The international advertising market is also less mature than the U.S. digital advertising market.</w:t>
      </w:r>
    </w:p>
    <w:p>
      <w:pPr>
        <w:pStyle w:val="TextBody"/>
        <w:bidi w:val="0"/>
        <w:spacing w:lineRule="auto" w:line="288" w:before="0" w:after="180"/>
        <w:jc w:val="both"/>
        <w:rPr/>
      </w:pPr>
      <w:r>
        <w:rPr>
          <w:rFonts w:ascii="Times New Roman;sans-serif" w:hAnsi="Times New Roman;sans-serif"/>
          <w:b w:val="false"/>
          <w:i/>
          <w:color w:val="000000"/>
          <w:sz w:val="20"/>
        </w:rPr>
        <w:t>Investment for Growth.</w:t>
      </w:r>
      <w:r>
        <w:rPr>
          <w:color w:val="000000"/>
        </w:rPr>
        <w:t xml:space="preserve"> </w:t>
      </w:r>
      <w:r>
        <w:rPr>
          <w:rFonts w:ascii="Times New Roman;sans-serif" w:hAnsi="Times New Roman;sans-serif"/>
          <w:b w:val="false"/>
          <w:color w:val="000000"/>
          <w:sz w:val="20"/>
        </w:rPr>
        <w:t>We intend to continue to invest in technology that we believe will enhance user and customer experiences. We also intend to continue to invest in our advertising products, including our proprietary ad platform and first-party and third-party ad measurement tools, as well as our sales team. Our ability to grow our user base, attract new advertisers, increase our revenue, and expand our total addressable market will depend, in part, on our ability to continue innovating.</w:t>
      </w:r>
    </w:p>
    <w:p>
      <w:pPr>
        <w:pStyle w:val="TextBody"/>
        <w:bidi w:val="0"/>
        <w:spacing w:lineRule="auto" w:line="288" w:before="0" w:after="180"/>
        <w:jc w:val="both"/>
        <w:rPr/>
      </w:pPr>
      <w:r>
        <w:rPr>
          <w:rFonts w:ascii="Times New Roman;sans-serif" w:hAnsi="Times New Roman;sans-serif"/>
          <w:b w:val="false"/>
          <w:i/>
          <w:color w:val="000000"/>
          <w:sz w:val="20"/>
        </w:rPr>
        <w:t>International Expansion.</w:t>
      </w:r>
      <w:r>
        <w:rPr>
          <w:color w:val="000000"/>
        </w:rPr>
        <w:t xml:space="preserve"> </w:t>
      </w:r>
      <w:r>
        <w:rPr>
          <w:rFonts w:ascii="Times New Roman;sans-serif" w:hAnsi="Times New Roman;sans-serif"/>
          <w:b w:val="false"/>
          <w:color w:val="000000"/>
          <w:sz w:val="20"/>
        </w:rPr>
        <w:t>Our early proof points from launches in certain countries outside of the United States show user engagement across international markets on par with the U.S. market. We believe that increased international monetization presents an important opportunity for long-term growth, and we are working on localizing our product and expanding our operations to better serve our international user and customer base. We are still in the early stages of global expansion and will continue to evaluate expansion opportunities in our current international markets, and also in additional geographies. Over time, we believe that international WAUs can grow rapidly. We also believe that we can increase the monetization of users in international markets and that we can increase long-term ARPU for international WAUs from current levels. While we expect to grow ARPU for international WAUs, we still expect this to be lower than ARPU for U.S. WAUs. We expect that our international expansion will require significant investment. Although our investments in international expansion may adversely affect our operating results in the near term, we believe that they will contribute to our long-term growth. If our near-term investments do not lead to increased international WAUs and ARPU and expected revenue growth over time, we may not achieve or, if achieved, maintain profitability and our growth rates may slow or decline.</w:t>
      </w:r>
    </w:p>
    <w:p>
      <w:pPr>
        <w:pStyle w:val="TextBody"/>
        <w:bidi w:val="0"/>
        <w:spacing w:lineRule="auto" w:line="288" w:before="0" w:after="180"/>
        <w:jc w:val="both"/>
        <w:rPr/>
      </w:pPr>
      <w:r>
        <w:rPr>
          <w:rFonts w:ascii="Times New Roman;sans-serif" w:hAnsi="Times New Roman;sans-serif"/>
          <w:b w:val="false"/>
          <w:i/>
          <w:color w:val="000000"/>
          <w:sz w:val="20"/>
        </w:rPr>
        <w:t>Seasonality.</w:t>
      </w:r>
      <w:r>
        <w:rPr>
          <w:color w:val="000000"/>
        </w:rPr>
        <w:t xml:space="preserve"> </w:t>
      </w:r>
      <w:r>
        <w:rPr>
          <w:rFonts w:ascii="Times New Roman;sans-serif" w:hAnsi="Times New Roman;sans-serif"/>
          <w:b w:val="false"/>
          <w:color w:val="000000"/>
          <w:sz w:val="20"/>
        </w:rPr>
        <w:t>Industry advertising spend tends to be strongest in the fourth quarter, and we typically observe a similar pattern in our historical revenue. Periods of significant growth and changes in the macroeconomic environment have partially masked these trends in historical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substantially all of our revenue from the delivery of advertisements on our platform which includes the delivery of advertising impressions sold on a CPM basis and CPC basis, as well as on a fixed-fee basis. The majority of our revenue is generated in the United States.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expenses associated with the delivery of our revenue generating activities, including the third-party cost of hosting our platform and allocated personnel-related costs, which include salaries, benefits, and stock-based compensation for employees engaged in development of our revenue generating products. Cost of revenue also includes third-party costs associated with delivering and supporting our advertising products and credit card transaction fees related to processing customer transactions.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personnel-related costs, including salaries, benefits, restructuring costs,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9"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consist of personnel-related and other costs which include salaries, commissions, benefits, restructuring costs,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local business acquisition, and neighbor services, which includes personnel-related costs for our neighbor support team, our outsourced neighbor support function, and verification costs.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marketing costs related to user acquisition largely consist of the distribution of mailed invitations and, to a lesser extent, digital advertising. Performance marketing costs related to local business acquisition largely consists of digital advertising and, to a lesser extent, direct mail campaigns.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personnel-related costs, including salaries, benefits, restructuring costs,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pStyle w:val="TextBody"/>
        <w:bidi w:val="0"/>
        <w:spacing w:lineRule="auto" w:line="288" w:before="0" w:after="180"/>
        <w:jc w:val="left"/>
        <w:rPr/>
      </w:pPr>
      <w:r>
        <w:rPr>
          <w:rFonts w:ascii="Times New Roman;sans-serif" w:hAnsi="Times New Roman;sans-serif"/>
          <w:b/>
          <w:i/>
          <w:color w:val="000000"/>
          <w:sz w:val="20"/>
        </w:rPr>
        <w:t>Interest Income</w:t>
      </w:r>
      <w:r>
        <w:rPr>
          <w:color w:val="000000"/>
        </w:rPr>
        <w:t xml:space="preserv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of interest earned on our cash, cash equivalents, and marketable securities.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unrealized gains and losses from the re-measurement of monetary assets and liabilities denominated in non-functional currencies, and gains and losses on marketable securities and foreign currency transactions.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0"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presented below should be reviewed in conjunction with our consolidated financial statements and related notes thereto included elsewhere in this Annual Report. The following table sets forth our consolidated results of operations for the periods presented.</w:t>
      </w:r>
    </w:p>
    <w:tbl>
      <w:tblPr>
        <w:tblW w:w="6671" w:type="dxa"/>
        <w:jc w:val="left"/>
        <w:tblInd w:w="0" w:type="dxa"/>
        <w:tblLayout w:type="fixed"/>
        <w:tblCellMar>
          <w:top w:w="28" w:type="dxa"/>
          <w:left w:w="28" w:type="dxa"/>
          <w:bottom w:w="28" w:type="dxa"/>
          <w:right w:w="28" w:type="dxa"/>
        </w:tblCellMar>
      </w:tblPr>
      <w:tblGrid>
        <w:gridCol w:w="863"/>
        <w:gridCol w:w="759"/>
        <w:gridCol w:w="762"/>
        <w:gridCol w:w="211"/>
        <w:gridCol w:w="901"/>
        <w:gridCol w:w="109"/>
        <w:gridCol w:w="109"/>
        <w:gridCol w:w="109"/>
        <w:gridCol w:w="109"/>
        <w:gridCol w:w="211"/>
        <w:gridCol w:w="901"/>
        <w:gridCol w:w="109"/>
        <w:gridCol w:w="109"/>
        <w:gridCol w:w="109"/>
        <w:gridCol w:w="109"/>
        <w:gridCol w:w="211"/>
        <w:gridCol w:w="82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and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stock-based compensation expense as follows:</w:t>
      </w:r>
    </w:p>
    <w:tbl>
      <w:tblPr>
        <w:tblW w:w="6132" w:type="dxa"/>
        <w:jc w:val="center"/>
        <w:tblInd w:w="0" w:type="dxa"/>
        <w:tblLayout w:type="fixed"/>
        <w:tblCellMar>
          <w:top w:w="28" w:type="dxa"/>
          <w:left w:w="28" w:type="dxa"/>
          <w:bottom w:w="28" w:type="dxa"/>
          <w:right w:w="28" w:type="dxa"/>
        </w:tblCellMar>
      </w:tblPr>
      <w:tblGrid>
        <w:gridCol w:w="837"/>
        <w:gridCol w:w="736"/>
        <w:gridCol w:w="737"/>
        <w:gridCol w:w="211"/>
        <w:gridCol w:w="721"/>
        <w:gridCol w:w="109"/>
        <w:gridCol w:w="109"/>
        <w:gridCol w:w="109"/>
        <w:gridCol w:w="109"/>
        <w:gridCol w:w="211"/>
        <w:gridCol w:w="721"/>
        <w:gridCol w:w="109"/>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1"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consolidated statements of operations as a percentage of revenue for each of the periods presented:</w:t>
      </w:r>
    </w:p>
    <w:tbl>
      <w:tblPr>
        <w:tblW w:w="5295" w:type="dxa"/>
        <w:jc w:val="left"/>
        <w:tblInd w:w="0" w:type="dxa"/>
        <w:tblLayout w:type="fixed"/>
        <w:tblCellMar>
          <w:top w:w="28" w:type="dxa"/>
          <w:left w:w="28" w:type="dxa"/>
          <w:bottom w:w="28" w:type="dxa"/>
          <w:right w:w="28" w:type="dxa"/>
        </w:tblCellMar>
      </w:tblPr>
      <w:tblGrid>
        <w:gridCol w:w="862"/>
        <w:gridCol w:w="760"/>
        <w:gridCol w:w="763"/>
        <w:gridCol w:w="233"/>
        <w:gridCol w:w="233"/>
        <w:gridCol w:w="271"/>
        <w:gridCol w:w="109"/>
        <w:gridCol w:w="109"/>
        <w:gridCol w:w="109"/>
        <w:gridCol w:w="233"/>
        <w:gridCol w:w="233"/>
        <w:gridCol w:w="271"/>
        <w:gridCol w:w="109"/>
        <w:gridCol w:w="109"/>
        <w:gridCol w:w="109"/>
        <w:gridCol w:w="233"/>
        <w:gridCol w:w="233"/>
        <w:gridCol w:w="316"/>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(as a percentage of total revenue)</w:t>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Note: Certain figures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Comparison of the Years Ended December 31, 2023 and 2022</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tbl>
      <w:tblPr>
        <w:tblW w:w="7301" w:type="dxa"/>
        <w:jc w:val="left"/>
        <w:tblInd w:w="0" w:type="dxa"/>
        <w:tblLayout w:type="fixed"/>
        <w:tblCellMar>
          <w:top w:w="28" w:type="dxa"/>
          <w:left w:w="28" w:type="dxa"/>
          <w:bottom w:w="28" w:type="dxa"/>
          <w:right w:w="28" w:type="dxa"/>
        </w:tblCellMar>
      </w:tblPr>
      <w:tblGrid>
        <w:gridCol w:w="911"/>
        <w:gridCol w:w="802"/>
        <w:gridCol w:w="807"/>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28"/>
        <w:gridCol w:w="128"/>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by $5.5 million, or 3%, for the year ended December 31, 2023 compared to the year ended December 31, 2022. The increase was primarily due to an increase in advertiser demand for our product offerings, which we believe was driven by increased marketer spending as well as increased user engagement as measured by a 9% increase in 2023 WAUs. Full year ARPU decreased 6% reflecting stronger year-over-year WAU growth relative to revenue growth.</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7091"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by $2.6 million, or 7%, for the year ended December 31, 2023 compared to the year ended December 31, 2022. The increase was primarily due to a $1.3 million increase in third-party hosting costs due to rising user growth and engagement, a $0.9 million increase in allocated personnel-related costs, and a $0.4 million increase in third-party costs associated with delivering and supporting our advertising products.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7511" w:type="dxa"/>
        <w:jc w:val="left"/>
        <w:tblInd w:w="0" w:type="dxa"/>
        <w:tblLayout w:type="fixed"/>
        <w:tblCellMar>
          <w:top w:w="28" w:type="dxa"/>
          <w:left w:w="28" w:type="dxa"/>
          <w:bottom w:w="28" w:type="dxa"/>
          <w:right w:w="28" w:type="dxa"/>
        </w:tblCellMar>
      </w:tblPr>
      <w:tblGrid>
        <w:gridCol w:w="911"/>
        <w:gridCol w:w="802"/>
        <w:gridCol w:w="80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$22.9 million, or 18%, for the year ended December 31, 2023 compared to the year ended December 31, 2022. The increase was primarily due to a $20.2 million increase in personnel-related costs, inclusive of restructuring costs, primarily driven by an increase in average headcount, a $2.4 million increase in third-party software costs, and a $0.5 million increase in allocated overhead costs reflecting an increase in average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2"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7944" w:type="dxa"/>
        <w:jc w:val="left"/>
        <w:tblInd w:w="0" w:type="dxa"/>
        <w:tblLayout w:type="fixed"/>
        <w:tblCellMar>
          <w:top w:w="28" w:type="dxa"/>
          <w:left w:w="28" w:type="dxa"/>
          <w:bottom w:w="28" w:type="dxa"/>
          <w:right w:w="28" w:type="dxa"/>
        </w:tblCellMar>
      </w:tblPr>
      <w:tblGrid>
        <w:gridCol w:w="1041"/>
        <w:gridCol w:w="916"/>
        <w:gridCol w:w="92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6"/>
        <w:gridCol w:w="219"/>
        <w:gridCol w:w="316"/>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Personnel-related and other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and performance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Neighbor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and marketing</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decreased by $0.3 million for the year ended December 31, 2023 compared to the year ended December 31, 2022. The decrease was primarily due to a $14.7 million decrease in performance marketing costs for user acquisition as focus shifted to organic user acquisition channels and a $0.9 million decrease in performance marketing costs to attract local businesses, offset by a $15.3 million increase in personnel-related and other costs, inclusive of restructuring costs, which was driven by an increase in average headcount.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196"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$8.3 million, or 12%, for the year ended December 31, 2023 compared to the year ended December 31, 2022. The increase was primarily due to a $10.5 million increase in personnel-related costs, inclusive of restructuring costs, which was driven by an increase in average headcount, partially offset by a $2.7 million decrease in insurance expenses.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income</w:t>
      </w:r>
    </w:p>
    <w:tbl>
      <w:tblPr>
        <w:tblW w:w="7301"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33"/>
        <w:gridCol w:w="233"/>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$16.5 million, or 177%, for the year ended December 31, 2023 compared to the year ended December 31, 2022. The increase was driven by higher interest rates.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tbl>
      <w:tblPr>
        <w:tblW w:w="6911" w:type="dxa"/>
        <w:jc w:val="left"/>
        <w:tblInd w:w="0" w:type="dxa"/>
        <w:tblLayout w:type="fixed"/>
        <w:tblCellMar>
          <w:top w:w="28" w:type="dxa"/>
          <w:left w:w="28" w:type="dxa"/>
          <w:bottom w:w="28" w:type="dxa"/>
          <w:right w:w="28" w:type="dxa"/>
        </w:tblCellMar>
      </w:tblPr>
      <w:tblGrid>
        <w:gridCol w:w="911"/>
        <w:gridCol w:w="802"/>
        <w:gridCol w:w="807"/>
        <w:gridCol w:w="211"/>
        <w:gridCol w:w="541"/>
        <w:gridCol w:w="109"/>
        <w:gridCol w:w="109"/>
        <w:gridCol w:w="109"/>
        <w:gridCol w:w="109"/>
        <w:gridCol w:w="211"/>
        <w:gridCol w:w="691"/>
        <w:gridCol w:w="109"/>
        <w:gridCol w:w="109"/>
        <w:gridCol w:w="109"/>
        <w:gridCol w:w="109"/>
        <w:gridCol w:w="211"/>
        <w:gridCol w:w="466"/>
        <w:gridCol w:w="109"/>
        <w:gridCol w:w="109"/>
        <w:gridCol w:w="109"/>
        <w:gridCol w:w="109"/>
        <w:gridCol w:w="218"/>
        <w:gridCol w:w="218"/>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decreased by $0.8 million, or 62%, for the year ended December 31, 2023 compared to the year ended December 31, 2022. The decrease was primarily due to the periodic re-measurement of monetary assets and liabilities denominated in non-functional currencies.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6595" w:type="dxa"/>
        <w:jc w:val="left"/>
        <w:tblInd w:w="0" w:type="dxa"/>
        <w:tblLayout w:type="fixed"/>
        <w:tblCellMar>
          <w:top w:w="28" w:type="dxa"/>
          <w:left w:w="28" w:type="dxa"/>
          <w:bottom w:w="28" w:type="dxa"/>
          <w:right w:w="28" w:type="dxa"/>
        </w:tblCellMar>
      </w:tblPr>
      <w:tblGrid>
        <w:gridCol w:w="825"/>
        <w:gridCol w:w="726"/>
        <w:gridCol w:w="728"/>
        <w:gridCol w:w="211"/>
        <w:gridCol w:w="466"/>
        <w:gridCol w:w="109"/>
        <w:gridCol w:w="109"/>
        <w:gridCol w:w="109"/>
        <w:gridCol w:w="109"/>
        <w:gridCol w:w="211"/>
        <w:gridCol w:w="616"/>
        <w:gridCol w:w="109"/>
        <w:gridCol w:w="109"/>
        <w:gridCol w:w="109"/>
        <w:gridCol w:w="109"/>
        <w:gridCol w:w="211"/>
        <w:gridCol w:w="541"/>
        <w:gridCol w:w="109"/>
        <w:gridCol w:w="109"/>
        <w:gridCol w:w="109"/>
        <w:gridCol w:w="109"/>
        <w:gridCol w:w="218"/>
        <w:gridCol w:w="218"/>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decreased by $0.9 million, or 55%, for the year ended December 31, 2023 compared to the year ended December 31, 2022. The decrease was primarily due to a decrease in foreign income tax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3"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generated negative cash flows from operations and have primarily financed our operations from net proceeds received from the sale of equity securities, proceeds from the Business Combination, and payments received from our customers. We currently have no debt outstanding.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generated losses from our operations, as reflected in our accumulated deficit of $766.0 million as of December 31, 2023. We incurred operating losses and cash outflows from operations by supporting the growth of our business. We expect these losses and operating cash outflows to continue for the foreseeable future. We also expect to incur significant research and development, sales and marketing, and general and administrative expenses over the next several years in connection with the continued development and strategic expansion of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$531.1 million in cash, cash equivalents, and marketable securities. We anticipate satisfying our short-term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any future equity or debt financings.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the continuing market adoption of our platform, the number of shares repurchased under our Share Repurchase Program, and our ability to obtain equity or debt financing. Moreover, any actual or perceived instability in the U.S. or international banking systems may impact liquidity both in the short term and long term.</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2022, our Board of Directors authorized and approved the Share Repurchase Program to repurchase up to $100.0 million in aggregate of our Class A common stock, with the authorization to expire on June 30, 2024. The timing of any repurchases will depend on market conditions and other investment opportunities, and will be made at our discretion. The Share Repurchase Program does not obligate us to repurchase any dollar amount or number of shares, and the program may be extended, modified, suspended, or discontinued at any time. During the year ended December 31, 2023, we did not repurchase or retire any shares of Class A common stock. As of December 31, 2023, we had $22.8 million available for future share repurchases under the Share Repurchase Program. On February 21, 2024, the Company’s Board of Directors authorized and approved an increase of $150.0 million to the Share Repurchase Program and extended the expiration date to March 31, 2026.</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8472" w:type="dxa"/>
        <w:jc w:val="left"/>
        <w:tblInd w:w="0" w:type="dxa"/>
        <w:tblLayout w:type="fixed"/>
        <w:tblCellMar>
          <w:top w:w="28" w:type="dxa"/>
          <w:left w:w="28" w:type="dxa"/>
          <w:bottom w:w="28" w:type="dxa"/>
          <w:right w:w="28" w:type="dxa"/>
        </w:tblCellMar>
      </w:tblPr>
      <w:tblGrid>
        <w:gridCol w:w="1527"/>
        <w:gridCol w:w="1342"/>
        <w:gridCol w:w="1346"/>
        <w:gridCol w:w="211"/>
        <w:gridCol w:w="796"/>
        <w:gridCol w:w="109"/>
        <w:gridCol w:w="109"/>
        <w:gridCol w:w="109"/>
        <w:gridCol w:w="109"/>
        <w:gridCol w:w="211"/>
        <w:gridCol w:w="901"/>
        <w:gridCol w:w="109"/>
        <w:gridCol w:w="109"/>
        <w:gridCol w:w="109"/>
        <w:gridCol w:w="109"/>
        <w:gridCol w:w="211"/>
        <w:gridCol w:w="901"/>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(149,522)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operating activities during the year ended December 31, 2023 was $59.3 million which resulted from a net loss of $147.8 million, adjusted for non-cash charges of $79.9 million and net cash inflows of $8.6 million from changes in operating assets and liabilities. Non-cash charges primarily consisted of $83.0 million of stock-based compensation expense and $5.8 million of depreciation and amortization expense, partially offset by $8.6 million of accretion on investments. The net cash inflows from changes in operating assets and liabilities were primarily due to a $5.3 million increase in accrued expenses and other liabilities, a $4.7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4"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decrease in operating lease right-of-use assets due to normal amortization, a $3.5 million decrease in accounts receivable, and a $3.4 million decrease in prepaid expenses and other assets. These amounts were partially offset by a $5.7 million decrease in operating lease liabilities due to lease payments and a $2.6 million decrease in accounts payable.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during the year ended December 31, 2022 was $60.5 million which resulted from a net loss of $137.9 million, adjusted for non-cash charges of $68.0 million and net cash inflows of $9.4 million from changes in operating assets and liabilities. Non-cash charges primarily consisted of $64.4 million of stock-based compensation expense and $5.7 million of depreciation and amortization expense. The net cash inflows from changes in operating assets and liabilities were primarily due to a $7.7 million increase in accrued expenses and other liabilities, a $6.9 million decrease in operating lease right-of-use assets due to normal amortization, and a $3.8 million decrease in prepaid expenses and other assets. These amounts were partially offset by a $7.1 million decrease in operating lease liabilities due to lease payments, and a $1.6 million decrease in accounts payable.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for the year ended December 31, 2023 was $66.5 million, which consisted of proceeds from maturities of marketable securities of $504.4 million and proceeds from sales of marketable securities of $155.4 million. This was partially offset by purchases of marketable securities of $590.6 million and a loan to Opportunity Finance Network of $2.5 million.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year ended December 31, 2022 was $342.4 million, which consisted of purchases of marketable securities of $711.9 million, a loan to Opportunity Finance Network of $5.0 million, and purchases of property and equipment of $3.2 million. This was partially offset by proceeds from maturities of marketable securities of $366.8 million and proceeds from sales of marketable securities of $10.8 million.</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year ended December 31, 2023 was $8.9 million, which consisted of $7.2 million of proceeds from the exercise of stock options and $2.0 million of proceeds from the issuance of common stock under the employee stock purchase plan.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for the year ended December 31, 2022 was $64.3 million, which consisted of repurchases of common stock of $77.2 million. This was partially offset by $12.5 million of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 non-GAAP financial measure that represents our net loss adjusted for depreciation and amortization, stock-based compensation, net interest income, provision for income taxes, and any restructuring charges or acquisition-related costs.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5"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loss, the most comparable GAAP measure, to Adjusted EBITDA:</w:t>
      </w:r>
    </w:p>
    <w:tbl>
      <w:tblPr>
        <w:tblW w:w="6851" w:type="dxa"/>
        <w:jc w:val="left"/>
        <w:tblInd w:w="0" w:type="dxa"/>
        <w:tblLayout w:type="fixed"/>
        <w:tblCellMar>
          <w:top w:w="28" w:type="dxa"/>
          <w:left w:w="28" w:type="dxa"/>
          <w:bottom w:w="28" w:type="dxa"/>
          <w:right w:w="28" w:type="dxa"/>
        </w:tblCellMar>
      </w:tblPr>
      <w:tblGrid>
        <w:gridCol w:w="937"/>
        <w:gridCol w:w="824"/>
        <w:gridCol w:w="833"/>
        <w:gridCol w:w="211"/>
        <w:gridCol w:w="901"/>
        <w:gridCol w:w="109"/>
        <w:gridCol w:w="109"/>
        <w:gridCol w:w="109"/>
        <w:gridCol w:w="109"/>
        <w:gridCol w:w="211"/>
        <w:gridCol w:w="901"/>
        <w:gridCol w:w="109"/>
        <w:gridCol w:w="109"/>
        <w:gridCol w:w="109"/>
        <w:gridCol w:w="109"/>
        <w:gridCol w:w="211"/>
        <w:gridCol w:w="796"/>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consolidated financial statements in accordance with GAAP. Preparing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accounting policies requiring estimates, assumptions, and judgments that we believe have the most significant impact on our consolidated financial statements are described below.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2 to our consolidated financial statements for further information on our other significant accounting policies.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a majority of our revenue from the delivery of advertising services. We recognize advertising revenue after satisfying our contractual performance obligation, which, for the majority of our advertising arrangements, is when an advertising impression is displayed to users. None of our arrangements contain minimum impression guarantees. We typically bill advertisers on a monthly basis and our payment terms vary by customer type and location. We have other advertising arrangements which are typically fixed-fee arrangements and revenue is recognized on a straight-line basis over the non-cancellable contractual term of the agreement, generally beginning on the date our service is made available to the customer. In certain advertising arrangements we require payment upfront from our customers. We record deferred revenue when we collect cash from customers in advance of revenue recognition.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our contracts we determine if the contract is or contains a lease. A contract is or contains a lease if it conveys the right to control the use of an identified asset for a period of time in exchange for consideration. Operating leases consist of real estate leases and are included in operating lease right-of-use assets and operating lease liabilities on our consolidated balance sheets at commencement date based on the present value of remaining fixed lease payments.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When the discount rate implicit in the lease cannot be readily determined, we use the applicable incremental borrowing rate at lease commencement in order to discount lease payments to present value for purposes of performing lease classification tests and measuring the lease liability. The incremental borrowing rate is a hypothetical rate based on the rate of interest we would have to pay to borrow on a collateralized basis over a similar term and amount equal to the lease payments in a similar economic environment.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stock-based awards is measured based on the grant date fair value of the awards and recognized in the consolidated statements of operations on a straight-line basis over the requisite service period of the awards. The grant date fair value of stock options granted is estimated using the Black-Scholes option pricing model. Forfeitures are accounted for as they occur. Historically, our stock option awards and restricted stock permitted early exercise. The unvested portion of shares exercised is recorded as a liability on our consolidated balance sheets and reclassified into stockholders’ equity (deficit) as vesting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6"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Black-Scholes option-pricing model requires the use of highly subjective assumptions. These assumptions are estimated as follows: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Fair Value of the Underlying Common Stock—Prior to the Business Combination, the Board of Directors considered numerous objective and subjective factors to determine the fair value of our common stock. After the Business Combination, the fair value of the underlying common stock is determined by the closing price, on the date of grant, of our Class A common stock, which is traded on the New York Stock Exchange.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Expected Volatility—Expected volatility is a measure of the amount by which the stock price is expected to fluctuate. Since we do not have sufficient trading history of our common stock, we estimate the expected volatility of our stock options at their grant date by taking the weighted average historical volatility of a group of comparable publicly traded companies over a period equal to the expected term of the options;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Expected Term—We determine the expected term based on the average period the stock options are expected to remain outstanding using the simplified method, calculated as the midpoint of the stock options’ vesting term and contractual expiration period, as we do not have sufficient historical information to develop reasonable expectations about future exercise patterns and post-vesting employment termination behavior;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Risk Free Interest Rate—We use the U.S. Treasury yield for our risk-free interest rate that corresponds with the expected term;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Dividend Yield—We utilize a dividend yield of zero, as we do not currently issue dividends and do not expect to in the future.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United States and numerous foreign jurisdictions. Significant judgment is required in determining our uncertain tax positions. We recognize a tax benefit from an uncertain tax position only if it is more likely than not that the tax position will be sustained on examination by the taxing authorities, based on the technical merits of the position.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Deferred income taxes are recognized for differences between financial reporting and tax bases of assets and liabilities at the enacted statutory tax rates in effect for the years in which the temporary differences are expected to reverse. We make an assessment of the likelihood that the resulting deferred tax assets will be realized. A valuation allowance is provided when it is more likely than not that some portion or all of a deferred tax asset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Recently Issued Accounting Pronouncements </w:t>
      </w:r>
    </w:p>
    <w:p>
      <w:pPr>
        <w:pStyle w:val="TextBody"/>
        <w:bidi w:val="0"/>
        <w:spacing w:lineRule="auto" w:line="288" w:before="0" w:after="180"/>
        <w:jc w:val="both"/>
        <w:rPr/>
      </w:pPr>
      <w:r>
        <w:rPr>
          <w:rFonts w:ascii="Times New Roman;sans-serif" w:hAnsi="Times New Roman;sans-serif"/>
          <w:b w:val="false"/>
          <w:color w:val="000000"/>
          <w:sz w:val="20"/>
        </w:rPr>
        <w:t>Refer to</w:t>
      </w:r>
      <w:r>
        <w:rPr>
          <w:color w:val="000000"/>
        </w:rPr>
        <w:t xml:space="preserve"> </w:t>
      </w:r>
      <w:r>
        <w:rPr>
          <w:rFonts w:ascii="Times New Roman;sans-serif" w:hAnsi="Times New Roman;sans-serif"/>
          <w:b w:val="false"/>
          <w:color w:val="000000"/>
          <w:sz w:val="20"/>
        </w:rPr>
        <w:t>Note 2</w:t>
      </w:r>
      <w:r>
        <w:rPr>
          <w:color w:val="000000"/>
        </w:rPr>
        <w:t xml:space="preserve"> </w:t>
      </w:r>
      <w:r>
        <w:rPr>
          <w:rFonts w:ascii="Times New Roman;sans-serif" w:hAnsi="Times New Roman;sans-serif"/>
          <w:b w:val="false"/>
          <w:color w:val="000000"/>
          <w:sz w:val="20"/>
        </w:rPr>
        <w:t xml:space="preserve">to our consolidated financial statements included elsewhere in this Annual Report for more information regarding recently issued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cash and cash equivalents of $60.2 million and marketable securities of $470.9 million. Our cash and cash equivalents consist of cash in bank accounts, demand deposits, money market funds, corporate bonds, and commercial paper. 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functional currency of our international subsidiaries is generally their local currency. Our sales are typically denominated in the local currency of the country in which the sale was made. The majority of our revenue is denominated in U.S. Dollars. As such,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7"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333" w:before="0" w:after="18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We do not believe a 10% change in the relative value of the U.S. Dollar would have materially affected our consolidated financial statements for the periods presented. To date, we have not had a formal hedging program with respect to foreign currency, but we may do so in the future if our exposure to foreign currency should become more significant.</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8"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both"/>
        <w:rPr/>
      </w:pPr>
      <w:hyperlink w:anchor="idef94aa1c3a24c4db62a0e85df24754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60"/>
        <w:jc w:val="both"/>
        <w:rPr>
          <w:rFonts w:ascii="Times New Roman;sans-serif" w:hAnsi="Times New Roman;sans-serif"/>
          <w:b/>
          <w:color w:val="000000"/>
          <w:sz w:val="20"/>
        </w:rPr>
      </w:pPr>
      <w:r>
        <w:rPr>
          <w:rFonts w:ascii="Times New Roman;sans-serif" w:hAnsi="Times New Roman;sans-serif"/>
          <w:b/>
          <w:color w:val="000000"/>
          <w:sz w:val="20"/>
        </w:rPr>
        <w:t>Item 8. Financial Statements</w:t>
      </w:r>
    </w:p>
    <w:p>
      <w:pPr>
        <w:pStyle w:val="TextBody"/>
        <w:bidi w:val="0"/>
        <w:spacing w:before="0" w:after="180"/>
        <w:jc w:val="center"/>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INDEX TO CONSOLIDATED FINANCIAL STATEMENTS </w:t>
      </w:r>
    </w:p>
    <w:tbl>
      <w:tblPr>
        <w:tblW w:w="9089" w:type="dxa"/>
        <w:jc w:val="left"/>
        <w:tblInd w:w="0" w:type="dxa"/>
        <w:tblLayout w:type="fixed"/>
        <w:tblCellMar>
          <w:top w:w="28" w:type="dxa"/>
          <w:left w:w="28" w:type="dxa"/>
          <w:bottom w:w="28" w:type="dxa"/>
          <w:right w:w="28" w:type="dxa"/>
        </w:tblCellMar>
      </w:tblPr>
      <w:tblGrid>
        <w:gridCol w:w="3089"/>
        <w:gridCol w:w="2715"/>
        <w:gridCol w:w="2730"/>
        <w:gridCol w:w="162"/>
        <w:gridCol w:w="162"/>
        <w:gridCol w:w="231"/>
      </w:tblGrid>
      <w:tr>
        <w:trPr/>
        <w:tc>
          <w:tcPr>
            <w:tcW w:w="308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8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Page </w:t>
            </w:r>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121">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000000"/>
                <w:sz w:val="20"/>
              </w:rPr>
              <w:t>(PCAOB ID: 42)</w:t>
            </w:r>
          </w:p>
        </w:tc>
        <w:tc>
          <w:tcPr>
            <w:tcW w:w="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def94aa1c3a24c4db62a0e85df24754d_121">
              <w:r>
                <w:rPr>
                  <w:rStyle w:val="InternetLink"/>
                  <w:rFonts w:ascii="Times New Roman;sans-serif" w:hAnsi="Times New Roman;sans-serif"/>
                  <w:b w:val="false"/>
                  <w:color w:val="0000FF"/>
                  <w:sz w:val="20"/>
                  <w:u w:val="single"/>
                </w:rPr>
                <w:t>60</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124">
              <w:r>
                <w:rPr>
                  <w:rStyle w:val="InternetLink"/>
                  <w:rFonts w:ascii="Times New Roman;sans-serif" w:hAnsi="Times New Roman;sans-serif"/>
                  <w:b w:val="false"/>
                  <w:color w:val="0000FF"/>
                  <w:sz w:val="20"/>
                  <w:u w:val="single"/>
                </w:rPr>
                <w:t>Consolidated Balance Sheets</w:t>
              </w:r>
            </w:hyperlink>
          </w:p>
        </w:tc>
        <w:tc>
          <w:tcPr>
            <w:tcW w:w="5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124">
              <w:r>
                <w:rPr>
                  <w:rStyle w:val="InternetLink"/>
                  <w:rFonts w:ascii="Times New Roman;sans-serif" w:hAnsi="Times New Roman;sans-serif"/>
                  <w:b w:val="false"/>
                  <w:color w:val="0000FF"/>
                  <w:sz w:val="20"/>
                  <w:u w:val="single"/>
                </w:rPr>
                <w:t>63</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130">
              <w:r>
                <w:rPr>
                  <w:rStyle w:val="InternetLink"/>
                  <w:rFonts w:ascii="Times New Roman;sans-serif" w:hAnsi="Times New Roman;sans-serif"/>
                  <w:b w:val="false"/>
                  <w:color w:val="0000FF"/>
                  <w:sz w:val="20"/>
                  <w:u w:val="single"/>
                </w:rPr>
                <w:t>Consolidated Statements of Operations</w:t>
              </w:r>
            </w:hyperlink>
          </w:p>
        </w:tc>
        <w:tc>
          <w:tcPr>
            <w:tcW w:w="5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130">
              <w:r>
                <w:rPr>
                  <w:rStyle w:val="InternetLink"/>
                  <w:rFonts w:ascii="Times New Roman;sans-serif" w:hAnsi="Times New Roman;sans-serif"/>
                  <w:b w:val="false"/>
                  <w:color w:val="0000FF"/>
                  <w:sz w:val="20"/>
                  <w:u w:val="single"/>
                </w:rPr>
                <w:t>64</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133">
              <w:r>
                <w:rPr>
                  <w:rStyle w:val="InternetLink"/>
                  <w:rFonts w:ascii="Times New Roman;sans-serif" w:hAnsi="Times New Roman;sans-serif"/>
                  <w:b w:val="false"/>
                  <w:color w:val="0000FF"/>
                  <w:sz w:val="20"/>
                  <w:u w:val="single"/>
                </w:rPr>
                <w:t>Consolidated Statements of Comprehensive Loss</w:t>
              </w:r>
            </w:hyperlink>
          </w:p>
        </w:tc>
        <w:tc>
          <w:tcPr>
            <w:tcW w:w="5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133">
              <w:r>
                <w:rPr>
                  <w:rStyle w:val="InternetLink"/>
                  <w:rFonts w:ascii="Times New Roman;sans-serif" w:hAnsi="Times New Roman;sans-serif"/>
                  <w:b w:val="false"/>
                  <w:color w:val="0000FF"/>
                  <w:sz w:val="20"/>
                  <w:u w:val="single"/>
                </w:rPr>
                <w:t>65</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136">
              <w:r>
                <w:rPr>
                  <w:rStyle w:val="InternetLink"/>
                  <w:rFonts w:ascii="Times New Roman;sans-serif" w:hAnsi="Times New Roman;sans-serif"/>
                  <w:b w:val="false"/>
                  <w:color w:val="0000FF"/>
                  <w:sz w:val="20"/>
                  <w:u w:val="single"/>
                </w:rPr>
                <w:t>Consolidated Statements of Redeemable Convertible Preferred Stock and Stockholders’ Equity (Deficit</w:t>
              </w:r>
            </w:hyperlink>
            <w:r>
              <w:rPr>
                <w:rFonts w:ascii="Times New Roman;sans-serif" w:hAnsi="Times New Roman;sans-serif"/>
                <w:b w:val="false"/>
                <w:color w:val="000000"/>
                <w:sz w:val="20"/>
              </w:rPr>
              <w:t>)</w:t>
            </w:r>
          </w:p>
        </w:tc>
        <w:tc>
          <w:tcPr>
            <w:tcW w:w="5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136">
              <w:r>
                <w:rPr>
                  <w:rStyle w:val="InternetLink"/>
                  <w:rFonts w:ascii="Times New Roman;sans-serif" w:hAnsi="Times New Roman;sans-serif"/>
                  <w:b w:val="false"/>
                  <w:color w:val="0000FF"/>
                  <w:sz w:val="20"/>
                  <w:u w:val="single"/>
                </w:rPr>
                <w:t>66</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139">
              <w:r>
                <w:rPr>
                  <w:rStyle w:val="InternetLink"/>
                  <w:rFonts w:ascii="Times New Roman;sans-serif" w:hAnsi="Times New Roman;sans-serif"/>
                  <w:b w:val="false"/>
                  <w:color w:val="0000FF"/>
                  <w:sz w:val="20"/>
                  <w:u w:val="single"/>
                </w:rPr>
                <w:t>Consolidated Statements of Cash Flows</w:t>
              </w:r>
            </w:hyperlink>
          </w:p>
        </w:tc>
        <w:tc>
          <w:tcPr>
            <w:tcW w:w="5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139">
              <w:r>
                <w:rPr>
                  <w:rStyle w:val="InternetLink"/>
                  <w:rFonts w:ascii="Times New Roman;sans-serif" w:hAnsi="Times New Roman;sans-serif"/>
                  <w:b w:val="false"/>
                  <w:color w:val="0000FF"/>
                  <w:sz w:val="20"/>
                  <w:u w:val="single"/>
                </w:rPr>
                <w:t>68</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142">
              <w:r>
                <w:rPr>
                  <w:rStyle w:val="InternetLink"/>
                  <w:rFonts w:ascii="Times New Roman;sans-serif" w:hAnsi="Times New Roman;sans-serif"/>
                  <w:b w:val="false"/>
                  <w:color w:val="0000FF"/>
                  <w:sz w:val="20"/>
                  <w:u w:val="single"/>
                </w:rPr>
                <w:t>Notes to the Consolidated Financial Statements</w:t>
              </w:r>
            </w:hyperlink>
          </w:p>
        </w:tc>
        <w:tc>
          <w:tcPr>
            <w:tcW w:w="5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f94aa1c3a24c4db62a0e85df24754d_142">
              <w:r>
                <w:rPr>
                  <w:rStyle w:val="InternetLink"/>
                  <w:rFonts w:ascii="Times New Roman;sans-serif" w:hAnsi="Times New Roman;sans-serif"/>
                  <w:b w:val="false"/>
                  <w:color w:val="0000FF"/>
                  <w:sz w:val="20"/>
                  <w:u w:val="single"/>
                </w:rPr>
                <w:t>69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9"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Nextdoor Holdings, Inc.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Nextdoor Holdings, Inc. (the Company) as of December 31, 2023 and 2022, the related consolidated statements of operations, comprehensive loss, redeemable convertible preferred stock and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27, 2024 expressed an unqualified opinion thereon.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0"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88"/>
        <w:gridCol w:w="517"/>
        <w:gridCol w:w="520"/>
        <w:gridCol w:w="2554"/>
        <w:gridCol w:w="2495"/>
        <w:gridCol w:w="3531"/>
      </w:tblGrid>
      <w:tr>
        <w:trPr/>
        <w:tc>
          <w:tcPr>
            <w:tcW w:w="58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3531"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Revenue Recognition </w:t>
            </w:r>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58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20"/>
              </w:rPr>
              <w:t>As described in Note 2 to the consolidated financial statements, the Company generates a majority of its revenues by delivering ads on the Nextdoor Holdings, Inc. website and mobile application. Revenue is recognized after transferring control of the promised goods or services to customers, which for the majority of advertising arrangements occurs when an advertising impression is displayed to users.</w:t>
              <w:br/>
            </w:r>
            <w:r>
              <w:rPr>
                <w:rFonts w:ascii="Times New Roman;sans-serif" w:hAnsi="Times New Roman;sans-serif"/>
                <w:b w:val="false"/>
                <w:sz w:val="20"/>
              </w:rPr>
              <w:br/>
            </w:r>
            <w:r>
              <w:rPr>
                <w:rFonts w:ascii="Times New Roman;sans-serif" w:hAnsi="Times New Roman;sans-serif"/>
                <w:b w:val="false"/>
                <w:color w:val="000000"/>
                <w:sz w:val="20"/>
              </w:rPr>
              <w:t>The Company’s revenue recognition process utilizes complex proprietary systems and tools for the initiation, processing, delivery and recording of advertising transactions which includes a high volume of individually low monetary value transactions, auditing of which requires significant audit effort.</w:t>
            </w:r>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test the Company’s recognition of revenue, our audit procedures included, among others, testing the completeness and accuracy of the underlying data within the Company’s revenue systems, and comparing revenue recognized to accounts receivables and cash receipts. Additionally, we examined customer terms and conditions, and we selected a sample of contractual arrangements to test the timing and amount of revenue recognition.</w:t>
            </w:r>
          </w:p>
        </w:tc>
      </w:tr>
    </w:tbl>
    <w:tbl>
      <w:tblPr>
        <w:tblW w:w="4530" w:type="dxa"/>
        <w:jc w:val="left"/>
        <w:tblInd w:w="0" w:type="dxa"/>
        <w:tblLayout w:type="fixed"/>
        <w:tblCellMar>
          <w:top w:w="28" w:type="dxa"/>
          <w:left w:w="28" w:type="dxa"/>
          <w:bottom w:w="28" w:type="dxa"/>
          <w:right w:w="28" w:type="dxa"/>
        </w:tblCellMar>
      </w:tblPr>
      <w:tblGrid>
        <w:gridCol w:w="1449"/>
        <w:gridCol w:w="1271"/>
        <w:gridCol w:w="1810"/>
      </w:tblGrid>
      <w:tr>
        <w:trPr/>
        <w:tc>
          <w:tcPr>
            <w:tcW w:w="144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tc>
      </w:tr>
      <w:tr>
        <w:trPr/>
        <w:tc>
          <w:tcPr>
            <w:tcW w:w="4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2018.</w:t>
            </w:r>
          </w:p>
        </w:tc>
      </w:tr>
      <w:tr>
        <w:trPr/>
        <w:tc>
          <w:tcPr>
            <w:tcW w:w="4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California</w:t>
            </w:r>
          </w:p>
        </w:tc>
      </w:tr>
      <w:tr>
        <w:trPr/>
        <w:tc>
          <w:tcPr>
            <w:tcW w:w="4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1"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Nextdoor Holdings, Inc.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Nextdoor Holdings, Inc.’s internal control over financial reporting as of December 31, 2023, based on criteria established in Internal Control—Integrated Framework issued by the Committee of Sponsoring Organizations of the Treadway Commission (2013 framework) (the COSO criteria). In our opinion, Nextdoor Holdings, Inc. (the Company) maintained, in all material respects, effective internal control over financial reporting as of December 31, 2023, based on the COSO criteria.</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2023 and 2022, the related consolidated statements of operations, comprehensive loss, redeemable convertible preferred stock and stockholders' equity and cash flows for each of the three years in the period ended December 31, 2023, and the related notes and our report dated February 27, 2024 expressed an unqualified opinion thereon.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80"/>
        <w:jc w:val="both"/>
        <w:rPr/>
      </w:pPr>
      <w:r>
        <w:rPr/>
      </w:r>
    </w:p>
    <w:tbl>
      <w:tblPr>
        <w:tblW w:w="2010" w:type="dxa"/>
        <w:jc w:val="left"/>
        <w:tblInd w:w="0" w:type="dxa"/>
        <w:tblLayout w:type="fixed"/>
        <w:tblCellMar>
          <w:top w:w="28" w:type="dxa"/>
          <w:left w:w="28" w:type="dxa"/>
          <w:bottom w:w="28" w:type="dxa"/>
          <w:right w:w="28" w:type="dxa"/>
        </w:tblCellMar>
      </w:tblPr>
      <w:tblGrid>
        <w:gridCol w:w="643"/>
        <w:gridCol w:w="564"/>
        <w:gridCol w:w="803"/>
      </w:tblGrid>
      <w:tr>
        <w:trPr/>
        <w:tc>
          <w:tcPr>
            <w:tcW w:w="64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California</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2"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2855"/>
        <w:gridCol w:w="2360"/>
        <w:gridCol w:w="2324"/>
        <w:gridCol w:w="211"/>
        <w:gridCol w:w="826"/>
        <w:gridCol w:w="109"/>
        <w:gridCol w:w="109"/>
        <w:gridCol w:w="109"/>
        <w:gridCol w:w="109"/>
        <w:gridCol w:w="211"/>
        <w:gridCol w:w="826"/>
        <w:gridCol w:w="156"/>
      </w:tblGrid>
      <w:tr>
        <w:trPr/>
        <w:tc>
          <w:tcPr>
            <w:tcW w:w="2855"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$385 and $422 as of December 31, 2023 and 2022,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50,000 shares authorized; no shares issued or outstanding as of December 31, 2023 and 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2,500,000 shares authorized; 186,415 and 153,693 shares issued and outstanding as of December 31, 2023 and 2022,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$0.0001 par value; 500,000 shares authorized; 201,960 and 218,029 shares issued and outstanding as of December 31, 2023 and 2022,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1,231,482 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(618,255)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and stockholders' equity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699,562 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3"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2303"/>
        <w:gridCol w:w="1828"/>
        <w:gridCol w:w="1849"/>
        <w:gridCol w:w="211"/>
        <w:gridCol w:w="869"/>
        <w:gridCol w:w="109"/>
        <w:gridCol w:w="109"/>
        <w:gridCol w:w="109"/>
        <w:gridCol w:w="109"/>
        <w:gridCol w:w="211"/>
        <w:gridCol w:w="869"/>
        <w:gridCol w:w="109"/>
        <w:gridCol w:w="109"/>
        <w:gridCol w:w="109"/>
        <w:gridCol w:w="109"/>
        <w:gridCol w:w="211"/>
        <w:gridCol w:w="826"/>
        <w:gridCol w:w="156"/>
      </w:tblGrid>
      <w:tr>
        <w:trPr/>
        <w:tc>
          <w:tcPr>
            <w:tcW w:w="2303"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A and Class B common stockholders,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attributable to Class A and Class B common stockholders, basic and diluted</w:t>
            </w:r>
          </w:p>
        </w:tc>
        <w:tc>
          <w:tcPr>
            <w:tcW w:w="108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379,254 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378,731 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146,337 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4"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LOSS </w:t>
      </w:r>
    </w:p>
    <w:p>
      <w:pPr>
        <w:pStyle w:val="TextBody"/>
        <w:bidi w:val="0"/>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164"/>
        <w:gridCol w:w="1878"/>
        <w:gridCol w:w="1914"/>
        <w:gridCol w:w="211"/>
        <w:gridCol w:w="897"/>
        <w:gridCol w:w="109"/>
        <w:gridCol w:w="109"/>
        <w:gridCol w:w="109"/>
        <w:gridCol w:w="109"/>
        <w:gridCol w:w="211"/>
        <w:gridCol w:w="897"/>
        <w:gridCol w:w="109"/>
        <w:gridCol w:w="109"/>
        <w:gridCol w:w="109"/>
        <w:gridCol w:w="109"/>
        <w:gridCol w:w="211"/>
        <w:gridCol w:w="792"/>
        <w:gridCol w:w="158"/>
      </w:tblGrid>
      <w:tr>
        <w:trPr/>
        <w:tc>
          <w:tcPr>
            <w:tcW w:w="2164"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 (loss) on available-for-sale marketable securities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(95,057)</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5"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REDEEMABLE CONVERTIBLE PREFERRED STOCK AND STOCKHOLDERS’ EQUITY</w:t>
      </w:r>
    </w:p>
    <w:p>
      <w:pPr>
        <w:pStyle w:val="TextBody"/>
        <w:bidi w:val="0"/>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(in thousands) </w:t>
      </w:r>
    </w:p>
    <w:tbl>
      <w:tblPr>
        <w:tblW w:w="14671" w:type="dxa"/>
        <w:jc w:val="center"/>
        <w:tblInd w:w="0" w:type="dxa"/>
        <w:tblLayout w:type="fixed"/>
        <w:tblCellMar>
          <w:top w:w="28" w:type="dxa"/>
          <w:left w:w="28" w:type="dxa"/>
          <w:bottom w:w="28" w:type="dxa"/>
          <w:right w:w="28" w:type="dxa"/>
        </w:tblCellMar>
      </w:tblPr>
      <w:tblGrid>
        <w:gridCol w:w="711"/>
        <w:gridCol w:w="282"/>
        <w:gridCol w:w="283"/>
        <w:gridCol w:w="375"/>
        <w:gridCol w:w="376"/>
        <w:gridCol w:w="196"/>
        <w:gridCol w:w="203"/>
        <w:gridCol w:w="203"/>
        <w:gridCol w:w="109"/>
        <w:gridCol w:w="196"/>
        <w:gridCol w:w="736"/>
        <w:gridCol w:w="109"/>
        <w:gridCol w:w="109"/>
        <w:gridCol w:w="109"/>
        <w:gridCol w:w="109"/>
        <w:gridCol w:w="109"/>
        <w:gridCol w:w="109"/>
        <w:gridCol w:w="109"/>
        <w:gridCol w:w="367"/>
        <w:gridCol w:w="369"/>
        <w:gridCol w:w="196"/>
        <w:gridCol w:w="109"/>
        <w:gridCol w:w="109"/>
        <w:gridCol w:w="109"/>
        <w:gridCol w:w="196"/>
        <w:gridCol w:w="406"/>
        <w:gridCol w:w="109"/>
        <w:gridCol w:w="109"/>
        <w:gridCol w:w="109"/>
        <w:gridCol w:w="109"/>
        <w:gridCol w:w="196"/>
        <w:gridCol w:w="736"/>
        <w:gridCol w:w="109"/>
        <w:gridCol w:w="109"/>
        <w:gridCol w:w="109"/>
        <w:gridCol w:w="109"/>
        <w:gridCol w:w="212"/>
        <w:gridCol w:w="359"/>
        <w:gridCol w:w="120"/>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196"/>
        <w:gridCol w:w="77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(Deficit) Equity</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as of December 31, 2020</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(297,856)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redeemable convertible preferred stock into Class B common stock in connection with the Reverse Recapitalization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Reverse Recapitalization, net of issuance costs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622,588 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withholdings on release of restricted stock units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 net of repurchases of unvested common stock</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connection with acquisition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(95,325)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as of December 31, 2021</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744,985 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withholdings on release of restricted stock units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(77,232)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from Class B to Class A common stock</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89,376 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connection with acquisition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(137,916)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as of December 31, 2022</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153,693 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(2,196)</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(618,255)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6"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tbl>
      <w:tblPr>
        <w:tblW w:w="13549" w:type="dxa"/>
        <w:jc w:val="center"/>
        <w:tblInd w:w="0" w:type="dxa"/>
        <w:tblLayout w:type="fixed"/>
        <w:tblCellMar>
          <w:top w:w="28" w:type="dxa"/>
          <w:left w:w="28" w:type="dxa"/>
          <w:bottom w:w="28" w:type="dxa"/>
          <w:right w:w="28" w:type="dxa"/>
        </w:tblCellMar>
      </w:tblPr>
      <w:tblGrid>
        <w:gridCol w:w="621"/>
        <w:gridCol w:w="282"/>
        <w:gridCol w:w="283"/>
        <w:gridCol w:w="203"/>
        <w:gridCol w:w="203"/>
        <w:gridCol w:w="196"/>
        <w:gridCol w:w="109"/>
        <w:gridCol w:w="109"/>
        <w:gridCol w:w="109"/>
        <w:gridCol w:w="196"/>
        <w:gridCol w:w="406"/>
        <w:gridCol w:w="109"/>
        <w:gridCol w:w="109"/>
        <w:gridCol w:w="109"/>
        <w:gridCol w:w="109"/>
        <w:gridCol w:w="109"/>
        <w:gridCol w:w="109"/>
        <w:gridCol w:w="109"/>
        <w:gridCol w:w="368"/>
        <w:gridCol w:w="368"/>
        <w:gridCol w:w="196"/>
        <w:gridCol w:w="109"/>
        <w:gridCol w:w="109"/>
        <w:gridCol w:w="109"/>
        <w:gridCol w:w="251"/>
        <w:gridCol w:w="331"/>
        <w:gridCol w:w="109"/>
        <w:gridCol w:w="109"/>
        <w:gridCol w:w="109"/>
        <w:gridCol w:w="109"/>
        <w:gridCol w:w="368"/>
        <w:gridCol w:w="368"/>
        <w:gridCol w:w="196"/>
        <w:gridCol w:w="109"/>
        <w:gridCol w:w="109"/>
        <w:gridCol w:w="109"/>
        <w:gridCol w:w="251"/>
        <w:gridCol w:w="331"/>
        <w:gridCol w:w="109"/>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196"/>
        <w:gridCol w:w="73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as of December 31, 2022</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153,693 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218,029 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 of restricted stock units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withholdings on release of restricted stock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from Class B to Class A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83,025 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as of December 31, 2023</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186,415 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201,960 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(766,020)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558,557 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7"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362"/>
        <w:gridCol w:w="1950"/>
        <w:gridCol w:w="1965"/>
        <w:gridCol w:w="196"/>
        <w:gridCol w:w="788"/>
        <w:gridCol w:w="109"/>
        <w:gridCol w:w="109"/>
        <w:gridCol w:w="109"/>
        <w:gridCol w:w="109"/>
        <w:gridCol w:w="196"/>
        <w:gridCol w:w="788"/>
        <w:gridCol w:w="109"/>
        <w:gridCol w:w="109"/>
        <w:gridCol w:w="109"/>
        <w:gridCol w:w="109"/>
        <w:gridCol w:w="196"/>
        <w:gridCol w:w="736"/>
        <w:gridCol w:w="156"/>
      </w:tblGrid>
      <w:tr>
        <w:trPr/>
        <w:tc>
          <w:tcPr>
            <w:tcW w:w="2362"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6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(95,325)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47,514 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 debt expense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investments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(51,268)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(199,832)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of marketable securities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marketable securities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56,745 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 to Opportunity Finance Network</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(149,522)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 net of repurchases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employee stock purchase plan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Reverse Recapitalization</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628,489 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transaction costs related to the Reverse Recapitalization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withholdings on release of restricted stock units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637,576 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437,069 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84,743 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to the consolidated balance sheets:</w:t>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521,812 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disclosures:</w:t>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and early exercised stock options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arising from obtaining right-of-use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34,971 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Unpaid deferred transaction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redeemable convertible preferred stock into Class B common stock in connection with the Reverse Recapitalization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8"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 Description of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Nextdoor Holdings, Inc. (“Nextdoor” or the “Company”) is headquartered in San Francisco, California. Nextdoor’s purpose is to cultivate a kinder world where everyone has a neighborhood they can rely on. That purpose enables the Company’s mission to be the neighborhood hub for trusted connections and the exchange of helpful information, goods, and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5, 2021 (the “Closing”), the Company consummated the transactions contemplated by the Agreement and Plan of Merger, dated July 6, 2021, as amended on September 30, 2021 (the “Merger Agreement”), by and among Khosla Ventures Acquisition Co. II (“KVSB”), a special purpose acquisition company, Lorelei Merger Sub Inc. (“Merger Sub”), and Nextdoor, Inc. (“Legacy Nextdoor”), with Legacy Nextdoor surviving as a wholly owned subsidiary of KVSB (the “Merger” and, collectively with the other transactions that occurred in connection with the Merger, including the PIPE Investment (as described in Note 3, the “Reverse Recapitalization”)). In connection with the Closing, KVSB was renamed to Nextdoor Holdings, Inc. Reported results from operations included herein prior to the Reverse Recapitalization are those of Legacy Nextdoor.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See Note 3 - Reverse Recapitalization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Merger was accounted for as a reverse recapitalization in accordance with GAAP. This determination was primarily based on the evaluation of the following facts and circumstances: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Legacy Nextdoor stockholders had a relative majority of the voting power of Nextdoor;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Board of Directors of Nextdoor had ten members, and Legacy Nextdoor stockholders had the ability to nominate a majority of the members of the Board of Directors;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Legacy Nextdoor’s senior management comprised the senior management roles of Nextdoor and were responsible for the day-to-day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KVSB assumed the Nextdoor Holdings, Inc. name and Legacy Nextdoor’s corporate headquarters;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intended strategy and operations of Nextdoor continued Legacy Nextdoor’s strategy and operations to leverage technology to connect millions of neighbors online and in real life to build stronger, more vibrant, and resilient neighborhoods.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Under this method of accounting, KVSB was treated as the “acquired” company for financial reporting purposes. Accordingly, the financial statements of Nextdoor represent the continuation of the financial statements of Legacy Nextdoor, with the Merger reflected as the equivalent of Nextdoor issuing common stock for the net assets of KVSB, accompanied by a recapitalization. The shares and corresponding capital amounts and all per share data related to Legacy Nextdoor’s outstanding redeemable convertible preferred stock, common stock, and stock-based awards prior to the Reverse Recapitalization have been retroactively adjusted using the Exchange Ratio (as defined in Note 3). The conversion of the outstanding shares of Legacy Nextdoor redeemable convertible preferred stock into shares of Class B common stock in connection with the Reverse Recapitalization and the issuance of Class A common stock are presented as of the Closing of the Merger in the consolidated statements of redeemable convertible preferred stock and stockholders’ equity (deficit). The net assets of KVSB were recognized as of the Closing at historical cost, with no goodwill or other intangible assets recorded. Operations prior to the Merger are those of Legacy Nextdoor and Legacy Nextdoor’s operations are the only ongoing operations of Nextdoor.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that affect the amounts reported in the consolidated financial statements and accompanying notes. Estimates include, but are not limited to, valuation of financial instruments, valuation of common stock through the date of the Reverse Recapitalization, valuation of stock-based awards, revenue recognition, collectability of accounts receivable, valuation of acquired intangible assets and goodwill, useful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9"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international subsidiaries is generally their local currency. The financial statements of these subsidiaries are translated into U.S. dollars using month-end exchange rates for assets and liabilities, historical exchange rates for equity, and average exchange rates for revenue and expenses. Translation gains and losses are recorded in accumulated other comprehensive income (loss) as a component of stockholders’ equity (deficit). Unrealized foreign exchange gains and losses due to the re-measurement of monetary assets and liabilities denominated in non-functional currencies and realized foreign exchange gains and losses on foreign exchange transactions are recorded in other income (expense), net in the consolidated statements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highly liquid investments with insignificant interest rate risk and original maturities of three months or less at the time of purchase. Cash and cash equivalents include demand deposits, money market funds, corporate bonds, and commercial paper. Interest is accrued as earned. Cash and cash equivalents are recorded at cost, which approximates fair value.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marketable securities are comprised of certificates of deposit, commercial paper, corporate bonds, U.S. Treasury securities, U.S. agency bonds, and asset-backed securities. The Company determines the appropriate classification of its investments at the time of purchase and reevaluates such designation at each balance sheet date. The Company has classified and accounted for its investments as available-for-sale securities as the Company may sell these securities at any time for use in its current operations or for other purposes, even prior to maturity. As a result, the Company classifies its investments, including securities with stated maturities beyond 12 months, within current assets on the consolidated balance sheets.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 are recorded at fair value each reporting period. Unrealized gains and losses on these investments are reported as a separate component of accumulated other comprehensive income (loss) on the consolidated balance sheets until realized. Interest income is reported within interest income in the consolidated statements of operations. The Company periodically evaluates its marketable securities to assess whether those with unrealized loss positions are other-than-temporarily impaired. The Company considers various factors in determining whether to recognize an impairment charge, including the length of time the investment has been in a loss position, the extent to which the fair value is less than the Company’s cost basis, the financial condition and near-term prospects of the investee. Realized gains and losses are determined based on the specific identification method and are reported in other income (expense), net in the consolidated statements of operations. If the Company determines that the decline in an investment’s fair value is other than temporary, the difference is recognized as an impairment loss in the consolidated statements of operations. The Company did not consider any of its investments to be other-than-temporarily impaired for the years ended December 31, 2023 and 2022.</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certain assets and liabilities at fair value, which is the expected exchange price that would be received for an asset or an exit price paid to transfer a liability in an orderly transaction between market participants on the measurement date. Assets and liabilities measured at fair value are classified into the following categories based on the degree to which the inputs the Company uses to measure the fair values are observable in active markets. The Company uses the most observable inputs available when measuring fair value.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Level 1: Observable inputs such as unadjusted quoted prices for identical assets or liabilities in active markets;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Level 2: Observable inputs such as quoted prices for similar assets or liabilities in active markets, quoted prices for identical assets or liabilities in inactive markets, or inputs that are derived principally from or corroborated by observable market data or other means;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Level 3: Unobservable inputs that are supported by little or no market activity and are significant to the fair value of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0"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Accounts Receivable and Allowance for Doubtful Accounts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accounts receivable at the original invoiced amount. The Company maintains an allowance for doubtful accounts for any receivables it may be unable to collect and reduces the allowance when it determines that it will be unable to collect specific receivables. The Company determines the allowance based on its receivables’ age, the customers’ credit quality, and current economic conditions, among other factors that may affect the customers’ ability to pay.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restricted cash balance is invested in a savings account and pledged as collateral for standby letters of credit as security deposits for the Company’s office leases.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recorded at cost, less accumulated depreciation and amortization. Depreciation and amortization are computed using the straight-line method over the estimated useful lives of the assets as follows:</w:t>
      </w:r>
    </w:p>
    <w:tbl>
      <w:tblPr>
        <w:tblW w:w="8024" w:type="dxa"/>
        <w:jc w:val="left"/>
        <w:tblInd w:w="0" w:type="dxa"/>
        <w:tblLayout w:type="fixed"/>
        <w:tblCellMar>
          <w:top w:w="28" w:type="dxa"/>
          <w:left w:w="28" w:type="dxa"/>
          <w:bottom w:w="28" w:type="dxa"/>
          <w:right w:w="28" w:type="dxa"/>
        </w:tblCellMar>
      </w:tblPr>
      <w:tblGrid>
        <w:gridCol w:w="1054"/>
        <w:gridCol w:w="925"/>
        <w:gridCol w:w="931"/>
        <w:gridCol w:w="1497"/>
        <w:gridCol w:w="1497"/>
        <w:gridCol w:w="2120"/>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5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Shorter of the estimated useful life of 5 years or the lease term</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Maintenance and repair costs are expensed as incurred.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Capitalized Internal-use Software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capitalizes internal-use software costs when preliminary development efforts are successfully completed, management has authorized and committed project funding, and it is probable that the project will be completed, and the software will be used as intended. Costs related to preliminary project activities and post-implementation activities are expensed as incurred and costs related to the application development stage are capitalized. Capitalized costs are recorded as part of property and equipment, net. The capitalized costs related to internal-use software are amortized on a straight-line basis over an estimated useful life of two to three years. Management evaluates the useful lives of these assets on an annual basis and tests for impairment whenever events or changes in circumstances occur that could impact the recoverability of these assets. The Company did not capitalize any internal-use software costs for the year ended December 31, 2023. The Company capitalized $0.3 million of internal-use software costs for the year ended December 31, 2022.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Goodwill and Other Acquired Intangible Assets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purchase price over the fair value of net assets acquired in connection with business combinations accounted for using the acquisition method of accounting. Goodwill is not amortized, but is tested for impairment at least annually, in the fourth quarter, or whenever events or changes in circumstances indicate that goodwill might be impaired. For all periods presented the Company had one reporting unit. The Company’s test for goodwill impairment starts with a qualitative assessment to determine whether it is necessary to perform the quantitative goodwill impairment test. If the Company determines, based on the qualitative factors, that the fair value of the reporting unit is more likely than not to be less than the carrying amount, then a quantitative goodwill impairment test is required. There was no impairment of goodwill recorded for the periods presented.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identifiable intangible assets, including customer relationships and developed technology, resulting from the Company’s acquisitions. Acquired intangible assets are recorded at cost, net of accumulated amortization. Intangible assets are amortized on a straight-line basis over their estimated useful lives. Amortization costs are recorded in sales and marketing in the consolidated statements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and other long-lived assets, such as finite-lived intangible assets, subject to amortization, are reviewed for impairment whenever events or changes in circumstances indicate the carrying amount of an asset may not be recoverable. Recoverability of these assets is measured by a comparison of the carrying amounts to the future undiscounted cash flows the assets are expected to generate. If impairment is indicated, an impairment loss is recognized as the amount by which the carrying amount exceeds the fair value. No impairment was recorded for long-lived assets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1"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Results and disclosure requirements for all periods presented are presented under ASU 2016-02, Leases (“Topic 842”).</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various lease agreements related to real estate that are all classified as operating leases. At the inception of the Company’s contracts it determines if the contract is or contains a lease. A contract is or contains a lease if it conveys the right to control the use of an identified asset for a period of time in exchange for consideration. The Company has elected not to separate the lease and non-lease components within the contract. For leases that have greater than a 12-month lease term, right-of-use (“ROU”) assets and operating lease liabilities are recognized on the consolidated balance sheets at commencement date based on the present value of remaining fixed lease payments.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Company’s leases include options to extend the lease, with renewal terms that can extend the lease term from one month to five years. If the Company is reasonably certain to exercise an option to extend a lease, the extension period is included as part of the ROU asset and the operating lease liability.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When the discount rate implicit in the lease cannot be readily determined, the Company uses its incremental borrowing rate at lease commencement in order to discount lease payments to present value for purposes of performing lease classification tests and measuring the lease liability. The Company’s incremental borrowing rate represents the rate of interest the Company would have to pay to borrow, on a collateralized basis, over a similar term an amount equal to the lease payments in a similar economic environment.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lease ROU asset also includes accrued lease expense resulting from the straight-line accounting under prior accounting methods, which is now being amortized over the remaining life of the lease.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lease payments are largely fixed. Variable lease payments exist in circumstances such as payments for property tax, insurance, and common area maintenance. Variable lease payments are recognized in operating expense in the period in which the obligation for those payments are incurred. Certain of the Company’s leases include an option to early terminate the lease. The Company’s leases may contain early termination options which may result in an early termination fee. The Company has a significant lease for its headquarters in San Francisco, California, which does not include an option to early terminate.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the Company’s leases, it has elected to not apply the recognition requirements to leases of twelve months or less. These leases are expensed on a straight-line basis and no ROU asset or operating lease liability is recorded.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Concentration of Credit and Customer Risks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are exposed to concentrations of credit risk consist principally of cash and cash equivalents, marketable securities and accounts receivable. The Company maintains cash and cash equivalents and marketable securities with domestic and foreign financial institutions and at times may exceed federally insured limits. The Company performs periodic evaluations of the relative credit standing of these institutions. The Company maintains investments in U.S. government debt and agency securities, corporate debt securities, and commercial paper that carry high credit ratings and accordingly, minimal credit risk exists with respect to these balances.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One customer accounted for 19% and 24% of the Company’s accounts receivable as of December 31, 2023 and 2022, respectively. No customer accounted for 10% or more of the Company’s total revenue for the years ended December 31, 2023, 2022 and 2021.</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generates a majority of its revenue from the delivery of advertising services.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revenue recognition through the following steps: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(1)Identification of the contract, or contracts, with a customer;</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(2)Identification of the performance obligations in the contract;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(3)Determination of the transaction price;</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(4)Allocation of the transaction price to the performance obligations in the contract;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(5)Recognition of revenue when, or as, the Company satisfies a performance obligation.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advertising revenue after satisfying its contractual performance obligation, which, for the majority of its advertising arrangements, is when an advertising impression is displayed to users. None of the Company’s arrangements contain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2"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minimum impression guarantees. The Company typically bills advertisers on a monthly basis and the payment terms vary by customer type and location. The Company has other advertising arrangements which are typically fixed-fee arrangements and revenue is recognized on a straight-line basis over the non-cancellable contractual term of the agreement, generally beginning on the date its service is made available to the customer.</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advertising arrangements the Company requires payment upfront from its customers. The Company records deferred revenue when it collects cash from customers in advance of revenue recognition. As of December 31, 2023 and 2022, deferred revenue was $8.3 million and $6.0 million, respectively, and included within accrued expenses and other current liabilities on the consolidated balance sheets. For the years ended December 31, 2023 and 2022, revenue recognized from deferred revenue at the beginning of each year was $3.0 million and $2.9 million,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Practical Expedients and Exemptions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expenses sales commissions as incurred because the expected period of benefit is less than one year. These costs are recorded within sales and marketing expenses in the consolidated statements of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disclose the value of unsatisfied performance obligations for (i) contracts with an original expected length of one year or less and (ii) contracts for which it recognizes revenue at the amount to which it has the right to invoice for services performed.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expenses associated with the delivery of the Company’s revenue generating activities, including third-party costs of hosting its platform and allocated personnel-related costs, including salaries, benefits, and stock-based compensation for employees engaged in development of its revenue generating products. Cost of revenue also includes third-party costs associated with delivering and supporting its advertising products and credit card transaction fees related to processing customer transactions.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personnel-related costs, including salaries, benefits, restructuring costs, and stock-based compensation for its employees engaged in research and development, as well as costs for consultants, contractors and third-party software. In addition, allocated overhead costs, such as facilities, information technology, and depreciation are included in research and development expenses.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consist primarily of personnel-related costs and other costs which include salaries, commissions, benefits, restructuring costs,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local business acquisition, and neighbor services, which includes personnel-related costs for the Company's neighbor support team, its outsourced neighbor support function, and verification costs.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personnel-related costs, including salaries, benefits, restructuring costs,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Advertising Costs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which consist primarily of brand and performance marketing are expensed as incurred and are included in sales and marketing expense in the consolidated statements of operations. Total advertising costs incurred were $18.1 million, $33.6 million, and $37.5 million for the years ended December 31, 2023,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3"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income taxes are recognized for differences between financial reporting and tax bases of assets and liabilities at the enacted statutory tax rates in effect for the years in which the temporary differences are expected to reverse. Management makes an assessment of the likelihood that the resulting deferred tax assets will be realized. A valuation allowance is provided when it is more likely than not that some portion or all of a deferred tax asset will not be realized. Due to the Company’s historical operating performance and the recorded cumulative net losses in prior fiscal periods, the U.S. net deferred tax assets have been fully offset by a valuation allowance.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various tax jurisdictions which are subject to audit by various tax authorities. The Company recognizes a tax benefit from an uncertain tax position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cumulative likelihood of being realized upon settlement. The Company recognizes interest and penalties related to unrecognized tax benefits in the income tax provision in the consolidated statements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Net Loss Per Share Attributable to Common Stockholders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presents net loss per share attributable to common stockholders in conformity with the two-class method required for multiple classes of common stock and participating securities. Under the two-class method, net loss is attributed to common stockholders and participating securities based on their participation rights. The rights, including the liquidation and dividend rights, of the Class A common stock and Class B common stock are substantially identical, other than voting rights. Accordingly, the Class A common stock and Class B common stock share proportionately in the Company’s net losses. The Company considers its redeemable convertible preferred stock (prior to the Reverse Recapitalization), early exercised stock options, and unvested restricted stock to be participating securities and contractually entitles the holders of such shares to participate in dividends but does not contractually obligate the holders of such shares to participate in the Company’s losses. As such, net losses for the periods presented were not allocated to these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computes basic net loss per share attributable to common stockholders by dividing the net loss attributable to common stockholders by the weighted average number of shares of common stock outstanding during the period, adjusted for outstanding shares that are subject to repurchase. Diluted net loss per share attributable to common stockholders is computed by giving effect to all potentially dilutive securities outstanding for the period. For periods in which the Company reports net losses, diluted net loss per share attributable to common stockholders is the same as basic net loss per share attributable to common stockholders, because all potentially dilutive securities are anti-dilutive.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for stock-based awards granted to employees and non-employees is measured based on the grant date fair value of the awards and recognized in the consolidated statements of operations on a straight-line basis over the period during which services are provided in exchange for the award, generally, the vesting period of the award. The grant date fair value of stock options granted is estimated using the Black-Scholes option pricing model. Forfeitures are accounted for as they occur.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one reportable and operating segment. The Company’s chief operating decision maker is its Chief Executive Officer (“CEO”), who reviews financial information presented on a consolidated basis for purposes of making operating decisions, assessing financial performance, and allocating resources. See Note 13 - Geographical Information for more details on the Company’s revenue and long-lived assets by jurisdiction.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Pronouncements </w:t>
      </w:r>
    </w:p>
    <w:p>
      <w:pPr>
        <w:pStyle w:val="TextBody"/>
        <w:bidi w:val="0"/>
        <w:spacing w:lineRule="auto" w:line="288" w:before="0" w:after="180"/>
        <w:jc w:val="both"/>
        <w:rPr/>
      </w:pPr>
      <w:r>
        <w:rPr>
          <w:rFonts w:ascii="Times New Roman;sans-serif" w:hAnsi="Times New Roman;sans-serif"/>
          <w:b w:val="false"/>
          <w:color w:val="000000"/>
          <w:sz w:val="20"/>
        </w:rPr>
        <w:t xml:space="preserve">In June 2016, the FASB issued ASU 2016-13, </w:t>
      </w:r>
      <w:r>
        <w:rPr>
          <w:rFonts w:ascii="Times New Roman;sans-serif" w:hAnsi="Times New Roman;sans-serif"/>
          <w:b w:val="false"/>
          <w:i/>
          <w:color w:val="000000"/>
          <w:sz w:val="20"/>
        </w:rPr>
        <w:t>Financial Instruments—Credit Losses</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Topic 326</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Measurement of Credit Losses on Financial Instruments</w:t>
      </w:r>
      <w:r>
        <w:rPr>
          <w:rFonts w:ascii="Times New Roman;sans-serif" w:hAnsi="Times New Roman;sans-serif"/>
          <w:b w:val="false"/>
          <w:color w:val="000000"/>
          <w:sz w:val="20"/>
        </w:rPr>
        <w:t xml:space="preserve">, and has since issued various amendments including ASU 2018-19, ASU 2019-04, and ASU 2019-05. The guidance and related amendments modify the accounting for credit losses for most financial assets and require the use of an expected loss model, replacing the currently used incurred loss method. Under this model, entities will be required to estimate the lifetime expected credit loss on such instruments and record an allowance to offset the amortized cost basis of the financial asset, resulting in a net presentation of the amount expected to be collected on the financial asset. The Company adopted this standard as of January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4"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both"/>
        <w:rPr/>
      </w:pPr>
      <w:r>
        <w:rPr>
          <w:rFonts w:ascii="Times New Roman;sans-serif" w:hAnsi="Times New Roman;sans-serif"/>
          <w:b w:val="false"/>
          <w:color w:val="000000"/>
          <w:sz w:val="20"/>
        </w:rPr>
        <w:t>2023, and the adoption did not have an impact on the Company’s consolidated financial statements.</w:t>
        <w:br/>
        <w:br/>
      </w:r>
      <w:r>
        <w:rPr>
          <w:rFonts w:ascii="Times New Roman;sans-serif" w:hAnsi="Times New Roman;sans-serif"/>
          <w:b/>
          <w:i/>
          <w:color w:val="000000"/>
          <w:sz w:val="20"/>
        </w:rPr>
        <w:t>Recently Issued Accounting Pronouncements Not Yet Adopted</w:t>
      </w:r>
    </w:p>
    <w:p>
      <w:pPr>
        <w:pStyle w:val="TextBody"/>
        <w:bidi w:val="0"/>
        <w:spacing w:lineRule="auto" w:line="288" w:before="0" w:after="18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expands annual and interim disclosure requirements for reportable segments, primarily through enhanced disclosures about significant segment expenses. The ASU is effective for fiscal years beginning after December 15, 2023 with early adoption permitted. The Company is currently evaluating the impact of this standard on its consolidated financial statements and related disclosures.</w:t>
      </w:r>
    </w:p>
    <w:p>
      <w:pPr>
        <w:pStyle w:val="TextBody"/>
        <w:bidi w:val="0"/>
        <w:spacing w:lineRule="auto" w:line="288" w:before="0" w:after="18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expands income tax disclosures primarily related to an entity’s rate reconciliation and information on income taxes paid. The ASU is effective for fiscal years beginning after December 15, 2024 with early adoption permitted. The Company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3. Reverse Recapitalization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Merger Agreement, as described in Note 1, Merger Sub merged with and into Legacy Nextdoor, with Legacy Nextdoor surviving the Merger. Legacy Nextdoor became a wholly owned subsidiary of KVSB and KVSB was immediately renamed Nextdoor Holdings, Inc. Upon the consummation of the Merger, the following events contemplated by the Merger Agreement occurred, based on Legacy Nextdoor’s capitalization as of November 5, 2021: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all 61,331,815 issued and outstanding shares of Legacy Nextdoor redeemable convertible preferred stock were converted into 61,331,815 shares of Legacy Nextdoor common stock at the conversion rate as calculated pursuant to Legacy Nextdoor’s certificate of incorporation;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all 97,886,321 issued and outstanding shares of Legacy Nextdoor common stock (including Legacy Nextdoor common stock resulting from the conversion of the Legacy Nextdoor redeemable convertible preferred stock) were converted into 304,003,976 shares of Nextdoor Class B common stock after giving effect to the exchange ratio of 3.1057 as calculated in accordance with the Merger Agreement (“Exchange Ratio”);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all 19,196,313 granted and outstanding unexercised Legacy Nextdoor options were converted into 59,616,898 Nextdoor options exercisable for shares of Nextdoor Class B common stock with the same terms and vesting conditions except for the number of shares exercisable and the exercise price, each of which was adjusted by the Exchange Ratio;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all 866,687 granted and outstanding unvested Legacy Nextdoor restricted stock units (“RSUs”) were converted into 2,691,577 Nextdoor RSUs for shares of Nextdoor Class B common stock with the same terms and vesting conditions except for the number of shares, which was adjusted by the Exchange Ratio;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entitlement to receive 58,135 shares of Legacy Nextdoor common stock pursuant to the Pixel Labs Merger Agreement converted into the right to receive 180,549 shares of Nextdoor Class B common stock, which was adjusted by the Exchange Ratio.</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304,003,976 shares of Nextdoor Class B common stock issued and outstanding as of the Closing and Nextdoor options and RSUs covering 62,308,475 shares reserved for the potential future issuance of Nextdoor Class B common stock as of the Closing.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Merger: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all KVSB Class B founder shares, consisting of 5,000,000 shares of KVSB Class B common stock, automatically converted into an aggregate of 7,347,249 shares of Nextdoor Class A common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all KVSB Class K founder shares, consisting of 5,000,000 shares of KVSB Class K common stock, converted into an aggregate of 3,061,354 shares of Nextdoor Class A common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all 1,132,688 private placement sponsor shares of KVSB Class A common stock converted into shares of Nextdoor Class A common stock on a one-to-one basis;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40,412,372 shares of KVSB Class A common stock held by KVSB public stockholders, net of the redemption of 1,222,040 shares of KVSB Class A common stock, converted into Nextdoor Class A common stock on a one-to-one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5"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July 6, 2021, concurrently with the execution of the Merger Agreement, KVSB entered into subscription agreements with certain investors (collectively, the “PIPE Investors”), pursuant to, and on the terms and subject to the conditions of which, the PIPE Investors subscribed for an aggregate of 27,000,000 shares of Class A common stock, which included 750,000 shares of Nextdoor Class A common stock to the KVSB sponsor and 4,500,000 shares of Nextdoor Class A common stock to certain Legacy Nextdoor stockholders, including 500,000 shares of Nextdoor Class A common stock to Nextdoor's Chief Executive Officer and President, for an aggregate purchase price of $270.0 million (the “PIPE Investment”). The PIPE Investment was consummated substantially concurrently with the Closing of the Merger.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78,953,663 shares of Nextdoor Class A common stock issued and outstanding as of the Closing.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holder of shares of Class A common stock is entitled to one vote for each share of Class A common stock held on all matters submitted to a vote of stockholders and each holder of shares of Class B common stock is entitled to 10 votes for each share of Class B common stock held on all matters submitted to a vote of stockholders.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number of shares of common stock issued and outstanding immediately following the Reverse Recapitalization:</w:t>
      </w:r>
    </w:p>
    <w:tbl>
      <w:tblPr>
        <w:tblW w:w="7501" w:type="dxa"/>
        <w:jc w:val="left"/>
        <w:tblInd w:w="0" w:type="dxa"/>
        <w:tblLayout w:type="fixed"/>
        <w:tblCellMar>
          <w:top w:w="28" w:type="dxa"/>
          <w:left w:w="28" w:type="dxa"/>
          <w:bottom w:w="28" w:type="dxa"/>
          <w:right w:w="28" w:type="dxa"/>
        </w:tblCellMar>
      </w:tblPr>
      <w:tblGrid>
        <w:gridCol w:w="2288"/>
        <w:gridCol w:w="2009"/>
        <w:gridCol w:w="2018"/>
        <w:gridCol w:w="345"/>
        <w:gridCol w:w="345"/>
        <w:gridCol w:w="496"/>
      </w:tblGrid>
      <w:tr>
        <w:trPr/>
        <w:tc>
          <w:tcPr>
            <w:tcW w:w="2288"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KVSB Class A common stock, outstanding prior to Reverse Recapitalization</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42,767,100</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redemption of KVSB Class A common stock</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(1,222,040)</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KVSB Class B founder shares</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7,347,249</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KVSB Class K common stock</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3,061,354</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to PIPE Investors</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27,000,000</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Nextdoor Class A common stock</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78,953,663</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Conversion of Legacy Nextdoor common stock </w:t>
            </w:r>
            <w:r>
              <w:rPr>
                <w:rFonts w:ascii="Times New Roman;sans-serif" w:hAnsi="Times New Roman;sans-serif"/>
                <w:b w:val="false"/>
                <w:color w:val="000000"/>
                <w:sz w:val="13"/>
              </w:rPr>
              <w:t>(1)</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113,526,555</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Conversion of Legacy Nextdoor redeemable convertible preferred stock </w:t>
            </w:r>
            <w:r>
              <w:rPr>
                <w:rFonts w:ascii="Times New Roman;sans-serif" w:hAnsi="Times New Roman;sans-serif"/>
                <w:b w:val="false"/>
                <w:color w:val="000000"/>
                <w:sz w:val="13"/>
              </w:rPr>
              <w:t>(2)</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190,477,421</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Nextdoor Class B common stock</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304,003,976</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immediately after Reverse Recapitalization</w:t>
            </w:r>
          </w:p>
        </w:tc>
        <w:tc>
          <w:tcPr>
            <w:tcW w:w="118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382,957,639</w:t>
            </w:r>
          </w:p>
        </w:tc>
      </w:tr>
    </w:tbl>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Upon the completion of the Reverse Recapitalization, the 36,554,506 outstanding shares of Legacy Nextdoor common stock were converted into shares of Nextdoor Class B common stock using the Exchange Ratio. </w:t>
      </w:r>
    </w:p>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(2) Upon the completion of the Reverse Recapitalization, all 61,331,815 outstanding shares of Legacy Nextdoor redeemable convertible preferred stock converted into Legacy Nextdoor common stock on a one-to-one basis, which were then converted into shares of Nextdoor Class B common stock using the Exchange Ratio.</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KVSB was treated as the “acquired” company for financial reporting purposes. Accordingly, the financial statements of Nextdoor represent the continuation of the financial statements of Legacy Nextdoor, with the Merger reflected as the equivalent of Nextdoor issuing common stock for the net assets of KVSB, accompanied by a recapitalization. The net assets of KVSB were recognized as of the Closing at historical cost, with no goodwill or other intangible assets recorded. Operations prior to the Merger are those of Legacy Nextdoor and Legacy Nextdoor’s operations are the only ongoing operations of Nextdoor.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Reverse Recapitalization, the Company raised $628.5 million of proceeds, presented as cash flows from financing activities, which included the contribution of $416.4 million of funds held in KVSB’s trust account, $0.2 million of cash held in KVSB’s operating cash account, and $270.0 million of proceeds from the PIPE Investment, net of $12.2 million paid to redeem 1,222,040 public shares of KVSB’s Class A common stock and $45.9 million in transaction costs incurred by KVSB. Legacy Nextdoor incurred $5.7 million of transaction costs, which consisted of direct incremental legal, accounting, consulting, and other fees which were recorded as deferred transaction costs and upon completion of the Reverse Recapitalization were reclassified to additional paid-in capital as a reduction of the net proceeds received.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and corresponding capital amounts and all per share data related to Legacy Nextdoor’s outstanding redeemable convertible preferred stock, common stock, and stock-based awards prior to the Reverse Recapitalization have been retroactively adjusted using the Exchange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6"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4. Cash Equivalents and Marketable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costs, unrealized gains and losses, and estimated fair values of the Company’s cash equivalents and marketable securities were as follows (in thousands):</w:t>
      </w:r>
    </w:p>
    <w:tbl>
      <w:tblPr>
        <w:tblW w:w="7459" w:type="dxa"/>
        <w:jc w:val="left"/>
        <w:tblInd w:w="0" w:type="dxa"/>
        <w:tblLayout w:type="fixed"/>
        <w:tblCellMar>
          <w:top w:w="28" w:type="dxa"/>
          <w:left w:w="28" w:type="dxa"/>
          <w:bottom w:w="28" w:type="dxa"/>
          <w:right w:w="28" w:type="dxa"/>
        </w:tblCellMar>
      </w:tblPr>
      <w:tblGrid>
        <w:gridCol w:w="837"/>
        <w:gridCol w:w="734"/>
        <w:gridCol w:w="739"/>
        <w:gridCol w:w="211"/>
        <w:gridCol w:w="826"/>
        <w:gridCol w:w="109"/>
        <w:gridCol w:w="109"/>
        <w:gridCol w:w="109"/>
        <w:gridCol w:w="109"/>
        <w:gridCol w:w="211"/>
        <w:gridCol w:w="616"/>
        <w:gridCol w:w="109"/>
        <w:gridCol w:w="109"/>
        <w:gridCol w:w="109"/>
        <w:gridCol w:w="109"/>
        <w:gridCol w:w="233"/>
        <w:gridCol w:w="541"/>
        <w:gridCol w:w="121"/>
        <w:gridCol w:w="109"/>
        <w:gridCol w:w="109"/>
        <w:gridCol w:w="109"/>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25" w:type="dxa"/>
        <w:jc w:val="left"/>
        <w:tblInd w:w="0" w:type="dxa"/>
        <w:tblLayout w:type="fixed"/>
        <w:tblCellMar>
          <w:top w:w="28" w:type="dxa"/>
          <w:left w:w="28" w:type="dxa"/>
          <w:bottom w:w="28" w:type="dxa"/>
          <w:right w:w="28" w:type="dxa"/>
        </w:tblCellMar>
      </w:tblPr>
      <w:tblGrid>
        <w:gridCol w:w="837"/>
        <w:gridCol w:w="734"/>
        <w:gridCol w:w="739"/>
        <w:gridCol w:w="211"/>
        <w:gridCol w:w="826"/>
        <w:gridCol w:w="109"/>
        <w:gridCol w:w="109"/>
        <w:gridCol w:w="109"/>
        <w:gridCol w:w="109"/>
        <w:gridCol w:w="237"/>
        <w:gridCol w:w="525"/>
        <w:gridCol w:w="124"/>
        <w:gridCol w:w="109"/>
        <w:gridCol w:w="109"/>
        <w:gridCol w:w="109"/>
        <w:gridCol w:w="211"/>
        <w:gridCol w:w="691"/>
        <w:gridCol w:w="109"/>
        <w:gridCol w:w="109"/>
        <w:gridCol w:w="109"/>
        <w:gridCol w:w="109"/>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marketable securities are designated as available-for-sale securities as of December 31, 2023 and 2022.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and gross unrealized losses aggregated by category and the length of time that individual securities have been in a continuous unrealized loss position. No investments had been in a continuous unrealized loss position for greater than 12 months as of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7"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587"/>
        <w:gridCol w:w="470"/>
        <w:gridCol w:w="471"/>
        <w:gridCol w:w="211"/>
        <w:gridCol w:w="826"/>
        <w:gridCol w:w="109"/>
        <w:gridCol w:w="109"/>
        <w:gridCol w:w="109"/>
        <w:gridCol w:w="109"/>
        <w:gridCol w:w="319"/>
        <w:gridCol w:w="736"/>
        <w:gridCol w:w="165"/>
        <w:gridCol w:w="109"/>
        <w:gridCol w:w="109"/>
        <w:gridCol w:w="109"/>
        <w:gridCol w:w="211"/>
        <w:gridCol w:w="721"/>
        <w:gridCol w:w="109"/>
        <w:gridCol w:w="109"/>
        <w:gridCol w:w="109"/>
        <w:gridCol w:w="109"/>
        <w:gridCol w:w="354"/>
        <w:gridCol w:w="682"/>
        <w:gridCol w:w="184"/>
        <w:gridCol w:w="109"/>
        <w:gridCol w:w="109"/>
        <w:gridCol w:w="109"/>
        <w:gridCol w:w="211"/>
        <w:gridCol w:w="826"/>
        <w:gridCol w:w="109"/>
        <w:gridCol w:w="109"/>
        <w:gridCol w:w="109"/>
        <w:gridCol w:w="109"/>
        <w:gridCol w:w="313"/>
        <w:gridCol w:w="723"/>
        <w:gridCol w:w="233"/>
      </w:tblGrid>
      <w:tr>
        <w:trPr/>
        <w:tc>
          <w:tcPr>
            <w:tcW w:w="58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r>
      <w:tr>
        <w:trPr/>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contractual maturities of the Company’s marketable securities (in thousands):</w:t>
      </w:r>
    </w:p>
    <w:tbl>
      <w:tblPr>
        <w:tblW w:w="4913" w:type="dxa"/>
        <w:jc w:val="left"/>
        <w:tblInd w:w="0" w:type="dxa"/>
        <w:tblLayout w:type="fixed"/>
        <w:tblCellMar>
          <w:top w:w="28" w:type="dxa"/>
          <w:left w:w="28" w:type="dxa"/>
          <w:bottom w:w="28" w:type="dxa"/>
          <w:right w:w="28" w:type="dxa"/>
        </w:tblCellMar>
      </w:tblPr>
      <w:tblGrid>
        <w:gridCol w:w="815"/>
        <w:gridCol w:w="714"/>
        <w:gridCol w:w="720"/>
        <w:gridCol w:w="211"/>
        <w:gridCol w:w="826"/>
        <w:gridCol w:w="109"/>
        <w:gridCol w:w="109"/>
        <w:gridCol w:w="109"/>
        <w:gridCol w:w="109"/>
        <w:gridCol w:w="211"/>
        <w:gridCol w:w="826"/>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Amortized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Fair Value </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to four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913" w:type="dxa"/>
        <w:jc w:val="left"/>
        <w:tblInd w:w="0" w:type="dxa"/>
        <w:tblLayout w:type="fixed"/>
        <w:tblCellMar>
          <w:top w:w="28" w:type="dxa"/>
          <w:left w:w="28" w:type="dxa"/>
          <w:bottom w:w="28" w:type="dxa"/>
          <w:right w:w="28" w:type="dxa"/>
        </w:tblCellMar>
      </w:tblPr>
      <w:tblGrid>
        <w:gridCol w:w="815"/>
        <w:gridCol w:w="714"/>
        <w:gridCol w:w="720"/>
        <w:gridCol w:w="211"/>
        <w:gridCol w:w="826"/>
        <w:gridCol w:w="109"/>
        <w:gridCol w:w="109"/>
        <w:gridCol w:w="109"/>
        <w:gridCol w:w="109"/>
        <w:gridCol w:w="211"/>
        <w:gridCol w:w="826"/>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Amortized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Fair Value </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to four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5. Fair Value Measurements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measured at fair value on a recurring basis are classified by level within the fair value hierarchy. There were no financial assets or liabilities measured using Level 3 inputs as of December 31, 2023 and 2022. The following table presents information about the Company’s financial assets that are measured at fair value on a recurring basis (in thousands):</w:t>
      </w:r>
    </w:p>
    <w:tbl>
      <w:tblPr>
        <w:tblW w:w="6342" w:type="dxa"/>
        <w:jc w:val="left"/>
        <w:tblInd w:w="0" w:type="dxa"/>
        <w:tblLayout w:type="fixed"/>
        <w:tblCellMar>
          <w:top w:w="28" w:type="dxa"/>
          <w:left w:w="28" w:type="dxa"/>
          <w:bottom w:w="28" w:type="dxa"/>
          <w:right w:w="28" w:type="dxa"/>
        </w:tblCellMar>
      </w:tblPr>
      <w:tblGrid>
        <w:gridCol w:w="837"/>
        <w:gridCol w:w="734"/>
        <w:gridCol w:w="739"/>
        <w:gridCol w:w="211"/>
        <w:gridCol w:w="721"/>
        <w:gridCol w:w="109"/>
        <w:gridCol w:w="109"/>
        <w:gridCol w:w="109"/>
        <w:gridCol w:w="109"/>
        <w:gridCol w:w="211"/>
        <w:gridCol w:w="826"/>
        <w:gridCol w:w="109"/>
        <w:gridCol w:w="109"/>
        <w:gridCol w:w="109"/>
        <w:gridCol w:w="109"/>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8"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tbl>
      <w:tblPr>
        <w:tblW w:w="6342" w:type="dxa"/>
        <w:jc w:val="left"/>
        <w:tblInd w:w="0" w:type="dxa"/>
        <w:tblLayout w:type="fixed"/>
        <w:tblCellMar>
          <w:top w:w="28" w:type="dxa"/>
          <w:left w:w="28" w:type="dxa"/>
          <w:bottom w:w="28" w:type="dxa"/>
          <w:right w:w="28" w:type="dxa"/>
        </w:tblCellMar>
      </w:tblPr>
      <w:tblGrid>
        <w:gridCol w:w="837"/>
        <w:gridCol w:w="734"/>
        <w:gridCol w:w="739"/>
        <w:gridCol w:w="211"/>
        <w:gridCol w:w="721"/>
        <w:gridCol w:w="109"/>
        <w:gridCol w:w="109"/>
        <w:gridCol w:w="109"/>
        <w:gridCol w:w="109"/>
        <w:gridCol w:w="211"/>
        <w:gridCol w:w="826"/>
        <w:gridCol w:w="109"/>
        <w:gridCol w:w="109"/>
        <w:gridCol w:w="109"/>
        <w:gridCol w:w="109"/>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cash equivalents, marketable securities, and note receivable within Level 1 or Level 2 because it determines their fair values using quoted market prices or alternative pricing sources and models utilizing market observable inputs. There were no transfers between levels of the fair value hierarchy during the years ended December 31, 2023 and 2022.</w:t>
      </w:r>
    </w:p>
    <w:p>
      <w:pPr>
        <w:pStyle w:val="TextBody"/>
        <w:bidi w:val="0"/>
        <w:spacing w:lineRule="auto" w:line="288" w:before="0" w:after="180"/>
        <w:jc w:val="both"/>
        <w:rPr/>
      </w:pPr>
      <w:r>
        <w:rPr>
          <w:rFonts w:ascii="Times New Roman;sans-serif" w:hAnsi="Times New Roman;sans-serif"/>
          <w:b w:val="false"/>
          <w:color w:val="000000"/>
          <w:sz w:val="20"/>
        </w:rPr>
        <w:br/>
      </w:r>
      <w:r>
        <w:rPr>
          <w:rFonts w:ascii="Times New Roman;sans-serif" w:hAnsi="Times New Roman;sans-serif"/>
          <w:b/>
          <w:i/>
          <w:color w:val="000000"/>
          <w:sz w:val="20"/>
        </w:rPr>
        <w:t xml:space="preserve">Assets and Liabilities Measured at Fair Value on a Recurring Basis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certain financial instruments, including cash held in banks, accounts receivable, and accounts payable approximate fair value due to their short-term maturities and are excluded from the fair value table above.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Financial Instruments, Assets, and Liabilities Not Recorded at Fair Value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 hierarchy of assets not recorded at fair value (in thousands):</w:t>
      </w:r>
    </w:p>
    <w:tbl>
      <w:tblPr>
        <w:tblW w:w="7482" w:type="dxa"/>
        <w:jc w:val="left"/>
        <w:tblInd w:w="0" w:type="dxa"/>
        <w:tblLayout w:type="fixed"/>
        <w:tblCellMar>
          <w:top w:w="28" w:type="dxa"/>
          <w:left w:w="28" w:type="dxa"/>
          <w:bottom w:w="28" w:type="dxa"/>
          <w:right w:w="28" w:type="dxa"/>
        </w:tblCellMar>
      </w:tblPr>
      <w:tblGrid>
        <w:gridCol w:w="504"/>
        <w:gridCol w:w="444"/>
        <w:gridCol w:w="447"/>
        <w:gridCol w:w="318"/>
        <w:gridCol w:w="928"/>
        <w:gridCol w:w="164"/>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82" w:type="dxa"/>
        <w:jc w:val="left"/>
        <w:tblInd w:w="0" w:type="dxa"/>
        <w:tblLayout w:type="fixed"/>
        <w:tblCellMar>
          <w:top w:w="28" w:type="dxa"/>
          <w:left w:w="28" w:type="dxa"/>
          <w:bottom w:w="28" w:type="dxa"/>
          <w:right w:w="28" w:type="dxa"/>
        </w:tblCellMar>
      </w:tblPr>
      <w:tblGrid>
        <w:gridCol w:w="504"/>
        <w:gridCol w:w="444"/>
        <w:gridCol w:w="447"/>
        <w:gridCol w:w="318"/>
        <w:gridCol w:w="928"/>
        <w:gridCol w:w="164"/>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there were no financial instruments or liabilities that were not recorded at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9"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6. Other Balance Sheet Components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consisted of the following (in thousands): </w:t>
      </w:r>
    </w:p>
    <w:tbl>
      <w:tblPr>
        <w:tblW w:w="6459" w:type="dxa"/>
        <w:jc w:val="left"/>
        <w:tblInd w:w="0" w:type="dxa"/>
        <w:tblLayout w:type="fixed"/>
        <w:tblCellMar>
          <w:top w:w="28" w:type="dxa"/>
          <w:left w:w="28" w:type="dxa"/>
          <w:bottom w:w="28" w:type="dxa"/>
          <w:right w:w="28" w:type="dxa"/>
        </w:tblCellMar>
      </w:tblPr>
      <w:tblGrid>
        <w:gridCol w:w="1489"/>
        <w:gridCol w:w="1306"/>
        <w:gridCol w:w="1315"/>
        <w:gridCol w:w="211"/>
        <w:gridCol w:w="616"/>
        <w:gridCol w:w="109"/>
        <w:gridCol w:w="109"/>
        <w:gridCol w:w="109"/>
        <w:gridCol w:w="109"/>
        <w:gridCol w:w="211"/>
        <w:gridCol w:w="72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was $4.0 million, $3.9 million and $2.0 million for the years ended December 31, 2023, 2022 and 2021,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88" w:before="0" w:after="0"/>
        <w:jc w:val="both"/>
        <w:rPr/>
      </w:pPr>
      <w:r>
        <w:rPr>
          <w:rFonts w:ascii="Times New Roman;sans-serif" w:hAnsi="Times New Roman;sans-serif"/>
          <w:b w:val="false"/>
          <w:color w:val="000000"/>
          <w:sz w:val="20"/>
        </w:rPr>
        <w:t xml:space="preserve">The Company’s intangible assets consist of </w:t>
      </w:r>
      <w:r>
        <w:rPr>
          <w:rFonts w:ascii="Times New Roman;sans-serif" w:hAnsi="Times New Roman;sans-serif"/>
          <w:b w:val="false"/>
          <w:color w:val="000000"/>
          <w:sz w:val="20"/>
          <w:shd w:fill="FFFFFF" w:val="clear"/>
        </w:rPr>
        <w:t>customer relationships and developed technology arising from acquisitions.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 (in thousands):</w:t>
      </w:r>
    </w:p>
    <w:tbl>
      <w:tblPr>
        <w:tblW w:w="10205" w:type="dxa"/>
        <w:jc w:val="left"/>
        <w:tblInd w:w="0" w:type="dxa"/>
        <w:tblLayout w:type="fixed"/>
        <w:tblCellMar>
          <w:top w:w="28" w:type="dxa"/>
          <w:left w:w="28" w:type="dxa"/>
          <w:bottom w:w="28" w:type="dxa"/>
          <w:right w:w="28" w:type="dxa"/>
        </w:tblCellMar>
      </w:tblPr>
      <w:tblGrid>
        <w:gridCol w:w="699"/>
        <w:gridCol w:w="615"/>
        <w:gridCol w:w="617"/>
        <w:gridCol w:w="325"/>
        <w:gridCol w:w="1112"/>
        <w:gridCol w:w="167"/>
        <w:gridCol w:w="109"/>
        <w:gridCol w:w="109"/>
        <w:gridCol w:w="109"/>
        <w:gridCol w:w="332"/>
        <w:gridCol w:w="1245"/>
        <w:gridCol w:w="171"/>
        <w:gridCol w:w="109"/>
        <w:gridCol w:w="109"/>
        <w:gridCol w:w="109"/>
        <w:gridCol w:w="328"/>
        <w:gridCol w:w="961"/>
        <w:gridCol w:w="169"/>
        <w:gridCol w:w="109"/>
        <w:gridCol w:w="109"/>
        <w:gridCol w:w="109"/>
        <w:gridCol w:w="723"/>
        <w:gridCol w:w="723"/>
        <w:gridCol w:w="1037"/>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Life (years)</w:t>
            </w:r>
          </w:p>
        </w:tc>
      </w:tr>
      <w:tr>
        <w:trPr/>
        <w:tc>
          <w:tcPr>
            <w:tcW w:w="1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r>
      <w:tr>
        <w:trPr/>
        <w:tc>
          <w:tcPr>
            <w:tcW w:w="1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11,668 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(10,367)</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tbl>
      <w:tblPr>
        <w:tblW w:w="10205" w:type="dxa"/>
        <w:jc w:val="left"/>
        <w:tblInd w:w="0" w:type="dxa"/>
        <w:tblLayout w:type="fixed"/>
        <w:tblCellMar>
          <w:top w:w="28" w:type="dxa"/>
          <w:left w:w="28" w:type="dxa"/>
          <w:bottom w:w="28" w:type="dxa"/>
          <w:right w:w="28" w:type="dxa"/>
        </w:tblCellMar>
      </w:tblPr>
      <w:tblGrid>
        <w:gridCol w:w="699"/>
        <w:gridCol w:w="615"/>
        <w:gridCol w:w="617"/>
        <w:gridCol w:w="325"/>
        <w:gridCol w:w="1112"/>
        <w:gridCol w:w="167"/>
        <w:gridCol w:w="109"/>
        <w:gridCol w:w="109"/>
        <w:gridCol w:w="109"/>
        <w:gridCol w:w="386"/>
        <w:gridCol w:w="1161"/>
        <w:gridCol w:w="202"/>
        <w:gridCol w:w="109"/>
        <w:gridCol w:w="109"/>
        <w:gridCol w:w="109"/>
        <w:gridCol w:w="328"/>
        <w:gridCol w:w="961"/>
        <w:gridCol w:w="169"/>
        <w:gridCol w:w="109"/>
        <w:gridCol w:w="109"/>
        <w:gridCol w:w="109"/>
        <w:gridCol w:w="723"/>
        <w:gridCol w:w="723"/>
        <w:gridCol w:w="1036"/>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Life (years)</w:t>
            </w:r>
          </w:p>
        </w:tc>
      </w:tr>
      <w:tr>
        <w:trPr/>
        <w:tc>
          <w:tcPr>
            <w:tcW w:w="1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11,668 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was $1.8 million, $1.8 million and $2.2 million for the years ended December 31, 2023, 2022 and 2021, respectively.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Expected future amortization expense for intangible assets as of December 31, 2023 was as follows (in thousands):</w:t>
      </w:r>
    </w:p>
    <w:tbl>
      <w:tblPr>
        <w:tblW w:w="1537" w:type="dxa"/>
        <w:jc w:val="left"/>
        <w:tblInd w:w="0" w:type="dxa"/>
        <w:tblLayout w:type="fixed"/>
        <w:tblCellMar>
          <w:top w:w="28" w:type="dxa"/>
          <w:left w:w="28" w:type="dxa"/>
          <w:bottom w:w="28" w:type="dxa"/>
          <w:right w:w="28" w:type="dxa"/>
        </w:tblCellMar>
      </w:tblPr>
      <w:tblGrid>
        <w:gridCol w:w="201"/>
        <w:gridCol w:w="176"/>
        <w:gridCol w:w="179"/>
        <w:gridCol w:w="211"/>
        <w:gridCol w:w="616"/>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0"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Accrued Expenses and Other Current Liabilities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 (in thousands):</w:t>
      </w:r>
    </w:p>
    <w:tbl>
      <w:tblPr>
        <w:tblW w:w="6958" w:type="dxa"/>
        <w:jc w:val="left"/>
        <w:tblInd w:w="0" w:type="dxa"/>
        <w:tblLayout w:type="fixed"/>
        <w:tblCellMar>
          <w:top w:w="28" w:type="dxa"/>
          <w:left w:w="28" w:type="dxa"/>
          <w:bottom w:w="28" w:type="dxa"/>
          <w:right w:w="28" w:type="dxa"/>
        </w:tblCellMar>
      </w:tblPr>
      <w:tblGrid>
        <w:gridCol w:w="1593"/>
        <w:gridCol w:w="1397"/>
        <w:gridCol w:w="1405"/>
        <w:gridCol w:w="211"/>
        <w:gridCol w:w="721"/>
        <w:gridCol w:w="109"/>
        <w:gridCol w:w="109"/>
        <w:gridCol w:w="109"/>
        <w:gridCol w:w="109"/>
        <w:gridCol w:w="211"/>
        <w:gridCol w:w="721"/>
        <w:gridCol w:w="109"/>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compensation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for early exercise of unvested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and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liabilities and remaining charges under the Cost Reduction Plan of $1.8 million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7. Leases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various non-cancellable office facility leases in various locations with original lease periods expiring between 2020 and 2029, with its primary office location in San Francisco, California. The Company entered into a lease consisting of multiple floors for its San Francisco headquarters in 2019, with a lease term through 2029. On January 30, 2023, the Company entered into a lease amendment for its headquarters lease. The lease amendment extended the lease term through April 30, 2032, and resulted in an increase to right-of-use assets and operating lease liabilities. The Company's lease agreements generally do not contain any material residual value guarantees or material restrictive covenants.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were as follows (in thousands):</w:t>
      </w:r>
    </w:p>
    <w:tbl>
      <w:tblPr>
        <w:tblW w:w="5621" w:type="dxa"/>
        <w:jc w:val="left"/>
        <w:tblInd w:w="0" w:type="dxa"/>
        <w:tblLayout w:type="fixed"/>
        <w:tblCellMar>
          <w:top w:w="28" w:type="dxa"/>
          <w:left w:w="28" w:type="dxa"/>
          <w:bottom w:w="28" w:type="dxa"/>
          <w:right w:w="28" w:type="dxa"/>
        </w:tblCellMar>
      </w:tblPr>
      <w:tblGrid>
        <w:gridCol w:w="651"/>
        <w:gridCol w:w="572"/>
        <w:gridCol w:w="576"/>
        <w:gridCol w:w="211"/>
        <w:gridCol w:w="721"/>
        <w:gridCol w:w="109"/>
        <w:gridCol w:w="109"/>
        <w:gridCol w:w="109"/>
        <w:gridCol w:w="109"/>
        <w:gridCol w:w="211"/>
        <w:gridCol w:w="721"/>
        <w:gridCol w:w="109"/>
        <w:gridCol w:w="109"/>
        <w:gridCol w:w="109"/>
        <w:gridCol w:w="109"/>
        <w:gridCol w:w="211"/>
        <w:gridCol w:w="72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the Company’s operating leases was as follows (in thousands):</w:t>
      </w:r>
    </w:p>
    <w:tbl>
      <w:tblPr>
        <w:tblW w:w="9686" w:type="dxa"/>
        <w:jc w:val="left"/>
        <w:tblInd w:w="0" w:type="dxa"/>
        <w:tblLayout w:type="fixed"/>
        <w:tblCellMar>
          <w:top w:w="28" w:type="dxa"/>
          <w:left w:w="28" w:type="dxa"/>
          <w:bottom w:w="28" w:type="dxa"/>
          <w:right w:w="28" w:type="dxa"/>
        </w:tblCellMar>
      </w:tblPr>
      <w:tblGrid>
        <w:gridCol w:w="2126"/>
        <w:gridCol w:w="1864"/>
        <w:gridCol w:w="1874"/>
        <w:gridCol w:w="211"/>
        <w:gridCol w:w="721"/>
        <w:gridCol w:w="109"/>
        <w:gridCol w:w="109"/>
        <w:gridCol w:w="109"/>
        <w:gridCol w:w="109"/>
        <w:gridCol w:w="211"/>
        <w:gridCol w:w="721"/>
        <w:gridCol w:w="109"/>
        <w:gridCol w:w="109"/>
        <w:gridCol w:w="109"/>
        <w:gridCol w:w="109"/>
        <w:gridCol w:w="211"/>
        <w:gridCol w:w="72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terms and discount rates for operating leases were as follows:</w:t>
      </w:r>
    </w:p>
    <w:tbl>
      <w:tblPr>
        <w:tblW w:w="5768" w:type="dxa"/>
        <w:jc w:val="left"/>
        <w:tblInd w:w="0" w:type="dxa"/>
        <w:tblLayout w:type="fixed"/>
        <w:tblCellMar>
          <w:top w:w="28" w:type="dxa"/>
          <w:left w:w="28" w:type="dxa"/>
          <w:bottom w:w="28" w:type="dxa"/>
          <w:right w:w="28" w:type="dxa"/>
        </w:tblCellMar>
      </w:tblPr>
      <w:tblGrid>
        <w:gridCol w:w="1410"/>
        <w:gridCol w:w="1241"/>
        <w:gridCol w:w="1249"/>
        <w:gridCol w:w="203"/>
        <w:gridCol w:w="203"/>
        <w:gridCol w:w="313"/>
        <w:gridCol w:w="126"/>
        <w:gridCol w:w="126"/>
        <w:gridCol w:w="126"/>
        <w:gridCol w:w="203"/>
        <w:gridCol w:w="203"/>
        <w:gridCol w:w="365"/>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1"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future minimum lease payments under operating leases were as follows (in thousands):</w:t>
      </w:r>
    </w:p>
    <w:tbl>
      <w:tblPr>
        <w:tblW w:w="4341" w:type="dxa"/>
        <w:jc w:val="left"/>
        <w:tblInd w:w="0" w:type="dxa"/>
        <w:tblLayout w:type="fixed"/>
        <w:tblCellMar>
          <w:top w:w="28" w:type="dxa"/>
          <w:left w:w="28" w:type="dxa"/>
          <w:bottom w:w="28" w:type="dxa"/>
          <w:right w:w="28" w:type="dxa"/>
        </w:tblCellMar>
      </w:tblPr>
      <w:tblGrid>
        <w:gridCol w:w="1176"/>
        <w:gridCol w:w="1033"/>
        <w:gridCol w:w="1046"/>
        <w:gridCol w:w="211"/>
        <w:gridCol w:w="721"/>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does not include lease payments that were not fixed at commencement or lease modification.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Note 8. Commitments and Contingencies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non-cancellable purchase commitments with certain service providers primarily related to the provision of cloud computing services as follows (in thousands):</w:t>
      </w:r>
    </w:p>
    <w:tbl>
      <w:tblPr>
        <w:tblW w:w="2032" w:type="dxa"/>
        <w:jc w:val="left"/>
        <w:tblInd w:w="0" w:type="dxa"/>
        <w:tblLayout w:type="fixed"/>
        <w:tblCellMar>
          <w:top w:w="28" w:type="dxa"/>
          <w:left w:w="28" w:type="dxa"/>
          <w:bottom w:w="28" w:type="dxa"/>
          <w:right w:w="28" w:type="dxa"/>
        </w:tblCellMar>
      </w:tblPr>
      <w:tblGrid>
        <w:gridCol w:w="342"/>
        <w:gridCol w:w="300"/>
        <w:gridCol w:w="304"/>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 There were no such material matters as of December 31, 2023 and 2022.</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For the years ended December 31, 2023, 2022 and 2021, the Company did not incur material costs to defend lawsuits or settle claims related to these indemnifications. The Company believes the fair value of these liabilities is not material and accordingly has no liabilities recorded for these agreements as of December 31, 2023 and 2022.</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Opportunity Finance Network Loan Agreement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29, 2022, the Company entered into a credit agreement with Opportunity Finance Network (“OFN”) to lend up to an aggregate of $15.0 million, unsecured, over the course of 24 months. OFN is a national network of community development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2"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institutions (“CDFIs”). OFN will use the loan proceeds to make low-cost, fixed-rate loans to OFN-member CDFIs that on-lend those loan proceeds to fund affordable housing, community facilities, small businesses, nonprofit organizations, consumer finance, and other eligible financing extended by such CDFIs. OFN may borrow in increments of $2.0 million or more and may not borrow more than $7.5 million within the first 12 months immediately following the closing date of June 29, 2022. Each disbursement made by the Company will bear interest at a rate of 0.75% per annum and will be due quarterly from OFN. The outstanding principal, plus any accrued and unpaid interest, for each disbursement becomes due and payable 10 years following the disbursement date. During the year ended December 31, 2023, the Company made one loan disbursement of $2.5 million. In January 2024, the Company made an additional loan disbursement of $7.5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9. Redeemable Convertible Preferred Stock, Common Stock, and Stockholders’ Equity</w:t>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Legacy Nextdoor Redeemable Convertible Preferred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Upon the completion of the Reverse Recapitalization on November 5, 2021, all outstanding shares of Legacy Nextdoor redeemable convertible preferred stock converted into Legacy Nextdoor common stock on a one-to-one basis, which were then converted into 190,477,421 shares of Nextdoor Class B common stock as a result of the Reverse Recapitalization, using the Exchange Ratio of 3.1057.</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Reverse Recapitalization, the Company's amended and restated certificate of incorporation became effective, which authorized the issuance of 50,000,000 shares of preferred stock with a par value of $0.0001 per share with such designations, voting, and other rights and preferences as may be determined from time to time by the Company's Board of Directors. As of December 31, 2023 and 2022, there were no shares of preferred stock issued or outstanding.</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authorized to issue 2,500,000,000 shares of Class A common stock and 500,000,000 shares of Class B common stock as of December 31, 2023 and 2022. The rights, including the liquidation and dividend rights, of the Class A common stock and Class B common stock are substantially identical, other than voting and conversion rights. The holder of each share of Class A common stock is entitled to one vote per share and the holder of each share of Class B common stock is entitled to ten votes per share. Shares of Class B common stock are convertible into an equivalent number of shares of Class A common stock at the option of the holder or upon certain events upon the terms and conditions described in the Company’s amended and restated certificate of incorporation. Class A common stock and Class B common stock are referred to, collectively, as common stock throughout the notes to these consolidated financial statements, unless otherwise indicated. Shares of common stock reserved for future issuance on an as-converted basis were as follows (in thousands):</w:t>
      </w:r>
    </w:p>
    <w:tbl>
      <w:tblPr>
        <w:tblW w:w="6041" w:type="dxa"/>
        <w:jc w:val="left"/>
        <w:tblInd w:w="0" w:type="dxa"/>
        <w:tblLayout w:type="fixed"/>
        <w:tblCellMar>
          <w:top w:w="28" w:type="dxa"/>
          <w:left w:w="28" w:type="dxa"/>
          <w:bottom w:w="28" w:type="dxa"/>
          <w:right w:w="28" w:type="dxa"/>
        </w:tblCellMar>
      </w:tblPr>
      <w:tblGrid>
        <w:gridCol w:w="1266"/>
        <w:gridCol w:w="1113"/>
        <w:gridCol w:w="1116"/>
        <w:gridCol w:w="412"/>
        <w:gridCol w:w="414"/>
        <w:gridCol w:w="165"/>
        <w:gridCol w:w="165"/>
        <w:gridCol w:w="165"/>
        <w:gridCol w:w="165"/>
        <w:gridCol w:w="412"/>
        <w:gridCol w:w="414"/>
        <w:gridCol w:w="234"/>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55,388 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 (RSUs)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future award issuances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128,226 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Common Stock Subject to Repurchase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Certain stock option grant agreements permit exercise prior to vesting. Upon termination of service of an employee, the Company has the right to repurchase any unvested, but issued, common stock at the original purchase price. The consideration received for an exercise of an option is accounted for as a deposit of the exercise price and is recorded as a liability. Upon vesting of the shares pursuant to the grant agreements, the shares and related liability are reclassified into stockholders’ equity. As of December 31, 2023, all shares of common stock subject to repurchase were fully vested with no balance remaining. As of December 31, 2022, the Company had $0.2 million recorded in accrued expenses and other current liabilities related to 101,593 unvested shares of common stock subject to repurchase.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3"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Equity Incentive Plans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2021 Equity Incentive Plan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RSUs.</w:t>
        <w:br/>
        <w:br/>
        <w:t xml:space="preserve">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 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2021 Employee Stock Purchase Plan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 of shares issued over the term of the 2021 ESPP, subject to adjustments for stock-splits, recapitalizations, or similar events, may not exceed 89,011,590 shares. In February 2022, the Company commenced its first offering period under the 2021 ESPP. During the years ended December 31, 2023 and 2022, 1,028,778 and 551,765 shares of Class A common stock were purchased under the 2021 ESPP, respectively.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2022, the Company’s Board of Directors authorized and approved a share repurchase program (the “Share Repurchase Program”) to repurchase up to $100.0 million in aggregate of the Company’s Class A common stock, with the authorization to expire on June 30, 2024. Repurchases of Class A common stock under the Share Repurchase Program may be made from time to time, on the open market, in privately negotiated transactions or by other methods, and in accordance with the limitations set forth in Rule 10b-18 promulgated under the Securities Exchange Act of 1934, as amended (the “Exchange Act”), and other applicable legal requirements. The timing of any repurchases will depend on market conditions and other investment opportunities, and will be made at the Company’s discretion. As of December 31, 2023 the Company anticipates that the Share Repurchase Program will extend through June 30, 2024, or such shorter period if $100.0 million in aggregate of shares of the Company’s Class A common stock have been repurchased. The Share Repurchase Program does not obligate the Company to repurchase any dollar amount or number of shares, and the program may be extended, modified, suspended, or discontinued at any time.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When the Company repurchases shares under the Share Repurchase Program, it reduces the common stock component of stockholders’ equity by the par value of the repurchased shares. The excess of the repurchase price over par value is recorded to additional paid-in capital. All repurchased shares are retired and become authorized and unissued shares.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did not repurchase or retire any shares of its Class A common stock. During the year ended December 31, 2022, the Company repurchased and retired 23,251,703 shares of Class A common stock at an average purchase price of $3.32 per share for an aggregate repurchase price of $77.2 million. As of December 31, 2023, the Company had $22.8 million available for future share repurchases under the Share Repurchase Program.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21, 2024, the Company’s Board of Directors authorized and approved an increase of $150.0 million to the Share Repurchase Program and extended the expiration date to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4"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Stock Options and RSUs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two to three years. RSUs granted for Class A common stock generally vest on a quarterly basis over two to three years.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option activity for the year ended December 31, 2023 and related information is as follows (in thousands, except per share data):</w:t>
      </w:r>
    </w:p>
    <w:tbl>
      <w:tblPr>
        <w:tblW w:w="10205" w:type="dxa"/>
        <w:jc w:val="left"/>
        <w:tblInd w:w="0" w:type="dxa"/>
        <w:tblLayout w:type="fixed"/>
        <w:tblCellMar>
          <w:top w:w="28" w:type="dxa"/>
          <w:left w:w="28" w:type="dxa"/>
          <w:bottom w:w="28" w:type="dxa"/>
          <w:right w:w="28" w:type="dxa"/>
        </w:tblCellMar>
      </w:tblPr>
      <w:tblGrid>
        <w:gridCol w:w="902"/>
        <w:gridCol w:w="792"/>
        <w:gridCol w:w="794"/>
        <w:gridCol w:w="494"/>
        <w:gridCol w:w="349"/>
        <w:gridCol w:w="350"/>
        <w:gridCol w:w="109"/>
        <w:gridCol w:w="109"/>
        <w:gridCol w:w="109"/>
        <w:gridCol w:w="411"/>
        <w:gridCol w:w="996"/>
        <w:gridCol w:w="213"/>
        <w:gridCol w:w="109"/>
        <w:gridCol w:w="109"/>
        <w:gridCol w:w="109"/>
        <w:gridCol w:w="804"/>
        <w:gridCol w:w="804"/>
        <w:gridCol w:w="807"/>
        <w:gridCol w:w="109"/>
        <w:gridCol w:w="109"/>
        <w:gridCol w:w="109"/>
        <w:gridCol w:w="291"/>
        <w:gridCol w:w="998"/>
        <w:gridCol w:w="219"/>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55,388 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expired</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(8,416)</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47,858 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2023</w:t>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34,698 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Vested or expected to vest at December 31, 2023</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 is calculated as the difference between the exercise price of the underlying common stock option award and the fair value of the Company’s common stock as of the respective balance sheet date. The weighted average grant date fair value of options granted was $1.32 per share, $2.47 per share and $3.63 per share during the years ended December 31, 2023, 2022 and 2021, respectively.</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 of the options exercised was $2.2 million, $14.0 million and $31.9 million for the years ended December 31, 2023, 2022 and 2021, respectively.</w:t>
        <w:br/>
        <w:br/>
        <w:t>A summary of the Company’s RSU activity for the year ended December 31, 2023 and related information is as follows (in thousands, except per share data):</w:t>
      </w:r>
    </w:p>
    <w:tbl>
      <w:tblPr>
        <w:tblW w:w="7646" w:type="dxa"/>
        <w:jc w:val="left"/>
        <w:tblInd w:w="0" w:type="dxa"/>
        <w:tblLayout w:type="fixed"/>
        <w:tblCellMar>
          <w:top w:w="28" w:type="dxa"/>
          <w:left w:w="28" w:type="dxa"/>
          <w:bottom w:w="28" w:type="dxa"/>
          <w:right w:w="28" w:type="dxa"/>
        </w:tblCellMar>
      </w:tblPr>
      <w:tblGrid>
        <w:gridCol w:w="978"/>
        <w:gridCol w:w="860"/>
        <w:gridCol w:w="862"/>
        <w:gridCol w:w="469"/>
        <w:gridCol w:w="469"/>
        <w:gridCol w:w="471"/>
        <w:gridCol w:w="109"/>
        <w:gridCol w:w="109"/>
        <w:gridCol w:w="109"/>
        <w:gridCol w:w="773"/>
        <w:gridCol w:w="1873"/>
        <w:gridCol w:w="56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33,515 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Valuation Assumptions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use of the Black-Scholes option-pricing model to estimate the fair value of stock options granted requires the input of highly subjective assumptions. These assumptions were estimated as follows: </w:t>
      </w:r>
    </w:p>
    <w:p>
      <w:pPr>
        <w:pStyle w:val="TextBody"/>
        <w:bidi w:val="0"/>
        <w:spacing w:lineRule="auto" w:line="288" w:before="120" w:after="283"/>
        <w:ind w:left="0" w:right="0" w:firstLine="612"/>
        <w:jc w:val="both"/>
        <w:rPr/>
      </w:pPr>
      <w:r>
        <w:rPr>
          <w:rFonts w:ascii="Times New Roman;sans-serif" w:hAnsi="Times New Roman;sans-serif"/>
          <w:b w:val="false"/>
          <w:i/>
          <w:color w:val="000000"/>
          <w:sz w:val="20"/>
        </w:rPr>
        <w:t xml:space="preserve">Fair value of the underlying common stock – </w:t>
      </w:r>
      <w:r>
        <w:rPr>
          <w:rFonts w:ascii="Times New Roman;sans-serif" w:hAnsi="Times New Roman;sans-serif"/>
          <w:b w:val="false"/>
          <w:color w:val="000000"/>
          <w:sz w:val="20"/>
        </w:rPr>
        <w:t xml:space="preserve">Prior to the Reverse Recapitalization, the Board of Directors considered numerous objective and subjective factors to determine the fair value of the Company’s common stock including, but not limited to: (i) the results of contemporaneous third-party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merger, or acquisition of the Company, given prevailing market conditions; (vii) transactions involving the Company’s shares; (viii) the history and nature of its business, industry trends and competitive environment; and (iv) general economic outlook. After the Reverse Recapitalization, the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5"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underlying common stock is determined by the closing price, on the date of grant, of the Company’s Class A common stock, which is traded on the New York Stock Exchange.</w:t>
      </w:r>
    </w:p>
    <w:p>
      <w:pPr>
        <w:pStyle w:val="TextBody"/>
        <w:bidi w:val="0"/>
        <w:spacing w:lineRule="auto" w:line="288" w:before="120" w:after="283"/>
        <w:ind w:left="0" w:right="0" w:firstLine="612"/>
        <w:jc w:val="both"/>
        <w:rPr/>
      </w:pPr>
      <w:r>
        <w:rPr>
          <w:rFonts w:ascii="Times New Roman;sans-serif" w:hAnsi="Times New Roman;sans-serif"/>
          <w:b w:val="false"/>
          <w:i/>
          <w:color w:val="000000"/>
          <w:sz w:val="20"/>
        </w:rPr>
        <w:t xml:space="preserve">Expected volatility – </w:t>
      </w:r>
      <w:r>
        <w:rPr>
          <w:rFonts w:ascii="Times New Roman;sans-serif" w:hAnsi="Times New Roman;sans-serif"/>
          <w:b w:val="false"/>
          <w:color w:val="000000"/>
          <w:sz w:val="20"/>
        </w:rPr>
        <w:t xml:space="preserve">Expected volatility is a measure of the amount by which the stock price is expected to fluctuate. Since the Company does not have sufficient trading history of its common stock, it estimates the expected volatility of its stock options at their grant date by taking the weighted average historical volatility of a group of comparable publicly traded companies over a period equal to the expected term of the options. </w:t>
      </w:r>
    </w:p>
    <w:p>
      <w:pPr>
        <w:pStyle w:val="TextBody"/>
        <w:bidi w:val="0"/>
        <w:spacing w:lineRule="auto" w:line="288" w:before="120" w:after="283"/>
        <w:ind w:left="0" w:right="0" w:firstLine="612"/>
        <w:jc w:val="both"/>
        <w:rPr/>
      </w:pPr>
      <w:r>
        <w:rPr>
          <w:rFonts w:ascii="Times New Roman;sans-serif" w:hAnsi="Times New Roman;sans-serif"/>
          <w:b w:val="false"/>
          <w:i/>
          <w:color w:val="000000"/>
          <w:sz w:val="20"/>
        </w:rPr>
        <w:t xml:space="preserve">Expected term – </w:t>
      </w:r>
      <w:r>
        <w:rPr>
          <w:rFonts w:ascii="Times New Roman;sans-serif" w:hAnsi="Times New Roman;sans-serif"/>
          <w:b w:val="false"/>
          <w:color w:val="000000"/>
          <w:sz w:val="20"/>
        </w:rPr>
        <w:t>The Company determines the expected term based on the average period the stock options are expected to remain outstanding using the simplified method, calculated as the midpoint of the stock options’ vesting term and contractual expiration period, as the Company does not have sufficient historical information to develop reasonable expectations about future exercise patterns and post-vesting employment termination behavior.</w:t>
      </w:r>
    </w:p>
    <w:p>
      <w:pPr>
        <w:pStyle w:val="TextBody"/>
        <w:bidi w:val="0"/>
        <w:spacing w:lineRule="auto" w:line="288" w:before="120" w:after="283"/>
        <w:ind w:left="0" w:right="0" w:firstLine="612"/>
        <w:jc w:val="both"/>
        <w:rPr/>
      </w:pPr>
      <w:r>
        <w:rPr>
          <w:rFonts w:ascii="Times New Roman;sans-serif" w:hAnsi="Times New Roman;sans-serif"/>
          <w:b w:val="false"/>
          <w:i/>
          <w:color w:val="000000"/>
          <w:sz w:val="20"/>
        </w:rPr>
        <w:t xml:space="preserve">Risk-free rate – </w:t>
      </w:r>
      <w:r>
        <w:rPr>
          <w:rFonts w:ascii="Times New Roman;sans-serif" w:hAnsi="Times New Roman;sans-serif"/>
          <w:b w:val="false"/>
          <w:color w:val="000000"/>
          <w:sz w:val="20"/>
        </w:rPr>
        <w:t>The Company uses the U.S. Treasury yield for its risk-free interest rate that corresponds with the expected term.</w:t>
      </w:r>
    </w:p>
    <w:p>
      <w:pPr>
        <w:pStyle w:val="TextBody"/>
        <w:bidi w:val="0"/>
        <w:spacing w:lineRule="auto" w:line="288" w:before="120" w:after="283"/>
        <w:ind w:left="0" w:right="0" w:firstLine="612"/>
        <w:jc w:val="both"/>
        <w:rPr/>
      </w:pPr>
      <w:r>
        <w:rPr>
          <w:rFonts w:ascii="Times New Roman;sans-serif" w:hAnsi="Times New Roman;sans-serif"/>
          <w:b w:val="false"/>
          <w:i/>
          <w:color w:val="000000"/>
          <w:sz w:val="20"/>
        </w:rPr>
        <w:t xml:space="preserve">Expected dividend yield – </w:t>
      </w:r>
      <w:r>
        <w:rPr>
          <w:rFonts w:ascii="Times New Roman;sans-serif" w:hAnsi="Times New Roman;sans-serif"/>
          <w:b w:val="false"/>
          <w:color w:val="000000"/>
          <w:sz w:val="20"/>
        </w:rPr>
        <w:t>The Company utilizes a dividend yield of zero, as it does not currently issue dividends and does not expect to in the future.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assumptions were used to calculate the fair value of stock option grants made during the following periods:</w:t>
      </w:r>
    </w:p>
    <w:tbl>
      <w:tblPr>
        <w:tblW w:w="7812" w:type="dxa"/>
        <w:jc w:val="left"/>
        <w:tblInd w:w="0" w:type="dxa"/>
        <w:tblLayout w:type="fixed"/>
        <w:tblCellMar>
          <w:top w:w="28" w:type="dxa"/>
          <w:left w:w="28" w:type="dxa"/>
          <w:bottom w:w="28" w:type="dxa"/>
          <w:right w:w="28" w:type="dxa"/>
        </w:tblCellMar>
      </w:tblPr>
      <w:tblGrid>
        <w:gridCol w:w="1136"/>
        <w:gridCol w:w="996"/>
        <w:gridCol w:w="1002"/>
        <w:gridCol w:w="417"/>
        <w:gridCol w:w="417"/>
        <w:gridCol w:w="425"/>
        <w:gridCol w:w="135"/>
        <w:gridCol w:w="135"/>
        <w:gridCol w:w="135"/>
        <w:gridCol w:w="432"/>
        <w:gridCol w:w="432"/>
        <w:gridCol w:w="440"/>
        <w:gridCol w:w="135"/>
        <w:gridCol w:w="135"/>
        <w:gridCol w:w="135"/>
        <w:gridCol w:w="380"/>
        <w:gridCol w:w="380"/>
        <w:gridCol w:w="545"/>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64.9%- 72.7%</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53.9% - 61.2%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53.7% -54.5%</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5.0 - 6.2</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 - 4.7%</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common stock per share</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$1.44 - $3.31</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$1.99 - $6.06</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$4.92 - $6.83</w:t>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stock-based compensation expense in the consolidated statements of operations as follows (in thousands):</w:t>
      </w:r>
    </w:p>
    <w:tbl>
      <w:tblPr>
        <w:tblW w:w="6132" w:type="dxa"/>
        <w:jc w:val="left"/>
        <w:tblInd w:w="0" w:type="dxa"/>
        <w:tblLayout w:type="fixed"/>
        <w:tblCellMar>
          <w:top w:w="28" w:type="dxa"/>
          <w:left w:w="28" w:type="dxa"/>
          <w:bottom w:w="28" w:type="dxa"/>
          <w:right w:w="28" w:type="dxa"/>
        </w:tblCellMar>
      </w:tblPr>
      <w:tblGrid>
        <w:gridCol w:w="835"/>
        <w:gridCol w:w="736"/>
        <w:gridCol w:w="739"/>
        <w:gridCol w:w="211"/>
        <w:gridCol w:w="721"/>
        <w:gridCol w:w="109"/>
        <w:gridCol w:w="109"/>
        <w:gridCol w:w="109"/>
        <w:gridCol w:w="109"/>
        <w:gridCol w:w="211"/>
        <w:gridCol w:w="721"/>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$105.7 million of unrecognized stock-based compensation expense, which is expected to be recognized over a weighted average period of 1.6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96"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10. Net Loss Per Share Attributable to Common Stockholders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 attributable to common stockholders (in thousands, except per share data):</w:t>
      </w:r>
    </w:p>
    <w:tbl>
      <w:tblPr>
        <w:tblW w:w="10205" w:type="dxa"/>
        <w:jc w:val="left"/>
        <w:tblInd w:w="0" w:type="dxa"/>
        <w:tblLayout w:type="fixed"/>
        <w:tblCellMar>
          <w:top w:w="28" w:type="dxa"/>
          <w:left w:w="28" w:type="dxa"/>
          <w:bottom w:w="28" w:type="dxa"/>
          <w:right w:w="28" w:type="dxa"/>
        </w:tblCellMar>
      </w:tblPr>
      <w:tblGrid>
        <w:gridCol w:w="843"/>
        <w:gridCol w:w="705"/>
        <w:gridCol w:w="707"/>
        <w:gridCol w:w="211"/>
        <w:gridCol w:w="742"/>
        <w:gridCol w:w="109"/>
        <w:gridCol w:w="109"/>
        <w:gridCol w:w="109"/>
        <w:gridCol w:w="109"/>
        <w:gridCol w:w="211"/>
        <w:gridCol w:w="742"/>
        <w:gridCol w:w="109"/>
        <w:gridCol w:w="109"/>
        <w:gridCol w:w="109"/>
        <w:gridCol w:w="109"/>
        <w:gridCol w:w="211"/>
        <w:gridCol w:w="742"/>
        <w:gridCol w:w="109"/>
        <w:gridCol w:w="109"/>
        <w:gridCol w:w="109"/>
        <w:gridCol w:w="109"/>
        <w:gridCol w:w="211"/>
        <w:gridCol w:w="742"/>
        <w:gridCol w:w="109"/>
        <w:gridCol w:w="109"/>
        <w:gridCol w:w="109"/>
        <w:gridCol w:w="109"/>
        <w:gridCol w:w="211"/>
        <w:gridCol w:w="637"/>
        <w:gridCol w:w="109"/>
        <w:gridCol w:w="109"/>
        <w:gridCol w:w="109"/>
        <w:gridCol w:w="109"/>
        <w:gridCol w:w="211"/>
        <w:gridCol w:w="742"/>
        <w:gridCol w:w="157"/>
      </w:tblGrid>
      <w:tr>
        <w:trPr/>
        <w:tc>
          <w:tcPr>
            <w:tcW w:w="84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B</w:t>
            </w:r>
          </w:p>
        </w:tc>
      </w:tr>
      <w:tr>
        <w:trPr/>
        <w:tc>
          <w:tcPr>
            <w:tcW w:w="2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(87,293)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attributable to Class A and Class B common stockholders, basic and diluted</w:t>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A and Class B common stockholders,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dilutive securities outstanding have been excluded from the computations of diluted net loss per share because such securities have an anti-dilutive impact due to losses reported (in thousands):</w:t>
      </w:r>
    </w:p>
    <w:tbl>
      <w:tblPr>
        <w:tblW w:w="8395" w:type="dxa"/>
        <w:jc w:val="left"/>
        <w:tblInd w:w="0" w:type="dxa"/>
        <w:tblLayout w:type="fixed"/>
        <w:tblCellMar>
          <w:top w:w="28" w:type="dxa"/>
          <w:left w:w="28" w:type="dxa"/>
          <w:bottom w:w="28" w:type="dxa"/>
          <w:right w:w="28" w:type="dxa"/>
        </w:tblCellMar>
      </w:tblPr>
      <w:tblGrid>
        <w:gridCol w:w="1849"/>
        <w:gridCol w:w="1621"/>
        <w:gridCol w:w="1630"/>
        <w:gridCol w:w="360"/>
        <w:gridCol w:w="361"/>
        <w:gridCol w:w="156"/>
        <w:gridCol w:w="135"/>
        <w:gridCol w:w="135"/>
        <w:gridCol w:w="135"/>
        <w:gridCol w:w="308"/>
        <w:gridCol w:w="308"/>
        <w:gridCol w:w="228"/>
        <w:gridCol w:w="135"/>
        <w:gridCol w:w="135"/>
        <w:gridCol w:w="135"/>
        <w:gridCol w:w="238"/>
        <w:gridCol w:w="224"/>
        <w:gridCol w:w="302"/>
      </w:tblGrid>
      <w:tr>
        <w:trPr/>
        <w:tc>
          <w:tcPr>
            <w:tcW w:w="184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55,388</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58,278</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Unvested early exercised stock options subject to repurchase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Unvested restricted stock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pursuant to the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Contingently issuable shares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83,208 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80,049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11. Employee Benefit Plan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401(k) plan (the “401(k) Plan”) covering all eligible employees in the United States. The Company is allowed to make discretionary profit sharing and qualified non-elective contributions as defined by the 401(k) Plan and as approved by the Board of Directors. The Company matches a portion of eligible participants’ 401(k) contributions. The Company’s match totaled $1.7 million, $1.4 million and $1.1 million for the years ended December 31, 2023, 2022 and 2021, respectively. No discretionary profit-sharing contributions have been made to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12. Income Taxes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were as follows (in thousands):</w:t>
      </w:r>
    </w:p>
    <w:tbl>
      <w:tblPr>
        <w:tblW w:w="6416" w:type="dxa"/>
        <w:jc w:val="left"/>
        <w:tblInd w:w="0" w:type="dxa"/>
        <w:tblLayout w:type="fixed"/>
        <w:tblCellMar>
          <w:top w:w="28" w:type="dxa"/>
          <w:left w:w="28" w:type="dxa"/>
          <w:bottom w:w="28" w:type="dxa"/>
          <w:right w:w="28" w:type="dxa"/>
        </w:tblCellMar>
      </w:tblPr>
      <w:tblGrid>
        <w:gridCol w:w="782"/>
        <w:gridCol w:w="687"/>
        <w:gridCol w:w="690"/>
        <w:gridCol w:w="211"/>
        <w:gridCol w:w="901"/>
        <w:gridCol w:w="109"/>
        <w:gridCol w:w="109"/>
        <w:gridCol w:w="109"/>
        <w:gridCol w:w="109"/>
        <w:gridCol w:w="211"/>
        <w:gridCol w:w="901"/>
        <w:gridCol w:w="109"/>
        <w:gridCol w:w="109"/>
        <w:gridCol w:w="109"/>
        <w:gridCol w:w="109"/>
        <w:gridCol w:w="211"/>
        <w:gridCol w:w="79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97"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was as follows (in thousands):</w:t>
      </w:r>
    </w:p>
    <w:tbl>
      <w:tblPr>
        <w:tblW w:w="7099" w:type="dxa"/>
        <w:jc w:val="left"/>
        <w:tblInd w:w="0" w:type="dxa"/>
        <w:tblLayout w:type="fixed"/>
        <w:tblCellMar>
          <w:top w:w="28" w:type="dxa"/>
          <w:left w:w="28" w:type="dxa"/>
          <w:bottom w:w="28" w:type="dxa"/>
          <w:right w:w="28" w:type="dxa"/>
        </w:tblCellMar>
      </w:tblPr>
      <w:tblGrid>
        <w:gridCol w:w="1250"/>
        <w:gridCol w:w="1100"/>
        <w:gridCol w:w="1115"/>
        <w:gridCol w:w="211"/>
        <w:gridCol w:w="466"/>
        <w:gridCol w:w="109"/>
        <w:gridCol w:w="109"/>
        <w:gridCol w:w="109"/>
        <w:gridCol w:w="109"/>
        <w:gridCol w:w="211"/>
        <w:gridCol w:w="616"/>
        <w:gridCol w:w="109"/>
        <w:gridCol w:w="109"/>
        <w:gridCol w:w="109"/>
        <w:gridCol w:w="109"/>
        <w:gridCol w:w="211"/>
        <w:gridCol w:w="466"/>
        <w:gridCol w:w="581"/>
      </w:tblGrid>
      <w:tr>
        <w:trPr/>
        <w:tc>
          <w:tcPr>
            <w:tcW w:w="125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firstLine="270"/>
              <w:jc w:val="right"/>
              <w:rPr>
                <w:color w:val="000000"/>
              </w:rPr>
            </w:pPr>
            <w:r>
              <w:rPr>
                <w:color w:val="000000"/>
              </w:rPr>
              <w:t> </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58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81"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provision for income taxes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provision for income taxes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differed from the amount computed by applying the federal statutory income tax rate to pretax loss as a result of the following:</w:t>
      </w:r>
    </w:p>
    <w:tbl>
      <w:tblPr>
        <w:tblW w:w="6000" w:type="dxa"/>
        <w:jc w:val="left"/>
        <w:tblInd w:w="0" w:type="dxa"/>
        <w:tblLayout w:type="fixed"/>
        <w:tblCellMar>
          <w:top w:w="28" w:type="dxa"/>
          <w:left w:w="28" w:type="dxa"/>
          <w:bottom w:w="28" w:type="dxa"/>
          <w:right w:w="28" w:type="dxa"/>
        </w:tblCellMar>
      </w:tblPr>
      <w:tblGrid>
        <w:gridCol w:w="988"/>
        <w:gridCol w:w="867"/>
        <w:gridCol w:w="875"/>
        <w:gridCol w:w="293"/>
        <w:gridCol w:w="293"/>
        <w:gridCol w:w="271"/>
        <w:gridCol w:w="109"/>
        <w:gridCol w:w="109"/>
        <w:gridCol w:w="109"/>
        <w:gridCol w:w="293"/>
        <w:gridCol w:w="293"/>
        <w:gridCol w:w="271"/>
        <w:gridCol w:w="109"/>
        <w:gridCol w:w="109"/>
        <w:gridCol w:w="109"/>
        <w:gridCol w:w="293"/>
        <w:gridCol w:w="293"/>
        <w:gridCol w:w="316"/>
      </w:tblGrid>
      <w:tr>
        <w:trPr/>
        <w:tc>
          <w:tcPr>
            <w:tcW w:w="98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rate</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items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credit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valuation allowance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Tax effects of significant items comprising the Company’s deferred taxes were as follows (in thousands):</w:t>
      </w:r>
    </w:p>
    <w:tbl>
      <w:tblPr>
        <w:tblW w:w="4974" w:type="dxa"/>
        <w:jc w:val="left"/>
        <w:tblInd w:w="0" w:type="dxa"/>
        <w:tblLayout w:type="fixed"/>
        <w:tblCellMar>
          <w:top w:w="28" w:type="dxa"/>
          <w:left w:w="28" w:type="dxa"/>
          <w:bottom w:w="28" w:type="dxa"/>
          <w:right w:w="28" w:type="dxa"/>
        </w:tblCellMar>
      </w:tblPr>
      <w:tblGrid>
        <w:gridCol w:w="875"/>
        <w:gridCol w:w="769"/>
        <w:gridCol w:w="771"/>
        <w:gridCol w:w="211"/>
        <w:gridCol w:w="826"/>
        <w:gridCol w:w="109"/>
        <w:gridCol w:w="109"/>
        <w:gridCol w:w="109"/>
        <w:gridCol w:w="109"/>
        <w:gridCol w:w="211"/>
        <w:gridCol w:w="721"/>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carryforwards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accruals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R&amp;D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ROU asset basis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98"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available objective evidence, management believes it is more likely than not that the U.S. net deferred tax assets will not be fully realizable. Accordingly, the Company has established a full valuation allowance for its U.S. net deferred tax assets. The valuation allowance increased by $31.6 million and $29.4 million, respectively, during 2023 and 2022.</w:t>
      </w:r>
    </w:p>
    <w:p>
      <w:pPr>
        <w:pStyle w:val="TextBody"/>
        <w:bidi w:val="0"/>
        <w:spacing w:lineRule="auto" w:line="288" w:before="0" w:after="180"/>
        <w:jc w:val="both"/>
        <w:rPr/>
      </w:pPr>
      <w:r>
        <w:rPr>
          <w:rFonts w:ascii="Times New Roman;sans-serif" w:hAnsi="Times New Roman;sans-serif"/>
          <w:b w:val="false"/>
          <w:color w:val="000000"/>
          <w:sz w:val="20"/>
        </w:rPr>
        <w:t>As of December 31, 2023, the Company had federal net operating loss carryforwards of $413.6 million, which begin to expire i</w:t>
      </w:r>
      <w:r>
        <w:rPr>
          <w:rFonts w:ascii="Times New Roman;sans-serif" w:hAnsi="Times New Roman;sans-serif"/>
          <w:b w:val="false"/>
          <w:color w:val="000000"/>
          <w:sz w:val="20"/>
          <w:shd w:fill="FFFFFF" w:val="clear"/>
        </w:rPr>
        <w:t>n 2028, and state net operating loss carryforwards of $280.8 million, which begin to expire in 2029. Of the $413.6 million U.S. federal net operating losses $234.2 million is carried forward indefinitely but is limited to 80% of current year taxable income. As of December 31, 2023, the Company had federal tax credits of $26.7 million, which begin to expire in 2028, a</w:t>
      </w:r>
      <w:r>
        <w:rPr>
          <w:rFonts w:ascii="Times New Roman;sans-serif" w:hAnsi="Times New Roman;sans-serif"/>
          <w:b w:val="false"/>
          <w:color w:val="000000"/>
          <w:sz w:val="20"/>
        </w:rPr>
        <w:t>nd state tax credits of $22.8 million, which do not expire. The Internal Revenue Code (“IRC”) limits the amount of net operating loss carryforwards that a company may use in a given year in the event of certain cumulative changes in ownership over a three-year period as described in Section 382 of the IRC. Utilization of net operating loss carryforwards and credits may be subject to a substantial annual limitation due to the ownership change limitations provided by the IRC, as amended, and similar state provisions. The annual limitation may result in the expiration of net operating losses and credits before utilization.</w:t>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Company accounts for uncertainty in income taxes in accordance with ASC 740 </w:t>
      </w:r>
      <w:r>
        <w:rPr>
          <w:rFonts w:ascii="Times New Roman;sans-serif" w:hAnsi="Times New Roman;sans-serif"/>
          <w:b w:val="false"/>
          <w:i/>
          <w:color w:val="000000"/>
          <w:sz w:val="20"/>
          <w:shd w:fill="FFFFFF" w:val="clear"/>
        </w:rPr>
        <w:t>Income Taxes</w:t>
      </w:r>
      <w:r>
        <w:rPr>
          <w:rFonts w:ascii="Times New Roman;sans-serif" w:hAnsi="Times New Roman;sans-serif"/>
          <w:b w:val="false"/>
          <w:color w:val="000000"/>
          <w:sz w:val="20"/>
          <w:shd w:fill="FFFFFF" w:val="clear"/>
        </w:rPr>
        <w:t>. Tax positions are evaluated in a two-step process, whereby the Company first determines whether it is more likely than not that a tax position will be sustained upon examination by the tax authority, including resolutions of any related appeals or litigation processes, based on technical merit.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unrecognized tax benefit were as follows (in thousands):</w:t>
      </w:r>
    </w:p>
    <w:tbl>
      <w:tblPr>
        <w:tblW w:w="8127" w:type="dxa"/>
        <w:jc w:val="left"/>
        <w:tblInd w:w="0" w:type="dxa"/>
        <w:tblLayout w:type="fixed"/>
        <w:tblCellMar>
          <w:top w:w="28" w:type="dxa"/>
          <w:left w:w="28" w:type="dxa"/>
          <w:bottom w:w="28" w:type="dxa"/>
          <w:right w:w="28" w:type="dxa"/>
        </w:tblCellMar>
      </w:tblPr>
      <w:tblGrid>
        <w:gridCol w:w="1560"/>
        <w:gridCol w:w="1371"/>
        <w:gridCol w:w="1374"/>
        <w:gridCol w:w="211"/>
        <w:gridCol w:w="721"/>
        <w:gridCol w:w="109"/>
        <w:gridCol w:w="109"/>
        <w:gridCol w:w="109"/>
        <w:gridCol w:w="109"/>
        <w:gridCol w:w="211"/>
        <w:gridCol w:w="721"/>
        <w:gridCol w:w="109"/>
        <w:gridCol w:w="109"/>
        <w:gridCol w:w="109"/>
        <w:gridCol w:w="109"/>
        <w:gridCol w:w="211"/>
        <w:gridCol w:w="721"/>
        <w:gridCol w:w="154"/>
      </w:tblGrid>
      <w:tr>
        <w:trPr/>
        <w:tc>
          <w:tcPr>
            <w:tcW w:w="15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unrecognized tax benefits -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current year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prior year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Decreases related to prior year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unrecognized tax benefits -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amount of the Company's unrecognized tax benefits that would affect the Company's effective tax rate, if recognized, is $0.2 million. The Company does not believe it is reasonably possible that its unrecognized tax benefits will significantly change in the next twelve months.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net operating losses in the United States federal and various state jurisdictions for which the tax years beginning in 2007 are open to examination by applicable taxing authorities.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13. Geographical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Revenue disaggregated by geography based on the customers’ location was as follows (in thousands):</w:t>
      </w:r>
    </w:p>
    <w:tbl>
      <w:tblPr>
        <w:tblW w:w="5336" w:type="dxa"/>
        <w:jc w:val="left"/>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long-lived assets are located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14. Restructuring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2023, the Company announced a cost reduction plan (the “Cost Reduction Plan”) intended to right-size the business and align the workforce and other expenses with Nextdoor’s near term revenue expectations and long term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99"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priorities. The Cost Reduction Plan included a reduction of the Company’s full-time employee headcount by approximately 25%. The execution of the Cost Reduction Plan was substantially complete by the end of the fourth quarter of 2023.</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restructuring charges in the consolidated statements of operations for the year ended December 31, 2023 (in thousands):</w:t>
      </w:r>
    </w:p>
    <w:tbl>
      <w:tblPr>
        <w:tblW w:w="9149" w:type="dxa"/>
        <w:jc w:val="left"/>
        <w:tblInd w:w="0" w:type="dxa"/>
        <w:tblLayout w:type="fixed"/>
        <w:tblCellMar>
          <w:top w:w="28" w:type="dxa"/>
          <w:left w:w="28" w:type="dxa"/>
          <w:bottom w:w="28" w:type="dxa"/>
          <w:right w:w="28" w:type="dxa"/>
        </w:tblCellMar>
      </w:tblPr>
      <w:tblGrid>
        <w:gridCol w:w="837"/>
        <w:gridCol w:w="734"/>
        <w:gridCol w:w="738"/>
        <w:gridCol w:w="541"/>
        <w:gridCol w:w="1580"/>
        <w:gridCol w:w="279"/>
        <w:gridCol w:w="109"/>
        <w:gridCol w:w="109"/>
        <w:gridCol w:w="109"/>
        <w:gridCol w:w="608"/>
        <w:gridCol w:w="1775"/>
        <w:gridCol w:w="317"/>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 and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9,888 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and remaining charges under the Cost Reduction Plan were $1.8 million as of December 31, 2023, included in accrued expenses and other current liabilities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Note 15. Subsequent Events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21, 2024, the Company’s Board of Directors authorized and approved an increase of $150.0 million to the Share Repurchase Program and extended the expiration deadline to March 31, 2026.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Repurchases of Class A common stock under the Share Repurchase Program may be made from time to time, on the open market, in privately negotiated transactions or by other methods, at the Company’s discretion, and in accordance with the limitations set forth in Rule 10b-18 promulgated under the Exchange Act and other applicable federal and state laws and regulations. The timing of any repurchases will depend on market conditions and will be made at the Company’s discretion. The Company currently anticipates that the Share Repurchase Program will extend through March 31, 2026, or such shorter period if the approximately $172.8 million in remaining capacity under the Share Repurchase Program is used to repurchase shares of the Company’s Class A common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Share Repurchase Program does not obligate the Company to repurchase any dollar amount or number of shares, and the program may be extended, modified, suspended, or discontinued at any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2024, the Company announced that Nirav Tolia, co-founder of Nextdoor, will return to the company as Chief Executive Officer, President and Chairperson of the Board, and that Sarah Friar will step down as Chief Executive Officer, President and Chairperson of the Board, with an orderly transition in the second quarter of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0"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68" w:before="0" w:after="18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evaluated the effectiveness of our disclosure controls and procedures (as defined in Rules 13a-15(e) and 15d-15(e) under the Exchange Act) as of the end of the period covered by this Annual Report, and have concluded that, based on such evaluation, our disclosure controls and procedures were effective as of December 31, 2023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lineRule="auto" w:line="268" w:before="0" w:after="180"/>
        <w:jc w:val="both"/>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under the Exchange Act). Management conducted an assessment of the effectiveness of our internal control over financial reporting based on the criteria set forth in Internal Control—Integrated Framework issued by the Committee of Sponsoring Organizations of the Treadway Commission (2013 framework). Based on the assessment, management has concluded that its internal control over financial reporting was effective as of December 31, 2023 to provide reasonable assurance regarding the reliability of financial reporting and the preparation of financial statements in accordance with U.S. GAAP. Our independent registered public accounting firm, Ernst &amp; Young LLP, has issued an audit report with respect to our internal control over financial reporting, which appears in Part II, Item 8 of this Annual Report.</w:t>
      </w:r>
    </w:p>
    <w:p>
      <w:pPr>
        <w:pStyle w:val="TextBody"/>
        <w:bidi w:val="0"/>
        <w:spacing w:lineRule="auto" w:line="268" w:before="0" w:after="18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 13a-15(d) and 15d-15(d) of the Exchange Act that occurred during the period covered by this Annual Report that have materially affected, or are reasonably likely to materially affect, our internal control over financial reporting.</w:t>
      </w:r>
    </w:p>
    <w:p>
      <w:pPr>
        <w:pStyle w:val="TextBody"/>
        <w:bidi w:val="0"/>
        <w:spacing w:lineRule="auto" w:line="268" w:before="0" w:after="180"/>
        <w:jc w:val="both"/>
        <w:rPr>
          <w:rFonts w:ascii="Times New Roman;sans-serif" w:hAnsi="Times New Roman;sans-serif"/>
          <w:b/>
          <w:color w:val="000000"/>
          <w:sz w:val="20"/>
        </w:rPr>
      </w:pPr>
      <w:r>
        <w:rPr>
          <w:rFonts w:ascii="Times New Roman;sans-serif" w:hAnsi="Times New Roman;sans-serif"/>
          <w:b/>
          <w:color w:val="000000"/>
          <w:sz w:val="20"/>
        </w:rPr>
        <w:t>Limitations on the Effectiveness of Disclosure Controls and Procedures</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1"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before="18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Proxy Statement for the 2024 Annual Meeting of Stockholders, to be filed with the SEC within 120 days of the fiscal year ended December 31, 2023,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Proxy Statement for the 2024 Annual Meeting of Stockholders, to be filed with the SEC within 120 days of the fiscal year ended December 31, 2023,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Proxy Statement for the 2024 Annual Meeting of Stockholders, to be filed with the SEC within 120 days of the fiscal year ended December 31, 2023,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Proxy Statement for the 2024 Annual Meeting of Stockholders, to be filed with the SEC within 120 days of the fiscal year ended December 31, 2023,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14. Principal Accountant Fees and Services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Proxy Statement for the 2024 Annual Meeting of Stockholders, to be filed with the SEC within 120 days of the fiscal year ended December 31, 2023,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2"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before="0" w:after="180"/>
        <w:ind w:left="0" w:right="0" w:hanging="36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1.Financial Statements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Index to Financial Statements under Part II, Item 8 of this Annual Report.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2.Financial Statement Schedules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Schedules not listed above have been omitted because they are not required, not applicable, or the required information is otherwise included.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3.Exhibits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listed below are filed as part of this Annual Report or are incorporated herein by reference as indicated.</w:t>
      </w:r>
    </w:p>
    <w:p>
      <w:pPr>
        <w:pStyle w:val="TextBody"/>
        <w:bidi w:val="0"/>
        <w:spacing w:before="0" w:after="0"/>
        <w:jc w:val="both"/>
        <w:rPr/>
      </w:pPr>
      <w:r>
        <w:rPr/>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07"/>
        <w:gridCol w:w="270"/>
        <w:gridCol w:w="272"/>
        <w:gridCol w:w="109"/>
        <w:gridCol w:w="109"/>
        <w:gridCol w:w="109"/>
        <w:gridCol w:w="1960"/>
        <w:gridCol w:w="1848"/>
        <w:gridCol w:w="1869"/>
        <w:gridCol w:w="109"/>
        <w:gridCol w:w="109"/>
        <w:gridCol w:w="109"/>
        <w:gridCol w:w="170"/>
        <w:gridCol w:w="170"/>
        <w:gridCol w:w="171"/>
        <w:gridCol w:w="115"/>
        <w:gridCol w:w="115"/>
        <w:gridCol w:w="115"/>
        <w:gridCol w:w="210"/>
        <w:gridCol w:w="210"/>
        <w:gridCol w:w="211"/>
        <w:gridCol w:w="115"/>
        <w:gridCol w:w="115"/>
        <w:gridCol w:w="115"/>
        <w:gridCol w:w="448"/>
        <w:gridCol w:w="375"/>
        <w:gridCol w:w="370"/>
      </w:tblGrid>
      <w:tr>
        <w:trPr/>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8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8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"https://www.sec.gov/ix?doc=/Archives/edgar/data/0001846069/000162828021019483/kvsb-20211001.htm" \l "i11186f3ee37c4f5d955bcd9dd1a562c4_5229"</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Agreement and Plan of Merger, dated as of July 6, 2021, by and among the Khosla Ventures Acquisition Co. II, Lorelei Merger Sub Inc. and Nextdoor, Inc., as amended (included as Annex A to the registration statement on Form S-4)</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2021</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Amended and Restated Certificate of Incorporation of Nextdoor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12, 2021</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Amended and Restated Bylaws of Nextdoor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2022</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Specimen Class A Common Stock Certificate of Nextdoor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12, 2021</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2rider-descriptionofsec.htm">
              <w:r>
                <w:rPr>
                  <w:rStyle w:val="InternetLink"/>
                  <w:rFonts w:ascii="Times New Roman;sans-serif" w:hAnsi="Times New Roman;sans-serif"/>
                  <w:b w:val="false"/>
                  <w:color w:val="0000FF"/>
                  <w:sz w:val="20"/>
                  <w:u w:val="single"/>
                </w:rPr>
                <w:t>Description of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"https://www.sec.gov/ix?doc=/Archives/edgar/data/0001846069/000162828021019483/kvsb-20211001.htm" \l "i11186f3ee37c4f5d955bcd9dd1a562c4_5294"</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Form of Subscription Agreement</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2021</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Amended and Restated Registration Rights Agreement, dated November 5, 2021, by and among Nextdoor Holdings, Inc. and the other parties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12, 2021</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2008 Equity Incentive Plan of Nextdoor,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 2021</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Form of Early Exercise Stock Option Grant under the 2008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 2021</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Form of Stock Option Grant under the 2008 Equity Incentive Plan of Nextdoor,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 2021</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2018 Equity Incentive Plan of Nextdoor,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 2021</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Form of Early Exercise Stock Option Grant under the 2018 Equity Incentive Plan of Nextdoor,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 2021</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Form of Stock Option Grant under the 2018 Equity Incentive Plan of Nextdoor,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 2021</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Form of Restricted Stock Unit Award Agreement under the 2018 Equity Incentive Plan of Nextdoor,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12, 2021</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Nextdoor Holdings, Inc.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12, 2021</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Form of Stock Option Agreement under Nextdoor Holdings, Inc.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 2021</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Form of Restricted Stock Unit Award Agreement under Nextdoor Holdings, Inc.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 2021</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Nextdoor Holdings, Inc. 2021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12, 2021</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Executive Offer Letter of Sarah Friar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03"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60"/>
        <w:gridCol w:w="228"/>
        <w:gridCol w:w="231"/>
        <w:gridCol w:w="109"/>
        <w:gridCol w:w="109"/>
        <w:gridCol w:w="109"/>
        <w:gridCol w:w="2194"/>
        <w:gridCol w:w="1899"/>
        <w:gridCol w:w="1903"/>
        <w:gridCol w:w="109"/>
        <w:gridCol w:w="109"/>
        <w:gridCol w:w="109"/>
        <w:gridCol w:w="117"/>
        <w:gridCol w:w="117"/>
        <w:gridCol w:w="117"/>
        <w:gridCol w:w="109"/>
        <w:gridCol w:w="109"/>
        <w:gridCol w:w="109"/>
        <w:gridCol w:w="190"/>
        <w:gridCol w:w="190"/>
        <w:gridCol w:w="191"/>
        <w:gridCol w:w="109"/>
        <w:gridCol w:w="109"/>
        <w:gridCol w:w="109"/>
        <w:gridCol w:w="417"/>
        <w:gridCol w:w="417"/>
        <w:gridCol w:w="426"/>
      </w:tblGrid>
      <w:tr>
        <w:trPr/>
        <w:tc>
          <w:tcPr>
            <w:tcW w:w="2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5executiveofferletter.htm">
              <w:r>
                <w:rPr>
                  <w:rStyle w:val="InternetLink"/>
                  <w:rFonts w:ascii="Times New Roman;sans-serif" w:hAnsi="Times New Roman;sans-serif"/>
                  <w:b w:val="false"/>
                  <w:color w:val="000080"/>
                  <w:sz w:val="20"/>
                  <w:u w:val="single"/>
                </w:rPr>
                <w:t>E</w:t>
              </w:r>
            </w:hyperlink>
            <w:hyperlink w:anchor="ex1015executiveofferletter.htm">
              <w:r>
                <w:rPr>
                  <w:rStyle w:val="InternetLink"/>
                  <w:rFonts w:ascii="Times New Roman;sans-serif" w:hAnsi="Times New Roman;sans-serif"/>
                  <w:b w:val="false"/>
                  <w:color w:val="000080"/>
                  <w:sz w:val="20"/>
                  <w:u w:val="single"/>
                </w:rPr>
                <w:t>xecutive Offer Letter of Matt Anderson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80"/>
                  <w:sz w:val="20"/>
                  <w:u w:val="single"/>
                </w:rPr>
                <w:t>Executive Offer Letter of Heidi Anders</w:t>
              </w:r>
            </w:hyperlink>
            <w:hyperlink r:id="rId28">
              <w:r>
                <w:rPr>
                  <w:rStyle w:val="InternetLink"/>
                  <w:rFonts w:ascii="Times New Roman;sans-serif" w:hAnsi="Times New Roman;sans-serif"/>
                  <w:b w:val="false"/>
                  <w:color w:val="000080"/>
                  <w:sz w:val="20"/>
                  <w:u w:val="single"/>
                </w:rPr>
                <w:t>e</w:t>
              </w:r>
            </w:hyperlink>
            <w:hyperlink r:id="rId29">
              <w:r>
                <w:rPr>
                  <w:rStyle w:val="InternetLink"/>
                  <w:rFonts w:ascii="Times New Roman;sans-serif" w:hAnsi="Times New Roman;sans-serif"/>
                  <w:b w:val="false"/>
                  <w:color w:val="000080"/>
                  <w:sz w:val="20"/>
                  <w:u w:val="single"/>
                </w:rPr>
                <w:t>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 2021</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2019 Incentive Compensation Plan of Heidi Andersen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 2021</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8nextdoor2023incentiv.htm">
              <w:r>
                <w:rPr>
                  <w:rStyle w:val="InternetLink"/>
                  <w:rFonts w:ascii="Times New Roman;sans-serif" w:hAnsi="Times New Roman;sans-serif"/>
                  <w:b w:val="false"/>
                  <w:color w:val="0000FF"/>
                  <w:sz w:val="20"/>
                  <w:u w:val="single"/>
                </w:rPr>
                <w:t>2023 Incentive Compensation Plan of Heidi Andersen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Executive Offer Letter of John Orta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 2021</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Form of Indemnity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12, 2021</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Form of Change in Control and Severance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 2021</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Executive Offer Letter of Michael Doyle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 2021</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23separationagreemento.htm">
              <w:r>
                <w:rPr>
                  <w:rStyle w:val="InternetLink"/>
                  <w:rFonts w:ascii="Times New Roman;sans-serif" w:hAnsi="Times New Roman;sans-serif"/>
                  <w:b w:val="false"/>
                  <w:color w:val="0000FF"/>
                  <w:sz w:val="20"/>
                  <w:u w:val="single"/>
                </w:rPr>
                <w:t>Separation Agreement of Michael Doyle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12, 2021</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202310xkeyconsent.htm">
              <w:r>
                <w:rPr>
                  <w:rStyle w:val="InternetLink"/>
                  <w:rFonts w:ascii="Times New Roman;sans-serif" w:hAnsi="Times New Roman;sans-serif"/>
                  <w:b w:val="false"/>
                  <w:color w:val="0000FF"/>
                  <w:sz w:val="20"/>
                  <w:u w:val="single"/>
                </w:rPr>
                <w:t xml:space="preserve">Consent of Ernst &amp; Young, LLP, independent registered public accounting firm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f94aa1c3a24c4db62a0e85df24754d_229">
              <w:r>
                <w:rPr>
                  <w:rStyle w:val="InternetLink"/>
                  <w:rFonts w:ascii="Times New Roman;sans-serif" w:hAnsi="Times New Roman;sans-serif"/>
                  <w:b w:val="false"/>
                  <w:color w:val="0000FF"/>
                  <w:sz w:val="20"/>
                  <w:u w:val="single"/>
                </w:rPr>
                <w:t>Power of Attorney (reference is made to the signature page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ceo302certification-2.htm">
              <w:r>
                <w:rPr>
                  <w:rStyle w:val="InternetLink"/>
                  <w:rFonts w:ascii="Times New Roman;sans-serif" w:hAnsi="Times New Roman;sans-serif"/>
                  <w:b w:val="false"/>
                  <w:color w:val="0000FF"/>
                  <w:sz w:val="20"/>
                  <w:u w:val="single"/>
                </w:rPr>
                <w:t>Certification of Principal Executive Officer pursuant to Rule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cfo302certification-2.htm">
              <w:r>
                <w:rPr>
                  <w:rStyle w:val="InternetLink"/>
                  <w:rFonts w:ascii="Times New Roman;sans-serif" w:hAnsi="Times New Roman;sans-serif"/>
                  <w:b w:val="false"/>
                  <w:color w:val="0000FF"/>
                  <w:sz w:val="20"/>
                  <w:u w:val="single"/>
                </w:rPr>
                <w:t>Certification of Principal Financial Officer pursuant to Rule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32.1</w:t>
            </w:r>
            <w:r>
              <w:rPr>
                <w:rFonts w:ascii="Times New Roman;sans-serif" w:hAnsi="Times New Roman;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ceo906certification-2.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32.2</w:t>
            </w:r>
            <w:r>
              <w:rPr>
                <w:rFonts w:ascii="Times New Roman;sans-serif" w:hAnsi="Times New Roman;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2cfo906certification-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71compensationrecoveryp.htm">
              <w:r>
                <w:rPr>
                  <w:rStyle w:val="InternetLink"/>
                  <w:rFonts w:ascii="Times New Roman;sans-serif" w:hAnsi="Times New Roman;sans-serif"/>
                  <w:b w:val="false"/>
                  <w:color w:val="0000FF"/>
                  <w:sz w:val="20"/>
                  <w:u w:val="single"/>
                </w:rPr>
                <w:t>Compensation Recovery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(formatted in iXBRL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16"/>
        </w:rPr>
        <w:t>Certain of the exhibits and schedules to this Exhibit have been omitted in accordance with Regulation S-K Item 601(a)(5). We agree to furnish a copy of all omitted exhibits and schedules to the SEC upon its request.</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Indicates a management contract or compensatory plan, contract or arrangement.</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80"/>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04"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180"/>
        <w:jc w:val="both"/>
        <w:rPr/>
      </w:pPr>
      <w:hyperlink w:anchor="idef94aa1c3a24c4db62a0e85df24754d_10">
        <w:r>
          <w:rPr>
            <w:rStyle w:val="InternetLink"/>
            <w:rFonts w:ascii="Times New Roman;sans-serif" w:hAnsi="Times New Roman;sans-serif"/>
            <w:b w:val="false"/>
            <w:color w:val="000080"/>
            <w:sz w:val="20"/>
            <w:u w:val="single"/>
          </w:rPr>
          <w:t xml:space="preserve">Table of </w:t>
        </w:r>
      </w:hyperlink>
      <w:hyperlink w:anchor="idef94aa1c3a24c4db62a0e85df24754d_10">
        <w:r>
          <w:rPr>
            <w:rStyle w:val="InternetLink"/>
            <w:rFonts w:ascii="Times New Roman;sans-serif" w:hAnsi="Times New Roman;sans-serif"/>
            <w:b w:val="false"/>
            <w:color w:val="000080"/>
            <w:sz w:val="20"/>
            <w:u w:val="single"/>
          </w:rPr>
          <w:t>Contents</w:t>
        </w:r>
      </w:hyperlink>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Annual Report on Form 10-K to be signed on its behalf by the undersigned, thereunto duly authorized, in San Francisco, California.</w:t>
      </w:r>
    </w:p>
    <w:tbl>
      <w:tblPr>
        <w:tblW w:w="10205" w:type="dxa"/>
        <w:jc w:val="right"/>
        <w:tblInd w:w="0" w:type="dxa"/>
        <w:tblLayout w:type="fixed"/>
        <w:tblCellMar>
          <w:top w:w="28" w:type="dxa"/>
          <w:left w:w="28" w:type="dxa"/>
          <w:bottom w:w="28" w:type="dxa"/>
          <w:right w:w="28" w:type="dxa"/>
        </w:tblCellMar>
      </w:tblPr>
      <w:tblGrid>
        <w:gridCol w:w="196"/>
        <w:gridCol w:w="174"/>
        <w:gridCol w:w="175"/>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400"/>
        <w:gridCol w:w="400"/>
        <w:gridCol w:w="400"/>
        <w:gridCol w:w="1622"/>
        <w:gridCol w:w="1620"/>
        <w:gridCol w:w="2275"/>
      </w:tblGrid>
      <w:tr>
        <w:trPr/>
        <w:tc>
          <w:tcPr>
            <w:tcW w:w="1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NEXTDOOR HOLDINGS, INC.</w:t>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616"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Friar</w:t>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Friar</w:t>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Chairperson of the Board of Directors</w:t>
            </w:r>
          </w:p>
        </w:tc>
      </w:tr>
    </w:tbl>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POWER OF ATTORNEY </w:t>
      </w:r>
    </w:p>
    <w:p>
      <w:pPr>
        <w:pStyle w:val="TextBody"/>
        <w:bidi w:val="0"/>
        <w:spacing w:lineRule="auto" w:line="288" w:before="0" w:after="180"/>
        <w:jc w:val="both"/>
        <w:rPr/>
      </w:pPr>
      <w:r>
        <w:rPr>
          <w:rFonts w:ascii="Times New Roman;sans-serif" w:hAnsi="Times New Roman;sans-serif"/>
          <w:b w:val="false"/>
          <w:i/>
          <w:color w:val="000000"/>
          <w:sz w:val="20"/>
        </w:rPr>
        <w:t>KNOW ALL PERSONS BY THESE PRESENTS</w:t>
      </w:r>
      <w:r>
        <w:rPr>
          <w:rFonts w:ascii="Times New Roman;sans-serif" w:hAnsi="Times New Roman;sans-serif"/>
          <w:b w:val="false"/>
          <w:color w:val="000000"/>
          <w:sz w:val="20"/>
        </w:rPr>
        <w:t xml:space="preserve">, that each person whose signature appears below constitutes and appoints Sarah Friar and Matt Anderson, and each of them, as his or her true and lawful attorneys-in-fact, proxies and agents, each with full power of substitution and resubstitution, for him or her and in his or her name, place and stead, in any and all capacities, to sign any and all amendments to this report and to file the same, with any exhibits thereto and other documents in connection therewith, with the Securities and Exchange Commission, granting unto such attorneys-in-fact, proxies and agents full power and authority to do and perform each and every act and thing requisite and necessary to be done in and about the premises, as fully to all intents and purposes as he might or could do in person, hereby ratifying and confirming all that said attorneys-in-fact, proxies and agents, or their or his or her substitutes, may lawfully do or cause to be done by virtue hereof.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this report has been signed by the following persons in the capacities and on the dates indicated: </w:t>
      </w:r>
    </w:p>
    <w:tbl>
      <w:tblPr>
        <w:tblW w:w="10205" w:type="dxa"/>
        <w:jc w:val="left"/>
        <w:tblInd w:w="0" w:type="dxa"/>
        <w:tblLayout w:type="fixed"/>
        <w:tblCellMar>
          <w:top w:w="28" w:type="dxa"/>
          <w:left w:w="28" w:type="dxa"/>
          <w:bottom w:w="28" w:type="dxa"/>
          <w:right w:w="28" w:type="dxa"/>
        </w:tblCellMar>
      </w:tblPr>
      <w:tblGrid>
        <w:gridCol w:w="654"/>
        <w:gridCol w:w="572"/>
        <w:gridCol w:w="575"/>
        <w:gridCol w:w="109"/>
        <w:gridCol w:w="109"/>
        <w:gridCol w:w="109"/>
        <w:gridCol w:w="2037"/>
        <w:gridCol w:w="2037"/>
        <w:gridCol w:w="2059"/>
        <w:gridCol w:w="109"/>
        <w:gridCol w:w="109"/>
        <w:gridCol w:w="109"/>
        <w:gridCol w:w="470"/>
        <w:gridCol w:w="470"/>
        <w:gridCol w:w="677"/>
      </w:tblGrid>
      <w:tr>
        <w:trPr/>
        <w:tc>
          <w:tcPr>
            <w:tcW w:w="65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Sarah Friar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Chairperson of the Board of Directors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Sarah Friar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Matt Anderson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Matt Anderson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Hope Bryant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Hope Bryant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Dana Evan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Dana Evan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 William Gurley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 William Gurley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Mary Meeker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Mary Meeker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Jason Pressman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Jason Pressman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Sze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Sze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Nirav Tolia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Nirav Tolia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 Varelas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 Varelas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05"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40" w:before="180" w:after="180"/>
        <w:jc w:val="right"/>
        <w:rPr>
          <w:rFonts w:ascii="Times New Roman;sans-serif" w:hAnsi="Times New Roman;sans-serif"/>
          <w:b/>
          <w:color w:val="000000"/>
          <w:sz w:val="24"/>
        </w:rPr>
      </w:pPr>
      <w:r>
        <w:rPr>
          <w:rFonts w:ascii="Times New Roman;sans-serif" w:hAnsi="Times New Roman;sans-serif"/>
          <w:b/>
          <w:color w:val="000000"/>
          <w:sz w:val="24"/>
        </w:rPr>
        <w:t>Exhibit 4.2</w:t>
      </w:r>
    </w:p>
    <w:p>
      <w:pPr>
        <w:pStyle w:val="TextBody"/>
        <w:bidi w:val="0"/>
        <w:spacing w:lineRule="auto" w:line="240"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THE REGISTRANT’S CAPITAL STOCK REGISTERED PURSUANT TO SECTION 12 OF THE SECURITIES EXCHANGE ACT OF 1934, AS AMENDED</w:t>
      </w:r>
    </w:p>
    <w:p>
      <w:pPr>
        <w:pStyle w:val="TextBody"/>
        <w:bidi w:val="0"/>
        <w:spacing w:lineRule="auto" w:line="240" w:before="0" w:after="18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40" w:before="0" w:after="180"/>
        <w:ind w:left="0" w:right="0" w:firstLine="360"/>
        <w:jc w:val="left"/>
        <w:rPr/>
      </w:pPr>
      <w:r>
        <w:rPr>
          <w:rFonts w:ascii="Times New Roman;sans-serif" w:hAnsi="Times New Roman;sans-serif"/>
          <w:b w:val="false"/>
          <w:color w:val="000000"/>
          <w:sz w:val="20"/>
        </w:rPr>
        <w:t>The following description of the capital stock of Nextdoor Holdings, Inc. (the “</w:t>
      </w:r>
      <w:r>
        <w:rPr>
          <w:rFonts w:ascii="Times New Roman;sans-serif" w:hAnsi="Times New Roman;sans-serif"/>
          <w:b w:val="false"/>
          <w:i/>
          <w:color w:val="000000"/>
          <w:sz w:val="20"/>
        </w:rPr>
        <w:t>Company</w:t>
      </w:r>
      <w:r>
        <w:rPr>
          <w:rFonts w:ascii="Times New Roman;sans-serif" w:hAnsi="Times New Roman;sans-serif"/>
          <w:b w:val="false"/>
          <w:color w:val="000000"/>
          <w:sz w:val="20"/>
        </w:rPr>
        <w:t>,” “</w:t>
      </w:r>
      <w:r>
        <w:rPr>
          <w:rFonts w:ascii="Times New Roman;sans-serif" w:hAnsi="Times New Roman;sans-serif"/>
          <w:b w:val="false"/>
          <w:i/>
          <w:color w:val="000000"/>
          <w:sz w:val="20"/>
        </w:rPr>
        <w:t>we</w:t>
      </w:r>
      <w:r>
        <w:rPr>
          <w:rFonts w:ascii="Times New Roman;sans-serif" w:hAnsi="Times New Roman;sans-serif"/>
          <w:b w:val="false"/>
          <w:color w:val="000000"/>
          <w:sz w:val="20"/>
        </w:rPr>
        <w:t>,” “</w:t>
      </w:r>
      <w:r>
        <w:rPr>
          <w:rFonts w:ascii="Times New Roman;sans-serif" w:hAnsi="Times New Roman;sans-serif"/>
          <w:b w:val="false"/>
          <w:i/>
          <w:color w:val="000000"/>
          <w:sz w:val="20"/>
        </w:rPr>
        <w:t>us</w:t>
      </w:r>
      <w:r>
        <w:rPr>
          <w:rFonts w:ascii="Times New Roman;sans-serif" w:hAnsi="Times New Roman;sans-serif"/>
          <w:b w:val="false"/>
          <w:color w:val="000000"/>
          <w:sz w:val="20"/>
        </w:rPr>
        <w:t>,” and “</w:t>
      </w:r>
      <w:r>
        <w:rPr>
          <w:rFonts w:ascii="Times New Roman;sans-serif" w:hAnsi="Times New Roman;sans-serif"/>
          <w:b w:val="false"/>
          <w:i/>
          <w:color w:val="000000"/>
          <w:sz w:val="20"/>
        </w:rPr>
        <w:t>our</w:t>
      </w:r>
      <w:r>
        <w:rPr>
          <w:color w:val="000000"/>
        </w:rPr>
        <w:t>”</w:t>
      </w:r>
      <w:r>
        <w:rPr>
          <w:rFonts w:ascii="Times New Roman;sans-serif" w:hAnsi="Times New Roman;sans-serif"/>
          <w:b w:val="false"/>
          <w:color w:val="000000"/>
          <w:sz w:val="20"/>
        </w:rPr>
        <w:t>) and of certain provisions of our certificate of incorporation (the “</w:t>
      </w:r>
      <w:r>
        <w:rPr>
          <w:rFonts w:ascii="Times New Roman;sans-serif" w:hAnsi="Times New Roman;sans-serif"/>
          <w:b w:val="false"/>
          <w:i/>
          <w:color w:val="000000"/>
          <w:sz w:val="20"/>
        </w:rPr>
        <w:t>Certificate of Incorporation</w:t>
      </w:r>
      <w:r>
        <w:rPr>
          <w:color w:val="000000"/>
        </w:rPr>
        <w:t>”</w:t>
      </w:r>
      <w:r>
        <w:rPr>
          <w:rFonts w:ascii="Times New Roman;sans-serif" w:hAnsi="Times New Roman;sans-serif"/>
          <w:b w:val="false"/>
          <w:color w:val="000000"/>
          <w:sz w:val="20"/>
        </w:rPr>
        <w:t>) and bylaws (the “</w:t>
      </w:r>
      <w:r>
        <w:rPr>
          <w:rFonts w:ascii="Times New Roman;sans-serif" w:hAnsi="Times New Roman;sans-serif"/>
          <w:b w:val="false"/>
          <w:i/>
          <w:color w:val="000000"/>
          <w:sz w:val="20"/>
        </w:rPr>
        <w:t>Bylaws</w:t>
      </w:r>
      <w:r>
        <w:rPr>
          <w:color w:val="000000"/>
        </w:rPr>
        <w:t>”</w:t>
      </w:r>
      <w:r>
        <w:rPr>
          <w:rFonts w:ascii="Times New Roman;sans-serif" w:hAnsi="Times New Roman;sans-serif"/>
          <w:b w:val="false"/>
          <w:color w:val="000000"/>
          <w:sz w:val="20"/>
        </w:rPr>
        <w:t xml:space="preserve">) does not purport to be complete and is subject to our Certificate of Incorporation and our Bylaws, copies of which have been filed with the Securities and Exchange Commission, and the provisions of applicable law. </w:t>
      </w:r>
    </w:p>
    <w:p>
      <w:pPr>
        <w:pStyle w:val="TextBody"/>
        <w:bidi w:val="0"/>
        <w:spacing w:lineRule="auto" w:line="240" w:before="0" w:after="180"/>
        <w:ind w:left="0" w:right="0" w:firstLine="360"/>
        <w:jc w:val="left"/>
        <w:rPr/>
      </w:pPr>
      <w:r>
        <w:rPr>
          <w:rFonts w:ascii="Times New Roman;sans-serif" w:hAnsi="Times New Roman;sans-serif"/>
          <w:b w:val="false"/>
          <w:color w:val="000000"/>
          <w:sz w:val="20"/>
        </w:rPr>
        <w:t>As of December 31, 2022, we had two classes of securities registered under Section 12 of the Securities Exchange Act of 1934, as amended (the “</w:t>
      </w:r>
      <w:r>
        <w:rPr>
          <w:rFonts w:ascii="Times New Roman;sans-serif" w:hAnsi="Times New Roman;sans-serif"/>
          <w:b w:val="false"/>
          <w:i/>
          <w:color w:val="000000"/>
          <w:sz w:val="20"/>
        </w:rPr>
        <w:t>Exchange Act</w:t>
      </w:r>
      <w:r>
        <w:rPr>
          <w:color w:val="000000"/>
        </w:rPr>
        <w:t>”</w:t>
      </w:r>
      <w:r>
        <w:rPr>
          <w:rFonts w:ascii="Times New Roman;sans-serif" w:hAnsi="Times New Roman;sans-serif"/>
          <w:b w:val="false"/>
          <w:color w:val="000000"/>
          <w:sz w:val="20"/>
        </w:rPr>
        <w:t>): Class A common stock, $0.0001 par value per share and Class B common stock, $0.0001 par value per share. Our authorized common stock consists of 2,500,000,000 shares of Class A common stock, 500,000,000 shares of Class B common stock, and 50,000,000 shares of undesignated preferred stock, $0.0001 par value per share. All shares of our common stock outstanding are fully paid and non-assessable.</w:t>
      </w:r>
    </w:p>
    <w:p>
      <w:pPr>
        <w:pStyle w:val="TextBody"/>
        <w:bidi w:val="0"/>
        <w:spacing w:lineRule="auto" w:line="240" w:before="0" w:after="180"/>
        <w:jc w:val="left"/>
        <w:rPr>
          <w:rFonts w:ascii="Times New Roman;sans-serif" w:hAnsi="Times New Roman;sans-serif"/>
          <w:b/>
          <w:color w:val="000000"/>
          <w:sz w:val="20"/>
        </w:rPr>
      </w:pPr>
      <w:r>
        <w:rPr>
          <w:rFonts w:ascii="Times New Roman;sans-serif" w:hAnsi="Times New Roman;sans-serif"/>
          <w:b/>
          <w:color w:val="000000"/>
          <w:sz w:val="20"/>
        </w:rPr>
        <w:t>Class A Common Stock and Class B Common Stock</w:t>
      </w:r>
    </w:p>
    <w:p>
      <w:pPr>
        <w:pStyle w:val="TextBody"/>
        <w:bidi w:val="0"/>
        <w:spacing w:lineRule="auto" w:line="240" w:before="0" w:after="180"/>
        <w:jc w:val="left"/>
        <w:rPr>
          <w:rFonts w:ascii="Times New Roman;sans-serif" w:hAnsi="Times New Roman;sans-serif"/>
          <w:b/>
          <w:i/>
          <w:color w:val="000000"/>
          <w:sz w:val="20"/>
        </w:rPr>
      </w:pPr>
      <w:r>
        <w:rPr>
          <w:rFonts w:ascii="Times New Roman;sans-serif" w:hAnsi="Times New Roman;sans-serif"/>
          <w:b/>
          <w:i/>
          <w:color w:val="000000"/>
          <w:sz w:val="20"/>
        </w:rPr>
        <w:t>Dividend Rights</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preferences that may apply to any shares of convertible preferred stock outstanding at the time, the holders of shares of our common stock are entitled to receive dividends out of funds legally available if our Board of Directors, in its discretion, determines to issue dividends and then only at the times and in the amounts that the Board of Directors may determine.</w:t>
      </w:r>
    </w:p>
    <w:p>
      <w:pPr>
        <w:pStyle w:val="TextBody"/>
        <w:bidi w:val="0"/>
        <w:spacing w:lineRule="auto" w:line="240" w:before="0" w:after="180"/>
        <w:jc w:val="left"/>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holder of shares of Class A common stock is entitled to one vote for each share of Class A common stock held on all matters submitted to a vote of stockholders and each holder of Class B common stock is entitled to 10 votes for each share of Class B common stock held on all matters submitted to a vote of stockholders. Holders of shares of Class A common stock and Class B common stock vote together as a single class on all matters (including the election of directors) submitted to a vote of stockholders, unless, otherwise required by Delaware law or the Certificate of Incorporation. Delaware law could require either holders of Class A common stock or Class B common stock to vote separately as a single class in the following circumstances:</w:t>
      </w:r>
    </w:p>
    <w:p>
      <w:pPr>
        <w:pStyle w:val="TextBody"/>
        <w:bidi w:val="0"/>
        <w:spacing w:lineRule="auto" w:line="240" w:before="0" w:after="180"/>
        <w:ind w:left="0" w:right="0" w:hanging="360"/>
        <w:jc w:val="left"/>
        <w:rPr/>
      </w:pPr>
      <w:r>
        <w:rPr>
          <w:color w:val="000000"/>
        </w:rPr>
        <w:t>•</w:t>
      </w:r>
      <w:r>
        <w:rPr>
          <w:rFonts w:ascii="Times New Roman;sans-serif" w:hAnsi="Times New Roman;sans-serif"/>
          <w:b w:val="false"/>
          <w:color w:val="000000"/>
          <w:sz w:val="20"/>
        </w:rPr>
        <w:t>if the Company were to seek to amend the Certificate of Incorporation to increase or decrease the par value of a class of our common stock, then that class would be required to vote separately to approve the proposed amendment; and</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if the Company were to seek to amend the Certificate of Incorporation in a manner that alters or changes the powers, preferences, or special rights of a class of our common stock in a manner that affected its holders adversely, then that class would be required to vote separately to approve the proposed amendment.</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provided for cumulative voting for the election of directors in the Certificate of Incorporation. Accordingly, holders of a majority of the shares of our common stock are able to elect all of the Company’s directors.</w:t>
      </w:r>
    </w:p>
    <w:p>
      <w:pPr>
        <w:pStyle w:val="TextBody"/>
        <w:bidi w:val="0"/>
        <w:spacing w:lineRule="auto" w:line="240" w:before="0" w:after="180"/>
        <w:jc w:val="left"/>
        <w:rPr>
          <w:rFonts w:ascii="Times New Roman;sans-serif" w:hAnsi="Times New Roman;sans-serif"/>
          <w:b/>
          <w:i/>
          <w:color w:val="000000"/>
          <w:sz w:val="20"/>
        </w:rPr>
      </w:pPr>
      <w:r>
        <w:rPr>
          <w:rFonts w:ascii="Times New Roman;sans-serif" w:hAnsi="Times New Roman;sans-serif"/>
          <w:b/>
          <w:i/>
          <w:color w:val="000000"/>
          <w:sz w:val="20"/>
        </w:rPr>
        <w:t>No Preemptive or Similar Rights</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not entitled to preemptive rights, and is not subject to redemption or sinking fund provisions.</w:t>
      </w:r>
    </w:p>
    <w:p>
      <w:pPr>
        <w:pStyle w:val="TextBody"/>
        <w:bidi w:val="0"/>
        <w:spacing w:lineRule="auto" w:line="240" w:before="0" w:after="180"/>
        <w:jc w:val="left"/>
        <w:rPr>
          <w:rFonts w:ascii="Times New Roman;sans-serif" w:hAnsi="Times New Roman;sans-serif"/>
          <w:b/>
          <w:i/>
          <w:color w:val="000000"/>
          <w:sz w:val="20"/>
        </w:rPr>
      </w:pPr>
      <w:r>
        <w:rPr>
          <w:rFonts w:ascii="Times New Roman;sans-serif" w:hAnsi="Times New Roman;sans-serif"/>
          <w:b/>
          <w:i/>
          <w:color w:val="000000"/>
          <w:sz w:val="20"/>
        </w:rPr>
        <w:t>Right to Receive Liquidation Distributions</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Upon the Company’s liquidation, dissolution or winding-up, the assets legally available for distribution to the Company’s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pStyle w:val="TextBody"/>
        <w:bidi w:val="0"/>
        <w:spacing w:lineRule="auto" w:line="240" w:before="0" w:after="180"/>
        <w:jc w:val="left"/>
        <w:rPr>
          <w:rFonts w:ascii="Times New Roman;sans-serif" w:hAnsi="Times New Roman;sans-serif"/>
          <w:b/>
          <w:i/>
          <w:color w:val="000000"/>
          <w:sz w:val="20"/>
        </w:rPr>
      </w:pPr>
      <w:r>
        <w:rPr>
          <w:rFonts w:ascii="Times New Roman;sans-serif" w:hAnsi="Times New Roman;sans-serif"/>
          <w:b/>
          <w:i/>
          <w:color w:val="000000"/>
          <w:sz w:val="20"/>
        </w:rPr>
        <w:t>Conversion</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06"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share of our Class B common stock is convertible into one share of our Class A common stock automatically, without further action by the Company immediately prior to the close of business on the earlier of (i) ten (10) years from the date of the Closing (defined below) and (ii) the date specified by an affirmative vote of the holders of Class B common stock representing not less than two-thirds (2/3) of the voting power of the outstanding shares of Class B common stock, voting separately as a single class.</w:t>
      </w:r>
    </w:p>
    <w:p>
      <w:pPr>
        <w:pStyle w:val="TextBody"/>
        <w:bidi w:val="0"/>
        <w:spacing w:lineRule="auto" w:line="240" w:before="0" w:after="180"/>
        <w:jc w:val="left"/>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authorized, subject to limitations prescribed by Delaware law, to issue up to 50,000,000 shares of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The number of authorized shares of our preferred stock may be increased or decreased (but not below the number of shares thereof then outstanding) by the affirmative vote of the holders of a majority of the voting stock, without a separate vote of the holders of the preferred stock, irrespective of the provisions of Section 242(b)(2) of the DGCL, unless a separate vote of the holders of one or more series is required pursuant to the terms of any applicable certificate of designation.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the Company’s control and might adversely affect the market price of our Class A common stock and the voting and other rights of the holders of our Class A common stock and Class B common stock. We do not currently plan to issue any shares of preferred stock.</w:t>
      </w:r>
    </w:p>
    <w:p>
      <w:pPr>
        <w:pStyle w:val="TextBody"/>
        <w:bidi w:val="0"/>
        <w:spacing w:lineRule="auto" w:line="240" w:before="0" w:after="180"/>
        <w:jc w:val="left"/>
        <w:rPr>
          <w:rFonts w:ascii="Times New Roman;sans-serif" w:hAnsi="Times New Roman;sans-serif"/>
          <w:b/>
          <w:color w:val="000000"/>
          <w:sz w:val="20"/>
        </w:rPr>
      </w:pPr>
      <w:r>
        <w:rPr>
          <w:rFonts w:ascii="Times New Roman;sans-serif" w:hAnsi="Times New Roman;sans-serif"/>
          <w:b/>
          <w:color w:val="000000"/>
          <w:sz w:val="20"/>
        </w:rPr>
        <w:t>Anti-Takeover Provisions</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provisions of the DGCL, our Certificate of Incorporation, and our Bylaws could have the effect of delaying, deferring or discouraging another person from acquiring control of the Company. These provisions, which are summarized below, are expected to discourage certain types of coercive takeover practices and inadequate takeover bids and encourage persons seeking to acquire control of the Company to first negotiate with our Board of Directors. We believe that the benefits of increased protection of our potential ability to negotiate with an unfriendly or unsolicited acquirer outweigh the disadvantages of discouraging a proposal to acquire the Company because negotiation of these proposals could result in an improvement of their terms.</w:t>
      </w:r>
    </w:p>
    <w:p>
      <w:pPr>
        <w:pStyle w:val="TextBody"/>
        <w:bidi w:val="0"/>
        <w:spacing w:lineRule="auto" w:line="240" w:before="0" w:after="180"/>
        <w:jc w:val="left"/>
        <w:rPr>
          <w:rFonts w:ascii="Times New Roman;sans-serif" w:hAnsi="Times New Roman;sans-serif"/>
          <w:b/>
          <w:i/>
          <w:color w:val="000000"/>
          <w:sz w:val="20"/>
        </w:rPr>
      </w:pPr>
      <w:r>
        <w:rPr>
          <w:rFonts w:ascii="Times New Roman;sans-serif" w:hAnsi="Times New Roman;sans-serif"/>
          <w:b/>
          <w:i/>
          <w:color w:val="000000"/>
          <w:sz w:val="20"/>
        </w:rPr>
        <w:t>Delaware Law</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pStyle w:val="TextBody"/>
        <w:bidi w:val="0"/>
        <w:spacing w:lineRule="auto" w:line="240" w:before="0" w:after="180"/>
        <w:ind w:left="0" w:right="0" w:hanging="360"/>
        <w:jc w:val="left"/>
        <w:rPr/>
      </w:pPr>
      <w:r>
        <w:rPr>
          <w:color w:val="000000"/>
        </w:rPr>
        <w:t>•</w:t>
      </w:r>
      <w:r>
        <w:rPr>
          <w:rFonts w:ascii="Times New Roman;sans-serif" w:hAnsi="Times New Roman;sans-serif"/>
          <w:b w:val="false"/>
          <w:color w:val="000000"/>
          <w:sz w:val="20"/>
        </w:rPr>
        <w:t>before the stockholder became interested, our Board of Directors approved either the business combination or the transaction, which resulted in the stockholder becoming an interested stockholder;</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pStyle w:val="TextBody"/>
        <w:bidi w:val="0"/>
        <w:spacing w:before="0" w:after="180"/>
        <w:ind w:left="0" w:right="0" w:firstLine="36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Section 203 defines a business combination to include:</w:t>
      </w:r>
    </w:p>
    <w:p>
      <w:pPr>
        <w:pStyle w:val="TextBody"/>
        <w:bidi w:val="0"/>
        <w:spacing w:lineRule="auto" w:line="240" w:before="0" w:after="180"/>
        <w:ind w:left="0" w:right="0" w:hanging="360"/>
        <w:jc w:val="left"/>
        <w:rPr/>
      </w:pPr>
      <w:r>
        <w:rPr>
          <w:color w:val="000000"/>
        </w:rPr>
        <w:t>•</w:t>
      </w:r>
      <w:r>
        <w:rPr>
          <w:rFonts w:ascii="Times New Roman;sans-serif" w:hAnsi="Times New Roman;sans-serif"/>
          <w:b w:val="false"/>
          <w:color w:val="000000"/>
          <w:sz w:val="20"/>
        </w:rPr>
        <w:t>any merger or consolidation involving the corporation and the interested stockholder;</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07"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any sale, transfer, lease, pledge, or other disposition involving the interested stockholder of 10% or more of the assets of the corporation;</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subject to exceptions, any transaction that results in the issuance of transfer by the corporation of any stock of the corporation to the interested stockholder;</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subject to exceptions, any transaction involving the corporation that has the effect of increasing the proportionate share of the stock of any class or series of the corporation beneficially owned by the interested stockholder; and</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receipt by the interested stockholder of the benefit of any loans, advances, guarantees, pledges, or other financial benefits provided by or through the corporation.</w:t>
      </w:r>
    </w:p>
    <w:p>
      <w:pPr>
        <w:pStyle w:val="TextBody"/>
        <w:bidi w:val="0"/>
        <w:spacing w:before="0" w:after="0"/>
        <w:jc w:val="left"/>
        <w:rPr/>
      </w:pPr>
      <w:r>
        <w:rPr/>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pStyle w:val="TextBody"/>
        <w:bidi w:val="0"/>
        <w:spacing w:lineRule="auto" w:line="240" w:before="0" w:after="180"/>
        <w:jc w:val="left"/>
        <w:rPr>
          <w:rFonts w:ascii="Times New Roman;sans-serif" w:hAnsi="Times New Roman;sans-serif"/>
          <w:b/>
          <w:i/>
          <w:color w:val="000000"/>
          <w:sz w:val="20"/>
        </w:rPr>
      </w:pPr>
      <w:r>
        <w:rPr>
          <w:rFonts w:ascii="Times New Roman;sans-serif" w:hAnsi="Times New Roman;sans-serif"/>
          <w:b/>
          <w:i/>
          <w:color w:val="000000"/>
          <w:sz w:val="20"/>
        </w:rPr>
        <w:t>Certificate of Incorporation and Bylaws Provisions</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Certificate of Incorporation and the Bylaws include a number of provisions that may have the effect of deterring hostile takeovers, or delaying or preventing changes in control of the Company’s management team or changes in our Board of Directors or the Company’s governance or policy, including the following:</w:t>
      </w:r>
    </w:p>
    <w:p>
      <w:pPr>
        <w:pStyle w:val="TextBody"/>
        <w:bidi w:val="0"/>
        <w:spacing w:lineRule="auto" w:line="240" w:before="0" w:after="180"/>
        <w:ind w:left="0" w:right="0" w:hanging="360"/>
        <w:jc w:val="left"/>
        <w:rPr/>
      </w:pPr>
      <w:r>
        <w:rPr>
          <w:color w:val="000000"/>
        </w:rPr>
        <w:t>•</w:t>
      </w:r>
      <w:r>
        <w:rPr>
          <w:rFonts w:ascii="Times New Roman;sans-serif" w:hAnsi="Times New Roman;sans-serif"/>
          <w:b/>
          <w:i/>
          <w:color w:val="000000"/>
          <w:sz w:val="20"/>
        </w:rPr>
        <w:t>Dual Class Common Stock</w:t>
      </w:r>
      <w:r>
        <w:rPr>
          <w:rFonts w:ascii="Times New Roman;sans-serif" w:hAnsi="Times New Roman;sans-serif"/>
          <w:b w:val="false"/>
          <w:color w:val="000000"/>
          <w:sz w:val="20"/>
        </w:rPr>
        <w:t>. As described above in the section entitled “</w:t>
      </w:r>
      <w:r>
        <w:rPr>
          <w:rFonts w:ascii="Times New Roman;sans-serif" w:hAnsi="Times New Roman;sans-serif"/>
          <w:b w:val="false"/>
          <w:i/>
          <w:color w:val="000000"/>
          <w:sz w:val="20"/>
        </w:rPr>
        <w:t>- Class A Common Stock and Class B Common Stock - Voting Rights</w:t>
      </w:r>
      <w:r>
        <w:rPr>
          <w:rFonts w:ascii="Times New Roman;sans-serif" w:hAnsi="Times New Roman;sans-serif"/>
          <w:b w:val="false"/>
          <w:color w:val="000000"/>
          <w:sz w:val="20"/>
        </w:rPr>
        <w:t>,” the Certificate of Incorporation provides for a dual class common stock structure pursuant to which holders of Class B common stock have the ability to control the outcome of matters requiring stockholder approval, even if they own significantly less than a majority of the shares of outstanding Class A common stock and Class B common stock, including the election of directors and significant corporate transactions, such as a merger or other sale of the Company or its assets. The Company’s investors, executives, and employees will have the ability to exercise significant influence over those matters.</w:t>
      </w:r>
    </w:p>
    <w:p>
      <w:pPr>
        <w:pStyle w:val="TextBody"/>
        <w:bidi w:val="0"/>
        <w:spacing w:lineRule="auto" w:line="240" w:before="0" w:after="0"/>
        <w:ind w:left="0" w:right="0" w:hanging="360"/>
        <w:jc w:val="left"/>
        <w:rPr/>
      </w:pPr>
      <w:r>
        <w:rPr>
          <w:color w:val="000000"/>
        </w:rPr>
        <w:t>•</w:t>
      </w:r>
      <w:r>
        <w:rPr>
          <w:rFonts w:ascii="Times New Roman;sans-serif" w:hAnsi="Times New Roman;sans-serif"/>
          <w:b/>
          <w:i/>
          <w:color w:val="000000"/>
          <w:sz w:val="20"/>
        </w:rPr>
        <w:t>Board of Directors Vacancies</w:t>
      </w:r>
      <w:r>
        <w:rPr>
          <w:rFonts w:ascii="Times New Roman;sans-serif" w:hAnsi="Times New Roman;sans-serif"/>
          <w:b w:val="false"/>
          <w:color w:val="000000"/>
          <w:sz w:val="20"/>
        </w:rPr>
        <w:t>. The Certificate of Incorporation and the Bylaws authorize generally only our Board of Directors to fill vacant directorships resulting from any cause or created by the expansion of the Board of Directors. In addition, the number of directors constituting our Board of Directors may be set only by resolution adopted by a majority vote of the entire Board of Directors. These provisions prevent a stockholder from increasing the size of the Board of Directors and gaining control of our Board of Directors by filling the resulting vacancies with its own nominees.</w:t>
      </w:r>
    </w:p>
    <w:p>
      <w:pPr>
        <w:pStyle w:val="TextBody"/>
        <w:bidi w:val="0"/>
        <w:spacing w:lineRule="auto" w:line="240" w:before="0" w:after="0"/>
        <w:ind w:left="0" w:right="0" w:hanging="360"/>
        <w:jc w:val="left"/>
        <w:rPr/>
      </w:pPr>
      <w:r>
        <w:rPr>
          <w:color w:val="000000"/>
        </w:rPr>
        <w:t>•</w:t>
      </w:r>
      <w:r>
        <w:rPr>
          <w:rFonts w:ascii="Times New Roman;sans-serif" w:hAnsi="Times New Roman;sans-serif"/>
          <w:b/>
          <w:i/>
          <w:color w:val="000000"/>
          <w:sz w:val="20"/>
        </w:rPr>
        <w:t>Classified Board</w:t>
      </w:r>
      <w:r>
        <w:rPr>
          <w:rFonts w:ascii="Times New Roman;sans-serif" w:hAnsi="Times New Roman;sans-serif"/>
          <w:b w:val="false"/>
          <w:color w:val="000000"/>
          <w:sz w:val="20"/>
        </w:rPr>
        <w:t>. The Certificate of Incorporation and the Bylaws provide that the Board of Directors is classified into three classes of directors. The existence of a classified board of directors could delay a successful tender offeror from obtaining majority control of the Board of Directors, and the prospect of that delay might deter a potential offeror. For additional information, see the section entitled “</w:t>
      </w:r>
      <w:r>
        <w:rPr>
          <w:rFonts w:ascii="Times New Roman;sans-serif" w:hAnsi="Times New Roman;sans-serif"/>
          <w:b w:val="false"/>
          <w:i/>
          <w:color w:val="000000"/>
          <w:sz w:val="20"/>
        </w:rPr>
        <w:t>Management - Executive Officers and Directors - Classified Board of Directors</w:t>
      </w:r>
      <w:r>
        <w:rPr>
          <w:rFonts w:ascii="Times New Roman;sans-serif" w:hAnsi="Times New Roman;sans-serif"/>
          <w:b w:val="false"/>
          <w:color w:val="000000"/>
          <w:sz w:val="20"/>
        </w:rPr>
        <w:t>.”</w:t>
      </w:r>
    </w:p>
    <w:p>
      <w:pPr>
        <w:pStyle w:val="TextBody"/>
        <w:bidi w:val="0"/>
        <w:spacing w:lineRule="auto" w:line="240" w:before="0" w:after="0"/>
        <w:ind w:left="0" w:right="0" w:hanging="360"/>
        <w:jc w:val="left"/>
        <w:rPr/>
      </w:pPr>
      <w:r>
        <w:rPr>
          <w:color w:val="000000"/>
        </w:rPr>
        <w:t>•</w:t>
      </w:r>
      <w:r>
        <w:rPr>
          <w:rFonts w:ascii="Times New Roman;sans-serif" w:hAnsi="Times New Roman;sans-serif"/>
          <w:b/>
          <w:i/>
          <w:color w:val="000000"/>
          <w:sz w:val="20"/>
        </w:rPr>
        <w:t>Directors Removed Only for Cause</w:t>
      </w:r>
      <w:r>
        <w:rPr>
          <w:rFonts w:ascii="Times New Roman;sans-serif" w:hAnsi="Times New Roman;sans-serif"/>
          <w:b w:val="false"/>
          <w:color w:val="000000"/>
          <w:sz w:val="20"/>
        </w:rPr>
        <w:t>. The Certificate of Incorporation provides that stockholders may remove directors only for cause and only by the affirmative vote of the holders of at least two-thirds of the voting power of the then-outstanding common stock.</w:t>
      </w:r>
    </w:p>
    <w:p>
      <w:pPr>
        <w:pStyle w:val="TextBody"/>
        <w:bidi w:val="0"/>
        <w:spacing w:lineRule="auto" w:line="240"/>
        <w:ind w:left="0" w:right="0" w:hanging="360"/>
        <w:jc w:val="left"/>
        <w:rPr/>
      </w:pPr>
      <w:r>
        <w:rPr>
          <w:color w:val="000000"/>
        </w:rPr>
        <w:t>•</w:t>
      </w:r>
      <w:r>
        <w:rPr>
          <w:rFonts w:ascii="Times New Roman;sans-serif" w:hAnsi="Times New Roman;sans-serif"/>
          <w:b/>
          <w:i/>
          <w:color w:val="000000"/>
          <w:sz w:val="20"/>
        </w:rPr>
        <w:t>Supermajority Requirements for Amendments of the Certificate of Incorporation and Bylaws</w:t>
      </w:r>
      <w:r>
        <w:rPr>
          <w:rFonts w:ascii="Times New Roman;sans-serif" w:hAnsi="Times New Roman;sans-serif"/>
          <w:b w:val="false"/>
          <w:color w:val="000000"/>
          <w:sz w:val="20"/>
        </w:rPr>
        <w:t xml:space="preserve">. The Certificate of Incorporation further provide that the affirmative vote of holders of at least two-thirds (2/3) of the voting power of all of the then outstanding shares of capital stock will be required to amend certain provisions of the Certificate of Incorporation, including provisions relating to the classified board, the size of the Board of Directors, removal of directors, special meetings, actions by written consent and designation of our preferred stock, provided that if two-thirds of the Board of Directors has approved such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08"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only the affirmative vote of a majority of the voting power of all of the then outstanding shares of capital stock shall be required to amend the Certificate of Incorporation. The affirmative vote of holders of at least two-thirds (2/3) of the voting power of all of the then outstanding shares of common stock will be required to amend or repeal the Bylaws, although the Bylaws may be amended by a simple majority vote of the Board of Directors. Additionally, in the case of any proposed adoption, amendment, or repeal of any provisions of the Bylaws that is approved by the Board of Directors and submitted to the stockholders for adoption, if two-thirds of the Board of Directors has approved such adoption, amendment, or repeal of any provisions of the Bylaws, then only the affirmative vote of a majority of the voting power of all of the then outstanding shares of common stock shall be required to adopt, amend, or repeal any provision of the Bylaws.</w:t>
      </w:r>
    </w:p>
    <w:p>
      <w:pPr>
        <w:pStyle w:val="TextBody"/>
        <w:bidi w:val="0"/>
        <w:spacing w:lineRule="auto" w:line="240" w:before="0" w:after="0"/>
        <w:ind w:left="0" w:right="0" w:hanging="360"/>
        <w:jc w:val="left"/>
        <w:rPr/>
      </w:pPr>
      <w:r>
        <w:rPr>
          <w:color w:val="000000"/>
        </w:rPr>
        <w:t>•</w:t>
      </w:r>
      <w:r>
        <w:rPr>
          <w:rFonts w:ascii="Times New Roman;sans-serif" w:hAnsi="Times New Roman;sans-serif"/>
          <w:b/>
          <w:i/>
          <w:color w:val="000000"/>
          <w:sz w:val="20"/>
        </w:rPr>
        <w:t>Stockholder Action; Special Meetings of Stockholders</w:t>
      </w:r>
      <w:r>
        <w:rPr>
          <w:rFonts w:ascii="Times New Roman;sans-serif" w:hAnsi="Times New Roman;sans-serif"/>
          <w:b w:val="false"/>
          <w:color w:val="000000"/>
          <w:sz w:val="20"/>
        </w:rPr>
        <w:t>. The Certificate of Incorporation provides that the Company’s stockholders may not take action by written consent, but may only take action at annual or special meetings of the Company’s stockholders. As a result, holders of our common stock would not be able to amend the Bylaws or remove directors without holding a meeting of the Company’s stockholders called in accordance with the Bylaws. The Certificate of Incorporation and the Bylaws provide that special meetings of the Company’s stockholders may be called only by a majority of the Board of Directors, the chairman of the Board of Directors or the Company’s chief executive officer, thus prohibiting a stockholder from calling a special meeting. These provisions might delay the ability of the Company’s stockholders to force consideration of a proposal or for stockholders to take any action, including the removal of directors.</w:t>
      </w:r>
    </w:p>
    <w:p>
      <w:pPr>
        <w:pStyle w:val="TextBody"/>
        <w:bidi w:val="0"/>
        <w:spacing w:lineRule="auto" w:line="240" w:before="0" w:after="0"/>
        <w:ind w:left="0" w:right="0" w:hanging="360"/>
        <w:jc w:val="left"/>
        <w:rPr/>
      </w:pPr>
      <w:r>
        <w:rPr>
          <w:color w:val="000000"/>
        </w:rPr>
        <w:t>•</w:t>
      </w:r>
      <w:r>
        <w:rPr>
          <w:rFonts w:ascii="Times New Roman;sans-serif" w:hAnsi="Times New Roman;sans-serif"/>
          <w:b/>
          <w:i/>
          <w:color w:val="000000"/>
          <w:sz w:val="20"/>
        </w:rPr>
        <w:t>Advance Notice Requirements for Stockholder Proposals and Director Nominations</w:t>
      </w:r>
      <w:r>
        <w:rPr>
          <w:rFonts w:ascii="Times New Roman;sans-serif" w:hAnsi="Times New Roman;sans-serif"/>
          <w:b w:val="false"/>
          <w:color w:val="000000"/>
          <w:sz w:val="20"/>
        </w:rPr>
        <w:t>. The Bylaws provide advance notice procedures for stockholders seeking to bring business before the Company’s annual meeting of stockholders or to nominate candidates for election as directors at the Company’s annual meeting of stockholders. The Bylaws also specify certain requirements regarding the form and content of a stockholder’s notice. These provisions may preclude the Company’s stockholders from bringing matters before the Company’s annual meeting of stockholders or from making nominations for directors at the Company annual meeting of stockholders. We expect that these provisions might also discourage or deter a potential acquirer from conducting a solicitation of proxies to elect the acquirer’s own slate of directors or otherwise attempting to obtain control of the Company.</w:t>
      </w:r>
    </w:p>
    <w:p>
      <w:pPr>
        <w:pStyle w:val="TextBody"/>
        <w:bidi w:val="0"/>
        <w:spacing w:lineRule="auto" w:line="240" w:before="0" w:after="0"/>
        <w:ind w:left="0" w:right="0" w:hanging="360"/>
        <w:jc w:val="left"/>
        <w:rPr/>
      </w:pPr>
      <w:r>
        <w:rPr>
          <w:color w:val="000000"/>
        </w:rPr>
        <w:t>•</w:t>
      </w:r>
      <w:r>
        <w:rPr>
          <w:rFonts w:ascii="Times New Roman;sans-serif" w:hAnsi="Times New Roman;sans-serif"/>
          <w:b/>
          <w:i/>
          <w:color w:val="000000"/>
          <w:sz w:val="20"/>
        </w:rPr>
        <w:t>No Cumulative Voting</w:t>
      </w:r>
      <w:r>
        <w:rPr>
          <w:rFonts w:ascii="Times New Roman;sans-serif" w:hAnsi="Times New Roman;sans-serif"/>
          <w:b w:val="false"/>
          <w:color w:val="000000"/>
          <w:sz w:val="20"/>
        </w:rPr>
        <w:t>. The DGCL provides that stockholders are not entitled to the right to cumulate votes in the election of directors unless a corporation’s certificate of incorporation provides otherwise. The Certificate of Incorporation and Bylaws will not provide for cumulative voting.</w:t>
      </w:r>
    </w:p>
    <w:p>
      <w:pPr>
        <w:pStyle w:val="TextBody"/>
        <w:bidi w:val="0"/>
        <w:spacing w:lineRule="auto" w:line="240" w:before="0" w:after="0"/>
        <w:ind w:left="0" w:right="0" w:hanging="360"/>
        <w:jc w:val="left"/>
        <w:rPr/>
      </w:pPr>
      <w:r>
        <w:rPr>
          <w:color w:val="000000"/>
        </w:rPr>
        <w:t>•</w:t>
      </w:r>
      <w:r>
        <w:rPr>
          <w:rFonts w:ascii="Times New Roman;sans-serif" w:hAnsi="Times New Roman;sans-serif"/>
          <w:b/>
          <w:i/>
          <w:color w:val="000000"/>
          <w:sz w:val="20"/>
        </w:rPr>
        <w:t>Issuance of Undesignated Preferred Stock</w:t>
      </w:r>
      <w:r>
        <w:rPr>
          <w:rFonts w:ascii="Times New Roman;sans-serif" w:hAnsi="Times New Roman;sans-serif"/>
          <w:b w:val="false"/>
          <w:color w:val="000000"/>
          <w:sz w:val="20"/>
        </w:rPr>
        <w:t xml:space="preserve">. The Board of Directors has the authority, without further action by the stockholders, to issue up to 50,000,000 shares of undesignated preferred stock with rights and preferences, including voting rights, designated from time to time by the Board of Directors. The existence of authorized but unissued shares of preferred stock enables the Board of Directors to render more difficult or to discourage an attempt to obtain control of the Company by means of a merger, tender offer, proxy contest or otherwise. </w:t>
      </w:r>
    </w:p>
    <w:p>
      <w:pPr>
        <w:pStyle w:val="TextBody"/>
        <w:bidi w:val="0"/>
        <w:spacing w:lineRule="auto" w:line="240"/>
        <w:ind w:left="0" w:right="0" w:hanging="360"/>
        <w:jc w:val="left"/>
        <w:rPr/>
      </w:pPr>
      <w:r>
        <w:rPr>
          <w:color w:val="000000"/>
        </w:rPr>
        <w:t>•</w:t>
      </w:r>
      <w:r>
        <w:rPr>
          <w:rFonts w:ascii="Times New Roman;sans-serif" w:hAnsi="Times New Roman;sans-serif"/>
          <w:b/>
          <w:i/>
          <w:color w:val="000000"/>
          <w:sz w:val="20"/>
        </w:rPr>
        <w:t>Choice of Forum</w:t>
      </w:r>
      <w:r>
        <w:rPr>
          <w:rFonts w:ascii="Times New Roman;sans-serif" w:hAnsi="Times New Roman;sans-serif"/>
          <w:b w:val="false"/>
          <w:color w:val="000000"/>
          <w:sz w:val="20"/>
        </w:rPr>
        <w:t xml:space="preserve">. In addition, the Certificate of Incorporation provides that, to the fullest extent permitted by law, the Court of Chancery of the State of Delaware will be the exclusive forum for any derivative action or proceeding brought on the Company’s behalf; any action asserting a breach of fiduciary duty; any action asserting a claim against the Company arising pursuant to the DGCL, the Certificate of Incorporation or the Bylaws; any action asserting a claim against the Company that is governed by the internal affairs doctrine; or any to interpret, apply, enforce, or determine the validity of the Certificate of Incorporation or Bylaws. The enforceability of similar choice of forum provisions in other companies’ certificates of incorporation has been challenged in legal proceedings, and it is possible that a court could find these types of provisions to be inapplicable or unenforceable. The Certificate of Incorporation will also provide that the federal district courts of the United States will, to the fullest extent permitted by law, be the exclusive forum for resolving any complaint asserting a cause of action arising under the Securities Act, or the Federal Forum Provision. While there can be no assurance that federal or state courts will follow the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09"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holding of the Delaware Supreme Court which recently found that such provisions are facially valid under Delaware law or determine that the Federal Forum Provision should be enforced in a particular case, application of the Federal Forum Provision means that suits brought by the Company’s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In addition, the Federal Forum Provision applies, to the fullest extent permitted by law, to suits brought to enforce any duty or liability created by the Exchange Act. Accordingly, actions by the Company’s stockholders to enforce any duty or liability created by the Exchange Act or the rules and regulations thereunder must be brought in federal court. The Company’s stockholders will not be deemed to have waived the Company’s compliance with the federal securities laws and the regulations promulgated thereunder. Any person or entity purchasing or otherwise acquiring or holding any interest in any of the Company’s securities shall be deemed to have notice of and consented to the Company’s exclusive forum provisions, including the Federal Forum Provision. These provisions may limit a stockholder’s ability to bring a claim in a judicial forum of their choosing for disputes with the Company or the Company’s directors, officers, or other employees, which may discourage lawsuits against the Company and the Company’s directors, officers, and other employees.</w:t>
      </w:r>
    </w:p>
    <w:p>
      <w:pPr>
        <w:pStyle w:val="TextBody"/>
        <w:bidi w:val="0"/>
        <w:spacing w:lineRule="auto" w:line="240" w:before="0" w:after="180"/>
        <w:jc w:val="left"/>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Class A common stock and Class B common stock is American Stock Transfer &amp; Trust Company, LLC. The transfer agent’s address is 6201 15th Avenue, Brooklyn, New York 11219.</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0"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343150" cy="419100"/>
            <wp:effectExtent l="0" t="0" r="0" b="0"/>
            <wp:docPr id="1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 descr=""/>
                    <pic:cNvPicPr>
                      <a:picLocks noChangeAspect="1" noChangeArrowheads="1"/>
                    </pic:cNvPicPr>
                  </pic:nvPicPr>
                  <pic:blipFill>
                    <a:blip r:embed="rId36"/>
                    <a:stretch>
                      <a:fillRect/>
                    </a:stretch>
                  </pic:blipFill>
                  <pic:spPr bwMode="auto">
                    <a:xfrm>
                      <a:off x="0" y="0"/>
                      <a:ext cx="2343150" cy="419100"/>
                    </a:xfrm>
                    <a:prstGeom prst="rect">
                      <a:avLst/>
                    </a:prstGeom>
                  </pic:spPr>
                </pic:pic>
              </a:graphicData>
            </a:graphic>
          </wp:inline>
        </w:drawing>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November 7, 2023</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Matt Anderson</w:t>
        <w:br/>
        <w:t>manderson@nextdoor.com</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Dear Matt: </w:t>
      </w:r>
    </w:p>
    <w:p>
      <w:pPr>
        <w:pStyle w:val="TextBody"/>
        <w:bidi w:val="0"/>
        <w:spacing w:lineRule="auto" w:line="240" w:before="0" w:after="240"/>
        <w:ind w:left="0" w:right="0" w:firstLine="360"/>
        <w:jc w:val="both"/>
        <w:rPr/>
      </w:pPr>
      <w:r>
        <w:rPr>
          <w:rFonts w:ascii="Times New Roman;sans-serif" w:hAnsi="Times New Roman;sans-serif"/>
          <w:b w:val="false"/>
          <w:color w:val="000000"/>
          <w:sz w:val="22"/>
        </w:rPr>
        <w:t>This letter agreement confirms your promotion to the role of Chief Financial Officer of Nextdoor,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shd w:fill="FFFFFF" w:val="clear"/>
        </w:rPr>
        <w:t xml:space="preserve">effective November 7, 2023, </w:t>
      </w:r>
      <w:r>
        <w:rPr>
          <w:rFonts w:ascii="Times New Roman;sans-serif" w:hAnsi="Times New Roman;sans-serif"/>
          <w:b w:val="false"/>
          <w:color w:val="000000"/>
          <w:sz w:val="22"/>
        </w:rPr>
        <w:t>and hereby amends and restates your prior offer letter, dated May 28, 2019 (the “</w:t>
      </w:r>
      <w:r>
        <w:rPr>
          <w:rFonts w:ascii="Times New Roman;sans-serif" w:hAnsi="Times New Roman;sans-serif"/>
          <w:b/>
          <w:color w:val="000000"/>
          <w:sz w:val="22"/>
        </w:rPr>
        <w:t>Prior Agreement</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In your role as Chief Financial Officer of the Company you will report to the Company’s Chief Executive Officer.</w:t>
      </w:r>
    </w:p>
    <w:p>
      <w:pPr>
        <w:pStyle w:val="TextBody"/>
        <w:bidi w:val="0"/>
        <w:spacing w:lineRule="auto" w:line="240" w:before="0" w:after="240"/>
        <w:ind w:left="0" w:right="0" w:firstLine="360"/>
        <w:jc w:val="both"/>
        <w:rPr/>
      </w:pPr>
      <w:r>
        <w:rPr>
          <w:rFonts w:ascii="Times New Roman;sans-serif" w:hAnsi="Times New Roman;sans-serif"/>
          <w:b/>
          <w:color w:val="010000"/>
          <w:sz w:val="22"/>
        </w:rPr>
        <w:t>1.</w:t>
      </w:r>
      <w:r>
        <w:rPr>
          <w:rFonts w:ascii="Times New Roman;sans-serif" w:hAnsi="Times New Roman;sans-serif"/>
          <w:b/>
          <w:color w:val="000000"/>
          <w:sz w:val="22"/>
          <w:u w:val="single"/>
        </w:rPr>
        <w:t>Cash Compensation</w:t>
      </w:r>
      <w:r>
        <w:rPr>
          <w:rFonts w:ascii="Times New Roman;sans-serif" w:hAnsi="Times New Roman;sans-serif"/>
          <w:b w:val="false"/>
          <w:color w:val="000000"/>
          <w:sz w:val="22"/>
        </w:rPr>
        <w:t>. In this position, the Company will pay you an annual base salary of $475,000, subject to all applicable taxes and withholdings, payable in accordance with the Company’s standard payroll schedule. Your pay will be periodically reviewed as a part of the Company’s regular reviews of compensation.</w:t>
      </w:r>
    </w:p>
    <w:p>
      <w:pPr>
        <w:pStyle w:val="TextBody"/>
        <w:bidi w:val="0"/>
        <w:spacing w:lineRule="auto" w:line="240" w:before="0" w:after="240"/>
        <w:ind w:left="0" w:right="0" w:firstLine="360"/>
        <w:jc w:val="both"/>
        <w:rPr/>
      </w:pPr>
      <w:r>
        <w:rPr>
          <w:rFonts w:ascii="Times New Roman;sans-serif" w:hAnsi="Times New Roman;sans-serif"/>
          <w:b/>
          <w:color w:val="010000"/>
          <w:sz w:val="22"/>
        </w:rPr>
        <w:t>2.</w:t>
      </w:r>
      <w:r>
        <w:rPr>
          <w:rFonts w:ascii="Times New Roman;sans-serif" w:hAnsi="Times New Roman;sans-serif"/>
          <w:b/>
          <w:color w:val="000000"/>
          <w:sz w:val="22"/>
          <w:u w:val="single"/>
        </w:rPr>
        <w:t>Employee Benefits</w:t>
      </w:r>
      <w:r>
        <w:rPr>
          <w:rFonts w:ascii="Times New Roman;sans-serif" w:hAnsi="Times New Roman;sans-serif"/>
          <w:b w:val="false"/>
          <w:color w:val="000000"/>
          <w:sz w:val="22"/>
        </w:rPr>
        <w:t>. You will continue to be eligible to participate in a number of Company-sponsored benefits to the extent that you comply with the eligibility requirements of each such benefit plan. The Company, in its sole discretion, may amend, suspend or terminate its employee benefits at any time, with or without notice. In addition, you will be entitled to paid vacation in accordance with the Company’s vacation policy, as in effect from time to time.</w:t>
      </w:r>
    </w:p>
    <w:p>
      <w:pPr>
        <w:pStyle w:val="TextBody"/>
        <w:bidi w:val="0"/>
        <w:spacing w:lineRule="auto" w:line="240" w:before="0" w:after="240"/>
        <w:ind w:left="0" w:right="0" w:firstLine="360"/>
        <w:jc w:val="both"/>
        <w:rPr/>
      </w:pPr>
      <w:r>
        <w:rPr>
          <w:rFonts w:ascii="Times New Roman;sans-serif" w:hAnsi="Times New Roman;sans-serif"/>
          <w:b/>
          <w:color w:val="010000"/>
          <w:sz w:val="22"/>
        </w:rPr>
        <w:t>3.</w:t>
      </w:r>
      <w:r>
        <w:rPr>
          <w:rFonts w:ascii="Times New Roman;sans-serif" w:hAnsi="Times New Roman;sans-serif"/>
          <w:b/>
          <w:color w:val="000000"/>
          <w:sz w:val="22"/>
          <w:u w:val="single"/>
        </w:rPr>
        <w:t>Termination Benefits</w:t>
      </w:r>
      <w:r>
        <w:rPr>
          <w:rFonts w:ascii="Times New Roman;sans-serif" w:hAnsi="Times New Roman;sans-serif"/>
          <w:b w:val="false"/>
          <w:color w:val="000000"/>
          <w:sz w:val="22"/>
        </w:rPr>
        <w:t>. In connection with your promotion, you will be eligible to receive certain change in control and severance payments and benefits pursuant to a Change in Control and Severance Agreement (the “</w:t>
      </w:r>
      <w:r>
        <w:rPr>
          <w:rFonts w:ascii="Times New Roman;sans-serif" w:hAnsi="Times New Roman;sans-serif"/>
          <w:b/>
          <w:color w:val="000000"/>
          <w:sz w:val="22"/>
        </w:rPr>
        <w:t>Severance Agreement</w:t>
      </w:r>
      <w:r>
        <w:rPr>
          <w:color w:val="000000"/>
        </w:rPr>
        <w:t>”</w:t>
      </w:r>
      <w:r>
        <w:rPr>
          <w:rFonts w:ascii="Times New Roman;sans-serif" w:hAnsi="Times New Roman;sans-serif"/>
          <w:b w:val="false"/>
          <w:color w:val="000000"/>
          <w:sz w:val="22"/>
        </w:rPr>
        <w:t xml:space="preserve">) to be entered into between you and the Company at substantially the same time as the date of this offer letter, pursuant to the form attached to this offer letter as </w:t>
      </w:r>
      <w:r>
        <w:rPr>
          <w:rFonts w:ascii="Times New Roman;sans-serif" w:hAnsi="Times New Roman;sans-serif"/>
          <w:b/>
          <w:color w:val="000000"/>
          <w:sz w:val="22"/>
        </w:rPr>
        <w:t>Exhibit A</w:t>
      </w:r>
      <w:r>
        <w:rPr>
          <w:rFonts w:ascii="Times New Roman;sans-serif" w:hAnsi="Times New Roman;sans-serif"/>
          <w:b w:val="false"/>
          <w:color w:val="000000"/>
          <w:sz w:val="22"/>
        </w:rPr>
        <w:t>.</w:t>
      </w:r>
    </w:p>
    <w:p>
      <w:pPr>
        <w:pStyle w:val="TextBody"/>
        <w:bidi w:val="0"/>
        <w:spacing w:lineRule="auto" w:line="240" w:before="0" w:after="240"/>
        <w:ind w:left="0" w:right="0" w:firstLine="360"/>
        <w:jc w:val="both"/>
        <w:rPr/>
      </w:pPr>
      <w:r>
        <w:rPr>
          <w:rFonts w:ascii="Times New Roman;sans-serif" w:hAnsi="Times New Roman;sans-serif"/>
          <w:b/>
          <w:color w:val="010000"/>
          <w:sz w:val="22"/>
        </w:rPr>
        <w:t>4.</w:t>
      </w:r>
      <w:r>
        <w:rPr>
          <w:rFonts w:ascii="Times New Roman;sans-serif" w:hAnsi="Times New Roman;sans-serif"/>
          <w:b/>
          <w:color w:val="000000"/>
          <w:sz w:val="22"/>
          <w:u w:val="single"/>
        </w:rPr>
        <w:t>Confidentiality Agreement</w:t>
      </w:r>
      <w:r>
        <w:rPr>
          <w:rFonts w:ascii="Times New Roman;sans-serif" w:hAnsi="Times New Roman;sans-serif"/>
          <w:b w:val="false"/>
          <w:color w:val="000000"/>
          <w:sz w:val="22"/>
        </w:rPr>
        <w:t xml:space="preserve">. By signing this letter agreement, you reaffirm the terms and conditions of the Employee Invention Assignment and Confidentiality Agreement by and between you and the Company. </w:t>
      </w:r>
    </w:p>
    <w:p>
      <w:pPr>
        <w:pStyle w:val="TextBody"/>
        <w:bidi w:val="0"/>
        <w:spacing w:lineRule="auto" w:line="240" w:before="0" w:after="240"/>
        <w:ind w:left="0" w:right="0" w:firstLine="360"/>
        <w:jc w:val="left"/>
        <w:rPr/>
      </w:pPr>
      <w:r>
        <w:rPr>
          <w:rFonts w:ascii="Times New Roman;sans-serif" w:hAnsi="Times New Roman;sans-serif"/>
          <w:b/>
          <w:color w:val="010000"/>
          <w:sz w:val="22"/>
        </w:rPr>
        <w:t>5.</w:t>
      </w:r>
      <w:r>
        <w:rPr>
          <w:rFonts w:ascii="Times New Roman;sans-serif" w:hAnsi="Times New Roman;sans-serif"/>
          <w:b/>
          <w:color w:val="000000"/>
          <w:sz w:val="22"/>
          <w:u w:val="single"/>
        </w:rPr>
        <w:t>Arbitration Agreement</w:t>
      </w:r>
      <w:r>
        <w:rPr>
          <w:rFonts w:ascii="Times New Roman;sans-serif" w:hAnsi="Times New Roman;sans-serif"/>
          <w:b w:val="false"/>
          <w:color w:val="000000"/>
          <w:sz w:val="22"/>
        </w:rPr>
        <w:t>. By signing this letter agreement, you reaffirm the terms and conditions of the Arbitration Agreement by and between you and the Company.</w:t>
      </w:r>
    </w:p>
    <w:p>
      <w:pPr>
        <w:pStyle w:val="TextBody"/>
        <w:bidi w:val="0"/>
        <w:spacing w:lineRule="auto" w:line="240" w:before="0" w:after="240"/>
        <w:ind w:left="0" w:right="0" w:firstLine="360"/>
        <w:jc w:val="both"/>
        <w:rPr/>
      </w:pPr>
      <w:r>
        <w:rPr>
          <w:rFonts w:ascii="Times New Roman;sans-serif" w:hAnsi="Times New Roman;sans-serif"/>
          <w:b/>
          <w:color w:val="010000"/>
          <w:sz w:val="22"/>
        </w:rPr>
        <w:t>6.</w:t>
      </w:r>
      <w:r>
        <w:rPr>
          <w:rFonts w:ascii="Times New Roman;sans-serif" w:hAnsi="Times New Roman;sans-serif"/>
          <w:b/>
          <w:color w:val="000000"/>
          <w:sz w:val="22"/>
          <w:u w:val="single"/>
        </w:rPr>
        <w:t>No Conflicting Obligations</w:t>
      </w:r>
      <w:r>
        <w:rPr>
          <w:rFonts w:ascii="Times New Roman;sans-serif" w:hAnsi="Times New Roman;sans-serif"/>
          <w:b w:val="false"/>
          <w:color w:val="000000"/>
          <w:sz w:val="22"/>
        </w:rPr>
        <w:t xml:space="preserve">. You understand and agree that by signing this letter agreement, you represent to the Company that your performance will not breach any other agreement to which you are a party and that you have not, and will not during the term of your employment with the Company, 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 </w:t>
      </w:r>
    </w:p>
    <w:p>
      <w:pPr>
        <w:pStyle w:val="TextBody"/>
        <w:bidi w:val="0"/>
        <w:spacing w:lineRule="auto" w:line="240" w:before="0" w:after="240"/>
        <w:ind w:left="0" w:right="0" w:firstLine="360"/>
        <w:jc w:val="both"/>
        <w:rPr/>
      </w:pPr>
      <w:r>
        <w:rPr>
          <w:rFonts w:ascii="Times New Roman;sans-serif" w:hAnsi="Times New Roman;sans-serif"/>
          <w:b/>
          <w:color w:val="010000"/>
          <w:sz w:val="22"/>
        </w:rPr>
        <w:t>7.</w:t>
      </w:r>
      <w:r>
        <w:rPr>
          <w:rFonts w:ascii="Times New Roman;sans-serif" w:hAnsi="Times New Roman;sans-serif"/>
          <w:b/>
          <w:color w:val="000000"/>
          <w:sz w:val="22"/>
          <w:u w:val="single"/>
        </w:rPr>
        <w:t>Outside Activities</w:t>
      </w:r>
      <w:r>
        <w:rPr>
          <w:rFonts w:ascii="Times New Roman;sans-serif" w:hAnsi="Times New Roman;sans-serif"/>
          <w:b w:val="false"/>
          <w:color w:val="000000"/>
          <w:sz w:val="22"/>
        </w:rPr>
        <w:t xml:space="preserve">. While you render services to the Company, you agree that you will not engage in any other employment, consulting or other business activity without the written consent of the </w:t>
      </w:r>
    </w:p>
    <w:p>
      <w:pPr>
        <w:pStyle w:val="TextBody"/>
        <w:bidi w:val="0"/>
        <w:spacing w:lineRule="auto" w:line="24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Any reference to the Company will be understood to include any parent of the Company that employs you, including Nextdoor Holdings, Inc.</w:t>
      </w:r>
    </w:p>
    <w:p>
      <w:pPr>
        <w:pStyle w:val="TextBody"/>
        <w:bidi w:val="0"/>
        <w:spacing w:before="0" w:after="240"/>
        <w:jc w:val="center"/>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1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drawing>
          <wp:inline distT="0" distB="0" distL="0" distR="0">
            <wp:extent cx="2343150" cy="419100"/>
            <wp:effectExtent l="0" t="0" r="0" b="0"/>
            <wp:docPr id="1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 descr=""/>
                    <pic:cNvPicPr>
                      <a:picLocks noChangeAspect="1" noChangeArrowheads="1"/>
                    </pic:cNvPicPr>
                  </pic:nvPicPr>
                  <pic:blipFill>
                    <a:blip r:embed="rId37"/>
                    <a:stretch>
                      <a:fillRect/>
                    </a:stretch>
                  </pic:blipFill>
                  <pic:spPr bwMode="auto">
                    <a:xfrm>
                      <a:off x="0" y="0"/>
                      <a:ext cx="2343150" cy="419100"/>
                    </a:xfrm>
                    <a:prstGeom prst="rect">
                      <a:avLst/>
                    </a:prstGeom>
                  </pic:spPr>
                </pic:pic>
              </a:graphicData>
            </a:graphic>
          </wp:inline>
        </w:drawing>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Company. In addition, while you render services to the Company, you will not assist any person or entity in competing with the Company, in preparing to compete with the Company or in hiring any employees or consultants of the Company. </w:t>
      </w:r>
    </w:p>
    <w:p>
      <w:pPr>
        <w:pStyle w:val="TextBody"/>
        <w:bidi w:val="0"/>
        <w:spacing w:lineRule="auto" w:line="240" w:before="0" w:after="240"/>
        <w:ind w:left="0" w:right="0" w:firstLine="360"/>
        <w:jc w:val="both"/>
        <w:rPr/>
      </w:pPr>
      <w:r>
        <w:rPr>
          <w:rFonts w:ascii="Times New Roman;sans-serif" w:hAnsi="Times New Roman;sans-serif"/>
          <w:b/>
          <w:color w:val="010000"/>
          <w:sz w:val="22"/>
        </w:rPr>
        <w:t>8.</w:t>
      </w:r>
      <w:r>
        <w:rPr>
          <w:rFonts w:ascii="Times New Roman;sans-serif" w:hAnsi="Times New Roman;sans-serif"/>
          <w:b/>
          <w:color w:val="000000"/>
          <w:sz w:val="22"/>
          <w:u w:val="single"/>
        </w:rPr>
        <w:t>Equal Employment Opportunity</w:t>
      </w:r>
      <w:r>
        <w:rPr>
          <w:rFonts w:ascii="Times New Roman;sans-serif" w:hAnsi="Times New Roman;sans-serif"/>
          <w:b w:val="false"/>
          <w:color w:val="000000"/>
          <w:sz w:val="22"/>
        </w:rPr>
        <w:t>. The Company is an equal opportunity employer and conducts its employment practices based on business needs and in a manner that treats employees and applicants on the basis of merit and experience. The Company prohibits unlawful discrimination on the basis of race, color, religion, sex, pregnancy, national origin, citizenship, ancestry, age, physical or mental disability, veteran status, marital status, domestic partner status, sexual orientation, or any other consideration made unlawful by federal, state or local laws.</w:t>
      </w:r>
      <w:r>
        <w:rPr>
          <w:color w:val="000000"/>
          <w:u w:val="single"/>
        </w:rPr>
        <w:t xml:space="preserve"> </w:t>
      </w:r>
    </w:p>
    <w:p>
      <w:pPr>
        <w:pStyle w:val="TextBody"/>
        <w:bidi w:val="0"/>
        <w:spacing w:lineRule="auto" w:line="240" w:before="0" w:after="240"/>
        <w:ind w:left="0" w:right="0" w:firstLine="360"/>
        <w:jc w:val="both"/>
        <w:rPr/>
      </w:pPr>
      <w:r>
        <w:rPr>
          <w:rFonts w:ascii="Times New Roman;sans-serif" w:hAnsi="Times New Roman;sans-serif"/>
          <w:b/>
          <w:color w:val="010000"/>
          <w:sz w:val="22"/>
        </w:rPr>
        <w:t>9.</w:t>
      </w:r>
      <w:r>
        <w:rPr>
          <w:rFonts w:ascii="Times New Roman;sans-serif" w:hAnsi="Times New Roman;sans-serif"/>
          <w:b/>
          <w:color w:val="000000"/>
          <w:sz w:val="22"/>
          <w:u w:val="single"/>
        </w:rPr>
        <w:t>General Obligations</w:t>
      </w:r>
      <w:r>
        <w:rPr>
          <w:rFonts w:ascii="Times New Roman;sans-serif" w:hAnsi="Times New Roman;sans-serif"/>
          <w:b w:val="false"/>
          <w:color w:val="000000"/>
          <w:sz w:val="22"/>
        </w:rPr>
        <w:t xml:space="preserve">. As an employee, you will be expected to continue to adhere to the Company’s standards of professionalism, loyalty, integrity, honesty, reliability and respect for all. You will also be expected to continue to comply with the Company’s policies and procedures. The Company is an equal opportunity employer. </w:t>
      </w:r>
    </w:p>
    <w:p>
      <w:pPr>
        <w:pStyle w:val="TextBody"/>
        <w:bidi w:val="0"/>
        <w:spacing w:lineRule="auto" w:line="240" w:before="0" w:after="240"/>
        <w:ind w:left="0" w:right="0" w:firstLine="360"/>
        <w:jc w:val="both"/>
        <w:rPr/>
      </w:pPr>
      <w:r>
        <w:rPr>
          <w:rFonts w:ascii="Times New Roman;sans-serif" w:hAnsi="Times New Roman;sans-serif"/>
          <w:b/>
          <w:color w:val="010000"/>
          <w:sz w:val="22"/>
        </w:rPr>
        <w:t>10.</w:t>
      </w:r>
      <w:r>
        <w:rPr>
          <w:rFonts w:ascii="Times New Roman;sans-serif" w:hAnsi="Times New Roman;sans-serif"/>
          <w:b/>
          <w:color w:val="000000"/>
          <w:sz w:val="22"/>
          <w:u w:val="single"/>
        </w:rPr>
        <w:t>At-Will Employment</w:t>
      </w:r>
      <w:r>
        <w:rPr>
          <w:rFonts w:ascii="Times New Roman;sans-serif" w:hAnsi="Times New Roman;sans-serif"/>
          <w:b w:val="false"/>
          <w:color w:val="000000"/>
          <w:sz w:val="22"/>
        </w:rPr>
        <w:t xml:space="preserve">. Your employment with the Company continues to be for no specific period of time. Your employment with the Company will continue to be on an “at will” basis, meaning that either you or the Company may terminate your employment at any time for any reason or no reason. The Company also reserves the right to modify or amend the terms of your employment at any time for any reason. Any contrary representations which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Board of Directors. </w:t>
      </w:r>
    </w:p>
    <w:p>
      <w:pPr>
        <w:pStyle w:val="TextBody"/>
        <w:bidi w:val="0"/>
        <w:spacing w:lineRule="auto" w:line="240" w:before="0" w:after="240"/>
        <w:ind w:left="0" w:right="0" w:firstLine="360"/>
        <w:jc w:val="both"/>
        <w:rPr/>
      </w:pPr>
      <w:r>
        <w:rPr>
          <w:rFonts w:ascii="Times New Roman;sans-serif" w:hAnsi="Times New Roman;sans-serif"/>
          <w:b/>
          <w:color w:val="010000"/>
          <w:sz w:val="22"/>
        </w:rPr>
        <w:t>11.</w:t>
      </w:r>
      <w:r>
        <w:rPr>
          <w:rFonts w:ascii="Times New Roman;sans-serif" w:hAnsi="Times New Roman;sans-serif"/>
          <w:b/>
          <w:color w:val="000000"/>
          <w:sz w:val="22"/>
          <w:u w:val="single"/>
        </w:rPr>
        <w:t>Withholdings</w:t>
      </w:r>
      <w:r>
        <w:rPr>
          <w:rFonts w:ascii="Times New Roman;sans-serif" w:hAnsi="Times New Roman;sans-serif"/>
          <w:b w:val="false"/>
          <w:color w:val="000000"/>
          <w:sz w:val="22"/>
        </w:rPr>
        <w:t xml:space="preserve">. All forms of compensation paid to you as an employee of the Company shall be less all applicable withholdings. </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pStyle w:val="TextBody"/>
        <w:bidi w:val="0"/>
        <w:jc w:val="both"/>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1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drawing>
          <wp:inline distT="0" distB="0" distL="0" distR="0">
            <wp:extent cx="2343150" cy="419100"/>
            <wp:effectExtent l="0" t="0" r="0" b="0"/>
            <wp:docPr id="1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2" descr=""/>
                    <pic:cNvPicPr>
                      <a:picLocks noChangeAspect="1" noChangeArrowheads="1"/>
                    </pic:cNvPicPr>
                  </pic:nvPicPr>
                  <pic:blipFill>
                    <a:blip r:embed="rId38"/>
                    <a:stretch>
                      <a:fillRect/>
                    </a:stretch>
                  </pic:blipFill>
                  <pic:spPr bwMode="auto">
                    <a:xfrm>
                      <a:off x="0" y="0"/>
                      <a:ext cx="2343150" cy="419100"/>
                    </a:xfrm>
                    <a:prstGeom prst="rect">
                      <a:avLst/>
                    </a:prstGeom>
                  </pic:spPr>
                </pic:pic>
              </a:graphicData>
            </a:graphic>
          </wp:inline>
        </w:drawing>
      </w:r>
    </w:p>
    <w:p>
      <w:pPr>
        <w:pStyle w:val="TextBody"/>
        <w:bidi w:val="0"/>
        <w:spacing w:lineRule="auto" w:line="240"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letter agreement supersedes and replaces any prior understandings or agreements, whether oral, written or implied, between you and the Company regarding the matters described in this letter (other than the Severance Agreement), including, without limitation, the Prior Agreement. This letter will be governed by the laws of California, without regard to its conflict of laws provisions.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Very truly yours, </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 xml:space="preserve">NEXTDOOR, INC. </w:t>
      </w:r>
    </w:p>
    <w:p>
      <w:pPr>
        <w:pStyle w:val="TextBody"/>
        <w:bidi w:val="0"/>
        <w:spacing w:lineRule="auto" w:line="240" w:before="0" w:after="0"/>
        <w:jc w:val="both"/>
        <w:rPr/>
      </w:pPr>
      <w:r>
        <w:rPr>
          <w:rFonts w:ascii="Times New Roman;sans-serif" w:hAnsi="Times New Roman;sans-serif"/>
          <w:b w:val="false"/>
          <w:color w:val="000000"/>
          <w:sz w:val="22"/>
          <w:u w:val="single"/>
        </w:rPr>
        <w:t>/s/ Sarah Friar    </w:t>
        <w:br/>
      </w:r>
      <w:r>
        <w:rPr>
          <w:rFonts w:ascii="Times New Roman;sans-serif" w:hAnsi="Times New Roman;sans-serif"/>
          <w:b w:val="false"/>
          <w:color w:val="000000"/>
          <w:sz w:val="22"/>
        </w:rPr>
        <w:t xml:space="preserve">By: </w:t>
      </w:r>
      <w:r>
        <w:rPr>
          <w:rFonts w:ascii="Times New Roman;sans-serif" w:hAnsi="Times New Roman;sans-serif"/>
          <w:b/>
          <w:color w:val="000000"/>
          <w:sz w:val="22"/>
        </w:rPr>
        <w:t>Sarah Friar</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Chief Executive Officer</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 xml:space="preserve">ACCEPTED AND AGREED: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Matt Anderson</w:t>
      </w:r>
    </w:p>
    <w:p>
      <w:pPr>
        <w:pStyle w:val="TextBody"/>
        <w:bidi w:val="0"/>
        <w:spacing w:lineRule="auto" w:line="240" w:before="0" w:after="240"/>
        <w:jc w:val="both"/>
        <w:rPr/>
      </w:pPr>
      <w:r>
        <w:rPr>
          <w:rFonts w:ascii="Times New Roman;sans-serif" w:hAnsi="Times New Roman;sans-serif"/>
          <w:b w:val="false"/>
          <w:color w:val="000000"/>
          <w:sz w:val="22"/>
          <w:u w:val="single"/>
        </w:rPr>
        <w:t>/s/ Matt Anderson    </w:t>
      </w:r>
      <w:r>
        <w:rPr>
          <w:rFonts w:ascii="Times New Roman;sans-serif" w:hAnsi="Times New Roman;sans-serif"/>
          <w:b w:val="false"/>
          <w:color w:val="000000"/>
          <w:sz w:val="22"/>
        </w:rPr>
        <w:br/>
        <w:t xml:space="preserve">Signature </w:t>
      </w:r>
    </w:p>
    <w:p>
      <w:pPr>
        <w:pStyle w:val="TextBody"/>
        <w:bidi w:val="0"/>
        <w:spacing w:lineRule="auto" w:line="240" w:before="0" w:after="240"/>
        <w:jc w:val="both"/>
        <w:rPr/>
      </w:pPr>
      <w:r>
        <w:rPr>
          <w:rFonts w:ascii="Times New Roman;sans-serif" w:hAnsi="Times New Roman;sans-serif"/>
          <w:b w:val="false"/>
          <w:color w:val="000000"/>
          <w:sz w:val="22"/>
          <w:u w:val="single"/>
        </w:rPr>
        <w:t>November 7, 2023    </w:t>
      </w:r>
      <w:r>
        <w:rPr>
          <w:rFonts w:ascii="Times New Roman;sans-serif" w:hAnsi="Times New Roman;sans-serif"/>
          <w:b w:val="false"/>
          <w:color w:val="000000"/>
          <w:sz w:val="22"/>
        </w:rPr>
        <w:br/>
        <w:t>Date</w: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Amended and Restated Offer Letter]</w:t>
      </w:r>
    </w:p>
    <w:p>
      <w:pPr>
        <w:pStyle w:val="TextBody"/>
        <w:bidi w:val="0"/>
        <w:spacing w:before="0" w:after="240"/>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1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drawing>
          <wp:inline distT="0" distB="0" distL="0" distR="0">
            <wp:extent cx="2343150" cy="419100"/>
            <wp:effectExtent l="0" t="0" r="0" b="0"/>
            <wp:docPr id="1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3" descr=""/>
                    <pic:cNvPicPr>
                      <a:picLocks noChangeAspect="1" noChangeArrowheads="1"/>
                    </pic:cNvPicPr>
                  </pic:nvPicPr>
                  <pic:blipFill>
                    <a:blip r:embed="rId39"/>
                    <a:stretch>
                      <a:fillRect/>
                    </a:stretch>
                  </pic:blipFill>
                  <pic:spPr bwMode="auto">
                    <a:xfrm>
                      <a:off x="0" y="0"/>
                      <a:ext cx="2343150" cy="419100"/>
                    </a:xfrm>
                    <a:prstGeom prst="rect">
                      <a:avLst/>
                    </a:prstGeom>
                  </pic:spPr>
                </pic:pic>
              </a:graphicData>
            </a:graphic>
          </wp:inline>
        </w:drawing>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Change in Control and Severance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This Change in Control and Severance Agreement (the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is entered into by and between Matt Anderson (the “</w:t>
      </w:r>
      <w:r>
        <w:rPr>
          <w:rFonts w:ascii="Times New Roman;sans-serif" w:hAnsi="Times New Roman;sans-serif"/>
          <w:b/>
          <w:color w:val="000000"/>
          <w:sz w:val="20"/>
        </w:rPr>
        <w:t>Executive</w:t>
      </w:r>
      <w:r>
        <w:rPr>
          <w:color w:val="000000"/>
        </w:rPr>
        <w:t>”</w:t>
      </w:r>
      <w:r>
        <w:rPr>
          <w:rFonts w:ascii="Times New Roman;sans-serif" w:hAnsi="Times New Roman;sans-serif"/>
          <w:b w:val="false"/>
          <w:color w:val="000000"/>
          <w:sz w:val="20"/>
        </w:rPr>
        <w:t>) and Nextdoor, Inc., a Delaware corporation (together with its parent, Nextdoor Holdings,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effective as of November 7, 2023 (the “</w:t>
      </w:r>
      <w:r>
        <w:rPr>
          <w:rFonts w:ascii="Times New Roman;sans-serif" w:hAnsi="Times New Roman;sans-serif"/>
          <w:b/>
          <w:color w:val="000000"/>
          <w:sz w:val="20"/>
        </w:rPr>
        <w:t>Effective Date</w:t>
      </w:r>
      <w:r>
        <w:rPr>
          <w:color w:val="000000"/>
        </w:rPr>
        <w:t>”</w:t>
      </w:r>
      <w:r>
        <w:rPr>
          <w:rFonts w:ascii="Times New Roman;sans-serif" w:hAnsi="Times New Roman;sans-serif"/>
          <w:b w:val="false"/>
          <w:color w:val="000000"/>
          <w:sz w:val="20"/>
        </w:rPr>
        <w:t>).</w:t>
      </w:r>
    </w:p>
    <w:p>
      <w:pPr>
        <w:pStyle w:val="TextBody"/>
        <w:bidi w:val="0"/>
        <w:spacing w:lineRule="auto" w:line="240" w:before="0" w:after="240"/>
        <w:jc w:val="left"/>
        <w:rPr/>
      </w:pPr>
      <w:r>
        <w:rPr>
          <w:rFonts w:ascii="Times New Roman;sans-serif" w:hAnsi="Times New Roman;sans-serif"/>
          <w:b/>
          <w:color w:val="010000"/>
          <w:sz w:val="20"/>
        </w:rPr>
        <w:t>1.</w:t>
      </w:r>
      <w:r>
        <w:rPr>
          <w:rFonts w:ascii="Times New Roman;sans-serif" w:hAnsi="Times New Roman;sans-serif"/>
          <w:b/>
          <w:color w:val="000000"/>
          <w:sz w:val="20"/>
        </w:rPr>
        <w:t>Term of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This Agreement shall terminate the earlier of the third (3</w:t>
      </w:r>
      <w:r>
        <w:rPr>
          <w:rFonts w:ascii="Times New Roman;sans-serif" w:hAnsi="Times New Roman;sans-serif"/>
          <w:b w:val="false"/>
          <w:color w:val="000000"/>
          <w:sz w:val="13"/>
        </w:rPr>
        <w:t>rd</w:t>
      </w:r>
      <w:r>
        <w:rPr>
          <w:rFonts w:ascii="Times New Roman;sans-serif" w:hAnsi="Times New Roman;sans-serif"/>
          <w:b w:val="false"/>
          <w:color w:val="000000"/>
          <w:sz w:val="20"/>
        </w:rPr>
        <w:t>) anniversary of the Effective Date (the “</w:t>
      </w:r>
      <w:r>
        <w:rPr>
          <w:rFonts w:ascii="Times New Roman;sans-serif" w:hAnsi="Times New Roman;sans-serif"/>
          <w:b/>
          <w:color w:val="000000"/>
          <w:sz w:val="20"/>
        </w:rPr>
        <w:t>Expiration Date</w:t>
      </w:r>
      <w:r>
        <w:rPr>
          <w:color w:val="000000"/>
        </w:rPr>
        <w:t>”</w:t>
      </w:r>
      <w:r>
        <w:rPr>
          <w:rFonts w:ascii="Times New Roman;sans-serif" w:hAnsi="Times New Roman;sans-serif"/>
          <w:b w:val="false"/>
          <w:color w:val="000000"/>
          <w:sz w:val="20"/>
        </w:rPr>
        <w:t xml:space="preserve">) or the date the Executive’s employment with the Company terminates for a reason other than a Qualifying Termination or CIC Qualifying Termination;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xml:space="preserve">, if a definitive agreement relating to a Change in Control has been signed by the Company on or before the Expiration Date, then this Agreement shall remain in effect through the earlier of: </w:t>
      </w:r>
    </w:p>
    <w:p>
      <w:pPr>
        <w:pStyle w:val="TextBody"/>
        <w:bidi w:val="0"/>
        <w:spacing w:lineRule="auto" w:line="240" w:before="0" w:after="240"/>
        <w:ind w:left="0" w:right="0" w:firstLine="720"/>
        <w:jc w:val="both"/>
        <w:rPr/>
      </w:pPr>
      <w:r>
        <w:rPr>
          <w:rFonts w:ascii="Times New Roman;sans-serif" w:hAnsi="Times New Roman;sans-serif"/>
          <w:b/>
          <w:color w:val="010000"/>
          <w:sz w:val="20"/>
        </w:rPr>
        <w:t>(a)</w:t>
      </w:r>
      <w:r>
        <w:rPr>
          <w:rFonts w:ascii="Times New Roman;sans-serif" w:hAnsi="Times New Roman;sans-serif"/>
          <w:b w:val="false"/>
          <w:color w:val="000000"/>
          <w:sz w:val="20"/>
        </w:rPr>
        <w:t>The date the Executive’s employment with the Company terminates for a reason other than a Qualifying Termination or CIC Qualifying Termination, or</w:t>
      </w:r>
    </w:p>
    <w:p>
      <w:pPr>
        <w:pStyle w:val="TextBody"/>
        <w:bidi w:val="0"/>
        <w:spacing w:lineRule="auto" w:line="240" w:before="0" w:after="240"/>
        <w:ind w:left="0" w:right="0" w:firstLine="720"/>
        <w:jc w:val="both"/>
        <w:rPr/>
      </w:pPr>
      <w:r>
        <w:rPr>
          <w:rFonts w:ascii="Times New Roman;sans-serif" w:hAnsi="Times New Roman;sans-serif"/>
          <w:b/>
          <w:color w:val="010000"/>
          <w:sz w:val="20"/>
        </w:rPr>
        <w:t>(b)</w:t>
      </w:r>
      <w:r>
        <w:rPr>
          <w:rFonts w:ascii="Times New Roman;sans-serif" w:hAnsi="Times New Roman;sans-serif"/>
          <w:b w:val="false"/>
          <w:color w:val="000000"/>
          <w:sz w:val="20"/>
        </w:rPr>
        <w:t>The date the Company has met all of its obligations under this Agreement following a termination of the Executive’s employment with the Company due to a Qualifying Termination or CIC Qualifying Termination.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Agreement shall renew automatically and continue in effect for three (3) year periods measured from the initial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pStyle w:val="TextBody"/>
        <w:bidi w:val="0"/>
        <w:spacing w:lineRule="auto" w:line="240" w:before="0" w:after="240"/>
        <w:jc w:val="left"/>
        <w:rPr/>
      </w:pPr>
      <w:r>
        <w:rPr>
          <w:rFonts w:ascii="Times New Roman;sans-serif" w:hAnsi="Times New Roman;sans-serif"/>
          <w:b/>
          <w:color w:val="010000"/>
          <w:sz w:val="20"/>
        </w:rPr>
        <w:t>2.</w:t>
      </w:r>
      <w:r>
        <w:rPr>
          <w:rFonts w:ascii="Times New Roman;sans-serif" w:hAnsi="Times New Roman;sans-serif"/>
          <w:b/>
          <w:color w:val="000000"/>
          <w:sz w:val="20"/>
        </w:rPr>
        <w:t>Qualifying Termination.</w:t>
      </w:r>
      <w:r>
        <w:rPr>
          <w:color w:val="000000"/>
        </w:rPr>
        <w:t xml:space="preserve"> </w:t>
      </w:r>
      <w:r>
        <w:rPr>
          <w:rFonts w:ascii="Times New Roman;sans-serif" w:hAnsi="Times New Roman;sans-serif"/>
          <w:b w:val="false"/>
          <w:color w:val="000000"/>
          <w:sz w:val="20"/>
        </w:rPr>
        <w:t>If the Executive is subject to a Qualifying Termination, then, subject to Sections 4, 8, and 9 below, Executive will be entitled to the following benefits:</w:t>
      </w:r>
    </w:p>
    <w:p>
      <w:pPr>
        <w:pStyle w:val="TextBody"/>
        <w:bidi w:val="0"/>
        <w:spacing w:lineRule="auto" w:line="240" w:before="0" w:after="240"/>
        <w:ind w:left="0" w:right="0" w:firstLine="720"/>
        <w:jc w:val="both"/>
        <w:rPr/>
      </w:pPr>
      <w:r>
        <w:rPr>
          <w:rFonts w:ascii="Times New Roman;sans-serif" w:hAnsi="Times New Roman;sans-serif"/>
          <w:b/>
          <w:color w:val="010000"/>
          <w:sz w:val="20"/>
        </w:rPr>
        <w:t>(a)</w:t>
      </w:r>
      <w:r>
        <w:rPr>
          <w:rFonts w:ascii="Times New Roman;sans-serif" w:hAnsi="Times New Roman;sans-serif"/>
          <w:b/>
          <w:color w:val="000000"/>
          <w:sz w:val="20"/>
        </w:rPr>
        <w:t>Severance Benefits.</w:t>
      </w:r>
      <w:r>
        <w:rPr>
          <w:color w:val="000000"/>
        </w:rPr>
        <w:t xml:space="preserve"> </w:t>
      </w:r>
      <w:r>
        <w:rPr>
          <w:rFonts w:ascii="Times New Roman;sans-serif" w:hAnsi="Times New Roman;sans-serif"/>
          <w:b w:val="false"/>
          <w:color w:val="000000"/>
          <w:sz w:val="20"/>
        </w:rPr>
        <w:t>The Company shall pay the Executive six (6) months of his/her monthly base salary (at the rate in effect immediately prior to the actions that resulted in the Qualifying Termination). The Executive will receive his or her severance payment in a cash lump-sum in accordance with the Company’s standard payroll procedures, which payment will be made no later than the first regular payroll date occurring after the sixtieth (60</w:t>
      </w:r>
      <w:r>
        <w:rPr>
          <w:rFonts w:ascii="Times New Roman;sans-serif" w:hAnsi="Times New Roman;sans-serif"/>
          <w:b w:val="false"/>
          <w:color w:val="000000"/>
          <w:sz w:val="13"/>
        </w:rPr>
        <w:t>th</w:t>
      </w:r>
      <w:r>
        <w:rPr>
          <w:rFonts w:ascii="Times New Roman;sans-serif" w:hAnsi="Times New Roman;sans-serif"/>
          <w:b w:val="false"/>
          <w:color w:val="000000"/>
          <w:sz w:val="20"/>
        </w:rPr>
        <w:t xml:space="preserve">) day following the Separation, </w:t>
      </w:r>
      <w:r>
        <w:rPr>
          <w:rFonts w:ascii="Times New Roman;sans-serif" w:hAnsi="Times New Roman;sans-serif"/>
          <w:b w:val="false"/>
          <w:i/>
          <w:color w:val="000000"/>
          <w:sz w:val="20"/>
        </w:rPr>
        <w:t>provided that</w:t>
      </w:r>
      <w:r>
        <w:rPr>
          <w:color w:val="000000"/>
        </w:rPr>
        <w:t xml:space="preserve"> </w:t>
      </w:r>
      <w:r>
        <w:rPr>
          <w:rFonts w:ascii="Times New Roman;sans-serif" w:hAnsi="Times New Roman;sans-serif"/>
          <w:b w:val="false"/>
          <w:color w:val="000000"/>
          <w:sz w:val="20"/>
        </w:rPr>
        <w:t>the Release Conditions have been satisfied.</w:t>
      </w:r>
    </w:p>
    <w:p>
      <w:pPr>
        <w:pStyle w:val="TextBody"/>
        <w:bidi w:val="0"/>
        <w:spacing w:lineRule="auto" w:line="240" w:before="0" w:after="240"/>
        <w:ind w:left="0" w:right="0" w:firstLine="720"/>
        <w:jc w:val="both"/>
        <w:rPr/>
      </w:pPr>
      <w:r>
        <w:rPr>
          <w:rFonts w:ascii="Times New Roman;sans-serif" w:hAnsi="Times New Roman;sans-serif"/>
          <w:b/>
          <w:color w:val="010000"/>
          <w:sz w:val="20"/>
        </w:rPr>
        <w:t>(b)</w:t>
      </w:r>
      <w:r>
        <w:rPr>
          <w:rFonts w:ascii="Times New Roman;sans-serif" w:hAnsi="Times New Roman;sans-serif"/>
          <w:b/>
          <w:color w:val="000000"/>
          <w:sz w:val="20"/>
        </w:rPr>
        <w:t>Continued Employee Benefits.</w:t>
      </w:r>
      <w:r>
        <w:rPr>
          <w:color w:val="000000"/>
        </w:rPr>
        <w:t xml:space="preserve"> </w:t>
      </w:r>
      <w:r>
        <w:rPr>
          <w:rFonts w:ascii="Times New Roman;sans-serif" w:hAnsi="Times New Roman;sans-serif"/>
          <w:b w:val="false"/>
          <w:color w:val="000000"/>
          <w:sz w:val="20"/>
        </w:rPr>
        <w:t>If Executive timely elects continued coverage under the Consolidated Omnibus Budget Reconciliation Act (“</w:t>
      </w:r>
      <w:r>
        <w:rPr>
          <w:rFonts w:ascii="Times New Roman;sans-serif" w:hAnsi="Times New Roman;sans-serif"/>
          <w:b/>
          <w:color w:val="000000"/>
          <w:sz w:val="20"/>
        </w:rPr>
        <w:t>COBRA</w:t>
      </w:r>
      <w:r>
        <w:rPr>
          <w:color w:val="000000"/>
        </w:rPr>
        <w:t>”</w:t>
      </w:r>
      <w:r>
        <w:rPr>
          <w:rFonts w:ascii="Times New Roman;sans-serif" w:hAnsi="Times New Roman;sans-serif"/>
          <w:b w:val="false"/>
          <w:color w:val="000000"/>
          <w:sz w:val="20"/>
        </w:rPr>
        <w:t xml:space="preserve">), the Company shall pay the full amount of Executive’s COBRA premiums on behalf of the Executive for the Executive’s continued coverage under the Company’s health, dental and vision plans, including coverage for the Executive’s eligible dependents, for a period of six (6) months following the Executive’s Separation or, if earlier, until Executive is eligible to be covered under another substantially equivalent medical insurance plan by a subsequent employer. Notwithstanding the foregoing, the Company may elect to provide Executive, in lieu of any portion of such continued coverage, taxable installment payments equal in amount to the applicable premiums in effect as of Executive’s Separation for the remainder of the COBRA continuation period; </w:t>
      </w:r>
      <w:r>
        <w:rPr>
          <w:rFonts w:ascii="Times New Roman;sans-serif" w:hAnsi="Times New Roman;sans-serif"/>
          <w:b w:val="false"/>
          <w:i/>
          <w:color w:val="000000"/>
          <w:sz w:val="20"/>
        </w:rPr>
        <w:t>provided that</w:t>
      </w:r>
      <w:r>
        <w:rPr>
          <w:rFonts w:ascii="Times New Roman;sans-serif" w:hAnsi="Times New Roman;sans-serif"/>
          <w:b w:val="false"/>
          <w:color w:val="000000"/>
          <w:sz w:val="20"/>
        </w:rPr>
        <w:t>, Executive shall have no right to an additional gross-up payment to account for the fact that such COBRA premium amounts are paid on an after-tax basis.</w:t>
      </w:r>
    </w:p>
    <w:p>
      <w:pPr>
        <w:pStyle w:val="TextBody"/>
        <w:bidi w:val="0"/>
        <w:spacing w:lineRule="auto" w:line="240" w:before="0" w:after="240"/>
        <w:jc w:val="both"/>
        <w:rPr/>
      </w:pPr>
      <w:r>
        <w:rPr>
          <w:rFonts w:ascii="Times New Roman;sans-serif" w:hAnsi="Times New Roman;sans-serif"/>
          <w:b/>
          <w:color w:val="010000"/>
          <w:sz w:val="20"/>
        </w:rPr>
        <w:t>3.</w:t>
      </w:r>
      <w:r>
        <w:rPr>
          <w:rFonts w:ascii="Times New Roman;sans-serif" w:hAnsi="Times New Roman;sans-serif"/>
          <w:b/>
          <w:color w:val="000000"/>
          <w:sz w:val="20"/>
        </w:rPr>
        <w:t>CIC Qualifying Termination.</w:t>
      </w:r>
      <w:r>
        <w:rPr>
          <w:color w:val="000000"/>
        </w:rPr>
        <w:t xml:space="preserve"> </w:t>
      </w:r>
      <w:r>
        <w:rPr>
          <w:rFonts w:ascii="Times New Roman;sans-serif" w:hAnsi="Times New Roman;sans-serif"/>
          <w:b w:val="false"/>
          <w:color w:val="000000"/>
          <w:sz w:val="20"/>
        </w:rPr>
        <w:t>If the Executive is subject to a CIC Qualifying Termination, then, subject to Sections 4, 8, and 9 below, Executive will be entitled to the following benefits:</w:t>
      </w:r>
    </w:p>
    <w:p>
      <w:pPr>
        <w:pStyle w:val="TextBody"/>
        <w:bidi w:val="0"/>
        <w:spacing w:lineRule="auto" w:line="240" w:before="0" w:after="240"/>
        <w:ind w:left="0" w:right="0" w:firstLine="720"/>
        <w:jc w:val="both"/>
        <w:rPr/>
      </w:pPr>
      <w:r>
        <w:rPr>
          <w:rFonts w:ascii="Times New Roman;sans-serif" w:hAnsi="Times New Roman;sans-serif"/>
          <w:b/>
          <w:color w:val="010000"/>
          <w:sz w:val="20"/>
        </w:rPr>
        <w:t>(a)</w:t>
      </w:r>
      <w:r>
        <w:rPr>
          <w:rFonts w:ascii="Times New Roman;sans-serif" w:hAnsi="Times New Roman;sans-serif"/>
          <w:b/>
          <w:color w:val="000000"/>
          <w:sz w:val="20"/>
        </w:rPr>
        <w:t>Severance Payments.</w:t>
      </w:r>
      <w:r>
        <w:rPr>
          <w:color w:val="000000"/>
        </w:rPr>
        <w:t xml:space="preserve"> </w:t>
      </w:r>
      <w:r>
        <w:rPr>
          <w:rFonts w:ascii="Times New Roman;sans-serif" w:hAnsi="Times New Roman;sans-serif"/>
          <w:b w:val="false"/>
          <w:color w:val="000000"/>
          <w:sz w:val="20"/>
        </w:rPr>
        <w:t>The Company or its successor shall pay the Executive twelve (12) months of his/her monthly base salary and an amount equal to his/her annual target bonus at 100% achievement of target, in each case, at the rate in effect immediately prior to the actions that resulted in the Separation. Such payment shall be paid in a cash lump sum in accordance with the Company’s standard payroll procedures, which payment will be made no later than the first regular payroll date occurring after the sixtieth (60</w:t>
      </w:r>
      <w:r>
        <w:rPr>
          <w:rFonts w:ascii="Times New Roman;sans-serif" w:hAnsi="Times New Roman;sans-serif"/>
          <w:b w:val="false"/>
          <w:color w:val="000000"/>
          <w:sz w:val="13"/>
        </w:rPr>
        <w:t>th</w:t>
      </w:r>
      <w:r>
        <w:rPr>
          <w:rFonts w:ascii="Times New Roman;sans-serif" w:hAnsi="Times New Roman;sans-serif"/>
          <w:b w:val="false"/>
          <w:color w:val="000000"/>
          <w:sz w:val="20"/>
        </w:rPr>
        <w:t xml:space="preserve">) day following the Separation, </w:t>
      </w:r>
      <w:r>
        <w:rPr>
          <w:rFonts w:ascii="Times New Roman;sans-serif" w:hAnsi="Times New Roman;sans-serif"/>
          <w:b w:val="false"/>
          <w:i/>
          <w:color w:val="000000"/>
          <w:sz w:val="20"/>
        </w:rPr>
        <w:t>provided that</w:t>
      </w:r>
      <w:r>
        <w:rPr>
          <w:color w:val="000000"/>
        </w:rPr>
        <w:t xml:space="preserve"> </w:t>
      </w:r>
      <w:r>
        <w:rPr>
          <w:rFonts w:ascii="Times New Roman;sans-serif" w:hAnsi="Times New Roman;sans-serif"/>
          <w:b w:val="false"/>
          <w:color w:val="000000"/>
          <w:sz w:val="20"/>
        </w:rPr>
        <w:t>the Release Conditions have been satisfied.</w:t>
      </w:r>
      <w:r>
        <w:rPr>
          <w:color w:val="000000"/>
        </w:rPr>
        <w:t xml:space="preserve"> </w:t>
      </w:r>
      <w:r>
        <w:rPr>
          <w:rFonts w:ascii="Times New Roman;sans-serif" w:hAnsi="Times New Roman;sans-serif"/>
          <w:b w:val="false"/>
          <w:color w:val="000000"/>
          <w:sz w:val="20"/>
        </w:rPr>
        <w:t xml:space="preserve">For the avoidance of doubt, in the event that a Change in Control occurs within three (3) months following a Qualifying Termination, then, provided that such Qualifying </w:t>
      </w:r>
    </w:p>
    <w:p>
      <w:pPr>
        <w:pStyle w:val="TextBody"/>
        <w:bidi w:val="0"/>
        <w:spacing w:before="0" w:after="240"/>
        <w:jc w:val="center"/>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18"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drawing>
          <wp:inline distT="0" distB="0" distL="0" distR="0">
            <wp:extent cx="2343150" cy="419100"/>
            <wp:effectExtent l="0" t="0" r="0" b="0"/>
            <wp:docPr id="1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4" descr=""/>
                    <pic:cNvPicPr>
                      <a:picLocks noChangeAspect="1" noChangeArrowheads="1"/>
                    </pic:cNvPicPr>
                  </pic:nvPicPr>
                  <pic:blipFill>
                    <a:blip r:embed="rId40"/>
                    <a:stretch>
                      <a:fillRect/>
                    </a:stretch>
                  </pic:blipFill>
                  <pic:spPr bwMode="auto">
                    <a:xfrm>
                      <a:off x="0" y="0"/>
                      <a:ext cx="2343150" cy="419100"/>
                    </a:xfrm>
                    <a:prstGeom prst="rect">
                      <a:avLst/>
                    </a:prstGeom>
                  </pic:spPr>
                </pic:pic>
              </a:graphicData>
            </a:graphic>
          </wp:inline>
        </w:drawing>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Termination followed a Potential Change in Control, then in addition to any prior payments under Section 2(a), Executive shall receive an additional payment in order to provide the benefits described in this Section 3(a).</w:t>
      </w:r>
    </w:p>
    <w:p>
      <w:pPr>
        <w:pStyle w:val="TextBody"/>
        <w:bidi w:val="0"/>
        <w:spacing w:lineRule="auto" w:line="240" w:before="0" w:after="240"/>
        <w:ind w:left="0" w:right="0" w:firstLine="720"/>
        <w:jc w:val="both"/>
        <w:rPr/>
      </w:pPr>
      <w:r>
        <w:rPr>
          <w:rFonts w:ascii="Times New Roman;sans-serif" w:hAnsi="Times New Roman;sans-serif"/>
          <w:b/>
          <w:color w:val="010000"/>
          <w:sz w:val="20"/>
        </w:rPr>
        <w:t>(b)</w:t>
      </w:r>
      <w:r>
        <w:rPr>
          <w:rFonts w:ascii="Times New Roman;sans-serif" w:hAnsi="Times New Roman;sans-serif"/>
          <w:b/>
          <w:color w:val="000000"/>
          <w:sz w:val="20"/>
        </w:rPr>
        <w:t xml:space="preserve">Equity. </w:t>
      </w:r>
      <w:r>
        <w:rPr>
          <w:rFonts w:ascii="Times New Roman;sans-serif" w:hAnsi="Times New Roman;sans-serif"/>
          <w:b w:val="false"/>
          <w:color w:val="000000"/>
          <w:sz w:val="20"/>
        </w:rPr>
        <w:t xml:space="preserve">Each of Executive’s then outstanding Equity Awards, other than awards that vest on the satisfaction of performance criteria, shall accelerate and become vested and exercisable as to 100% of the total shares underlying such Equity Awards. As to outstanding Equity Awards that would vest only upon satisfaction of performance criteria, such awards shall accelerate and become vested and exercisable as if such awards had been achieved at the greater of (x) actual achievement (if measurable on the date of Executive’s Separation) or (y) target levels; provided, however, that the Company may specify, in any individual Equity Award agreement, that the acceleration provisions of such award agreement shall specifically overwrite the acceleration provisions set forth herein. Subject to Section 4, the accelerated vesting described above shall be effective as of the Separation. For the avoidance of doubt, in order to give effect to the acceleration contemplated by this Section 3(b), each of Executive’s outstanding Equity Awards shall remain outstanding and eligible for the vesting acceleration contemplated by this Section 3(b) for a period of three (3) months following a Qualifying Termination. </w:t>
      </w:r>
    </w:p>
    <w:p>
      <w:pPr>
        <w:pStyle w:val="TextBody"/>
        <w:bidi w:val="0"/>
        <w:spacing w:lineRule="auto" w:line="240" w:before="0" w:after="240"/>
        <w:ind w:left="0" w:right="0" w:firstLine="720"/>
        <w:jc w:val="both"/>
        <w:rPr/>
      </w:pPr>
      <w:r>
        <w:rPr>
          <w:rFonts w:ascii="Times New Roman;sans-serif" w:hAnsi="Times New Roman;sans-serif"/>
          <w:b/>
          <w:color w:val="010000"/>
          <w:sz w:val="20"/>
        </w:rPr>
        <w:t>(c)</w:t>
      </w:r>
      <w:r>
        <w:rPr>
          <w:rFonts w:ascii="Times New Roman;sans-serif" w:hAnsi="Times New Roman;sans-serif"/>
          <w:b/>
          <w:color w:val="000000"/>
          <w:sz w:val="20"/>
        </w:rPr>
        <w:t>COBRA; Pay in Lieu of Continued Employee Benefits.</w:t>
      </w:r>
      <w:r>
        <w:rPr>
          <w:color w:val="000000"/>
        </w:rPr>
        <w:t xml:space="preserve"> </w:t>
      </w:r>
      <w:r>
        <w:rPr>
          <w:rFonts w:ascii="Times New Roman;sans-serif" w:hAnsi="Times New Roman;sans-serif"/>
          <w:b w:val="false"/>
          <w:color w:val="000000"/>
          <w:sz w:val="20"/>
        </w:rPr>
        <w:t>Continuation of COBRA or a cash benefit, in both cases on the same terms as set forth in Section 2(b) above, for a period of twelve (12) months following the Executive’s Separation or, if earlier, until Executive is eligible to be covered under another substantially equivalent medical insurance plan by a subsequent employer.</w:t>
      </w:r>
    </w:p>
    <w:p>
      <w:pPr>
        <w:pStyle w:val="TextBody"/>
        <w:bidi w:val="0"/>
        <w:spacing w:lineRule="auto" w:line="240" w:before="0" w:after="240"/>
        <w:jc w:val="both"/>
        <w:rPr/>
      </w:pPr>
      <w:r>
        <w:rPr>
          <w:rFonts w:ascii="Times New Roman;sans-serif" w:hAnsi="Times New Roman;sans-serif"/>
          <w:b/>
          <w:color w:val="010000"/>
          <w:sz w:val="20"/>
        </w:rPr>
        <w:t>4.</w:t>
      </w:r>
      <w:r>
        <w:rPr>
          <w:rFonts w:ascii="Times New Roman;sans-serif" w:hAnsi="Times New Roman;sans-serif"/>
          <w:b/>
          <w:color w:val="000000"/>
          <w:sz w:val="20"/>
        </w:rPr>
        <w:t>General Release.</w:t>
      </w:r>
      <w:r>
        <w:rPr>
          <w:color w:val="000000"/>
        </w:rPr>
        <w:t xml:space="preserve"> </w:t>
      </w:r>
      <w:r>
        <w:rPr>
          <w:rFonts w:ascii="Times New Roman;sans-serif" w:hAnsi="Times New Roman;sans-serif"/>
          <w:b w:val="false"/>
          <w:color w:val="000000"/>
          <w:sz w:val="20"/>
        </w:rPr>
        <w:t>Any other provision of this Agreement notwithstanding, the benefits under Section 2 and 3 shall not apply unless the Executive (i) has executed a general release of 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Times New Roman;sans-serif" w:hAnsi="Times New Roman;sans-serif"/>
          <w:b/>
          <w:color w:val="000000"/>
          <w:sz w:val="20"/>
        </w:rPr>
        <w:t>Release</w:t>
      </w:r>
      <w:r>
        <w:rPr>
          <w:color w:val="000000"/>
        </w:rPr>
        <w:t>”</w:t>
      </w:r>
      <w:r>
        <w:rPr>
          <w:rFonts w:ascii="Times New Roman;sans-serif" w:hAnsi="Times New Roman;sans-serif"/>
          <w:b w:val="false"/>
          <w:color w:val="000000"/>
          <w:sz w:val="20"/>
        </w:rPr>
        <w:t>). The Company will deliver the form of Release to the Executive within thirty (30) days after the Executive’s Separation. The Executive must execute and return the Release within the time period specified in the form and in any event no later than sixty (60) days following the date of Executive’s Separation.</w:t>
      </w:r>
    </w:p>
    <w:p>
      <w:pPr>
        <w:pStyle w:val="TextBody"/>
        <w:bidi w:val="0"/>
        <w:spacing w:lineRule="auto" w:line="240" w:before="0" w:after="240"/>
        <w:jc w:val="both"/>
        <w:rPr/>
      </w:pPr>
      <w:r>
        <w:rPr>
          <w:rFonts w:ascii="Times New Roman;sans-serif" w:hAnsi="Times New Roman;sans-serif"/>
          <w:b/>
          <w:color w:val="010000"/>
          <w:sz w:val="20"/>
        </w:rPr>
        <w:t>5.</w:t>
      </w:r>
      <w:r>
        <w:rPr>
          <w:rFonts w:ascii="Times New Roman;sans-serif" w:hAnsi="Times New Roman;sans-serif"/>
          <w:b/>
          <w:color w:val="000000"/>
          <w:sz w:val="20"/>
        </w:rPr>
        <w:t>Accrued Compensation and Benefits.</w:t>
      </w:r>
      <w:r>
        <w:rPr>
          <w:color w:val="000000"/>
        </w:rPr>
        <w:t xml:space="preserve"> </w:t>
      </w:r>
      <w:r>
        <w:rPr>
          <w:rFonts w:ascii="Times New Roman;sans-serif" w:hAnsi="Times New Roman;sans-serif"/>
          <w:b w:val="false"/>
          <w:color w:val="000000"/>
          <w:sz w:val="20"/>
        </w:rPr>
        <w:t>Notwithstanding anything to the contrary in Sections 2 and 3 above, in connection with any termination of employment (whether or not a Qualifying Termination or CIC Qualifying Termination), the Company shall pay Executive’s earned but unpaid base salary and other vested but unpaid cash entitlements for the period through and including the termination of employment, including unreimbursed documented business expenses incurred by Executive through and including the date of termination (collectively “</w:t>
      </w:r>
      <w:r>
        <w:rPr>
          <w:rFonts w:ascii="Times New Roman;sans-serif" w:hAnsi="Times New Roman;sans-serif"/>
          <w:b/>
          <w:color w:val="000000"/>
          <w:sz w:val="20"/>
        </w:rPr>
        <w:t>Accrued Compensation and Expenses</w:t>
      </w:r>
      <w:r>
        <w:rPr>
          <w:color w:val="000000"/>
        </w:rPr>
        <w:t>”</w:t>
      </w:r>
      <w:r>
        <w:rPr>
          <w:rFonts w:ascii="Times New Roman;sans-serif" w:hAnsi="Times New Roman;sans-serif"/>
          <w:b w:val="false"/>
          <w:color w:val="000000"/>
          <w:sz w:val="20"/>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(collectively “</w:t>
      </w:r>
      <w:r>
        <w:rPr>
          <w:rFonts w:ascii="Times New Roman;sans-serif" w:hAnsi="Times New Roman;sans-serif"/>
          <w:b/>
          <w:color w:val="000000"/>
          <w:sz w:val="20"/>
        </w:rPr>
        <w:t>Accrued Benefits</w:t>
      </w:r>
      <w:r>
        <w:rPr>
          <w:color w:val="000000"/>
        </w:rPr>
        <w:t>”</w:t>
      </w:r>
      <w:r>
        <w:rPr>
          <w:rFonts w:ascii="Times New Roman;sans-serif" w:hAnsi="Times New Roman;sans-serif"/>
          <w:b w:val="false"/>
          <w:color w:val="000000"/>
          <w:sz w:val="20"/>
        </w:rPr>
        <w:t>). Any Accrued Compensation and Expenses to which the Executive is entitled shall be paid to the Executive in cash as soon as administratively practicable after the termination, and, in any event, no later than two and one-half (2-1/2) months after the end of the taxable year of the Executive in which the termination occurs. Any Accrued Benefits to which the Executive is entitled shall be paid to the Executive as provided in the relevant plans and arrangements.</w:t>
      </w:r>
    </w:p>
    <w:p>
      <w:pPr>
        <w:pStyle w:val="TextBody"/>
        <w:bidi w:val="0"/>
        <w:spacing w:lineRule="auto" w:line="240" w:before="0" w:after="240"/>
        <w:jc w:val="left"/>
        <w:rPr/>
      </w:pPr>
      <w:r>
        <w:rPr>
          <w:rFonts w:ascii="Times New Roman;sans-serif" w:hAnsi="Times New Roman;sans-serif"/>
          <w:b/>
          <w:color w:val="010000"/>
          <w:sz w:val="20"/>
        </w:rPr>
        <w:t>6.</w:t>
      </w:r>
      <w:r>
        <w:rPr>
          <w:rFonts w:ascii="Times New Roman;sans-serif" w:hAnsi="Times New Roman;sans-serif"/>
          <w:b/>
          <w:color w:val="000000"/>
          <w:sz w:val="20"/>
        </w:rPr>
        <w:t>Definitions.</w:t>
      </w:r>
    </w:p>
    <w:p>
      <w:pPr>
        <w:pStyle w:val="TextBody"/>
        <w:bidi w:val="0"/>
        <w:spacing w:lineRule="auto" w:line="240" w:before="0" w:after="240"/>
        <w:ind w:left="0" w:right="0" w:firstLine="720"/>
        <w:jc w:val="both"/>
        <w:rPr/>
      </w:pPr>
      <w:r>
        <w:rPr>
          <w:rFonts w:ascii="Times New Roman;sans-serif" w:hAnsi="Times New Roman;sans-serif"/>
          <w:b/>
          <w:color w:val="010000"/>
          <w:sz w:val="20"/>
        </w:rPr>
        <w:t>(a)</w:t>
      </w:r>
      <w:r>
        <w:rPr>
          <w:rFonts w:ascii="Times New Roman;sans-serif" w:hAnsi="Times New Roman;sans-serif"/>
          <w:b w:val="false"/>
          <w:color w:val="000000"/>
          <w:sz w:val="20"/>
        </w:rPr>
        <w:t>The term “</w:t>
      </w:r>
      <w:r>
        <w:rPr>
          <w:rFonts w:ascii="Times New Roman;sans-serif" w:hAnsi="Times New Roman;sans-serif"/>
          <w:b/>
          <w:color w:val="000000"/>
          <w:sz w:val="20"/>
        </w:rPr>
        <w:t>Cause</w:t>
      </w:r>
      <w:r>
        <w:rPr>
          <w:color w:val="000000"/>
        </w:rPr>
        <w:t xml:space="preserve">” </w:t>
      </w:r>
      <w:r>
        <w:rPr>
          <w:rFonts w:ascii="Times New Roman;sans-serif" w:hAnsi="Times New Roman;sans-serif"/>
          <w:b w:val="false"/>
          <w:color w:val="000000"/>
          <w:sz w:val="20"/>
        </w:rPr>
        <w:t>means the occurrence of any of the following events, as reasonably determined by the Company:</w:t>
      </w:r>
    </w:p>
    <w:p>
      <w:pPr>
        <w:pStyle w:val="TextBody"/>
        <w:bidi w:val="0"/>
        <w:spacing w:lineRule="auto" w:line="240" w:before="0" w:after="240"/>
        <w:ind w:left="0" w:right="0" w:firstLine="144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any willful and material violation by Executive of any law or regulation applicable to the business of the Company or a parent or subsidiary of the Company;</w:t>
      </w:r>
    </w:p>
    <w:p>
      <w:pPr>
        <w:pStyle w:val="TextBody"/>
        <w:bidi w:val="0"/>
        <w:spacing w:lineRule="auto" w:line="240" w:before="0" w:after="240"/>
        <w:ind w:left="0" w:right="0" w:firstLine="144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Executive’s conviction for, or guilty plea to, a felony or a crime involving moral turpitude or any willful perpetration by Executive of a common law fraud;</w:t>
      </w:r>
    </w:p>
    <w:p>
      <w:pPr>
        <w:pStyle w:val="TextBody"/>
        <w:bidi w:val="0"/>
        <w:spacing w:lineRule="auto" w:line="240" w:before="0" w:after="240"/>
        <w:ind w:left="0" w:right="0" w:firstLine="144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Executive’s commission of an act of personal dishonesty which involves personal profit in connection with the Company or any other entity having a business relationship with the Company;</w:t>
      </w:r>
    </w:p>
    <w:p>
      <w:pPr>
        <w:pStyle w:val="TextBody"/>
        <w:bidi w:val="0"/>
        <w:spacing w:lineRule="auto" w:line="240" w:before="0" w:after="240"/>
        <w:ind w:left="0" w:right="0" w:firstLine="144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 xml:space="preserve">any material breach by Executive of any provision of any agreement or understanding between the Company or any parent or subsidiary of the Company and Executive regarding the terms of Executive’s </w:t>
      </w:r>
    </w:p>
    <w:p>
      <w:pPr>
        <w:pStyle w:val="TextBody"/>
        <w:bidi w:val="0"/>
        <w:spacing w:before="0" w:after="240"/>
        <w:jc w:val="center"/>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0"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drawing>
          <wp:inline distT="0" distB="0" distL="0" distR="0">
            <wp:extent cx="2343150" cy="419100"/>
            <wp:effectExtent l="0" t="0" r="0" b="0"/>
            <wp:docPr id="1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5" descr=""/>
                    <pic:cNvPicPr>
                      <a:picLocks noChangeAspect="1" noChangeArrowheads="1"/>
                    </pic:cNvPicPr>
                  </pic:nvPicPr>
                  <pic:blipFill>
                    <a:blip r:embed="rId41"/>
                    <a:stretch>
                      <a:fillRect/>
                    </a:stretch>
                  </pic:blipFill>
                  <pic:spPr bwMode="auto">
                    <a:xfrm>
                      <a:off x="0" y="0"/>
                      <a:ext cx="2343150" cy="419100"/>
                    </a:xfrm>
                    <a:prstGeom prst="rect">
                      <a:avLst/>
                    </a:prstGeom>
                  </pic:spPr>
                </pic:pic>
              </a:graphicData>
            </a:graphic>
          </wp:inline>
        </w:drawing>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service as an employee to the Company or a parent or subsidiary of the Company, or any breach of any applicable invention assignment and confidentiality agreement or similar agreement between Executive and the Company;</w:t>
      </w:r>
    </w:p>
    <w:p>
      <w:pPr>
        <w:pStyle w:val="TextBody"/>
        <w:bidi w:val="0"/>
        <w:spacing w:lineRule="auto" w:line="240" w:before="0" w:after="240"/>
        <w:ind w:left="0" w:right="0" w:firstLine="144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 xml:space="preserve">Executive’s disregard of the policies or regulations of the Company or any parent or subsidiary of the Company so as to cause material loss, damage or injury to the property, reputation or employees of the Company or a parent or subsidiary of the Company; </w:t>
      </w:r>
    </w:p>
    <w:p>
      <w:pPr>
        <w:pStyle w:val="TextBody"/>
        <w:bidi w:val="0"/>
        <w:spacing w:lineRule="auto" w:line="240" w:before="0" w:after="240"/>
        <w:ind w:left="0" w:right="0" w:firstLine="1440"/>
        <w:jc w:val="both"/>
        <w:rPr/>
      </w:pPr>
      <w:r>
        <w:rPr>
          <w:rFonts w:ascii="Times New Roman;sans-serif" w:hAnsi="Times New Roman;sans-serif"/>
          <w:b w:val="false"/>
          <w:color w:val="010000"/>
          <w:sz w:val="20"/>
        </w:rPr>
        <w:t>(vi)</w:t>
      </w:r>
      <w:r>
        <w:rPr>
          <w:rFonts w:ascii="Times New Roman;sans-serif" w:hAnsi="Times New Roman;sans-serif"/>
          <w:b w:val="false"/>
          <w:color w:val="000000"/>
          <w:sz w:val="20"/>
        </w:rPr>
        <w:t>Executive’s failure to cooperate in good faith with a governmental or internal investigation of the Company or its directors, officers or employees, if the Company has requested Executive’s assistance; or</w:t>
      </w:r>
    </w:p>
    <w:p>
      <w:pPr>
        <w:pStyle w:val="TextBody"/>
        <w:bidi w:val="0"/>
        <w:spacing w:lineRule="auto" w:line="240" w:before="0" w:after="240"/>
        <w:ind w:left="0" w:right="0" w:firstLine="1440"/>
        <w:jc w:val="both"/>
        <w:rPr/>
      </w:pPr>
      <w:r>
        <w:rPr>
          <w:rFonts w:ascii="Times New Roman;sans-serif" w:hAnsi="Times New Roman;sans-serif"/>
          <w:b w:val="false"/>
          <w:color w:val="010000"/>
          <w:sz w:val="20"/>
        </w:rPr>
        <w:t>(vii)</w:t>
      </w:r>
      <w:r>
        <w:rPr>
          <w:rFonts w:ascii="Times New Roman;sans-serif" w:hAnsi="Times New Roman;sans-serif"/>
          <w:b w:val="false"/>
          <w:color w:val="000000"/>
          <w:sz w:val="20"/>
        </w:rPr>
        <w:t>Executive’s willful and continuing failure to perform assigned duties after receiving written notification of the failure from the Company’s Chief Executive Officer.</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color w:val="010000"/>
          <w:sz w:val="20"/>
        </w:rPr>
        <w:t>(b)</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Company shall provide Executive with a written notice of the basis for a finding of Cause once known. Upon receiving such notice, Executive shall have a period of thirty (30) days to cure such Cause (if a cure is possible) to the satisfaction of the Company. </w:t>
      </w:r>
    </w:p>
    <w:p>
      <w:pPr>
        <w:pStyle w:val="TextBody"/>
        <w:bidi w:val="0"/>
        <w:spacing w:lineRule="auto" w:line="240" w:before="0" w:after="240"/>
        <w:ind w:left="0" w:right="0" w:firstLine="720"/>
        <w:jc w:val="both"/>
        <w:rPr/>
      </w:pPr>
      <w:r>
        <w:rPr>
          <w:rFonts w:ascii="Times New Roman;sans-serif" w:hAnsi="Times New Roman;sans-serif"/>
          <w:b/>
          <w:color w:val="010000"/>
          <w:sz w:val="20"/>
        </w:rPr>
        <w:t>(c)</w:t>
      </w:r>
      <w:r>
        <w:rPr>
          <w:color w:val="000000"/>
        </w:rPr>
        <w:t>“</w:t>
      </w:r>
      <w:r>
        <w:rPr>
          <w:rFonts w:ascii="Times New Roman;sans-serif" w:hAnsi="Times New Roman;sans-serif"/>
          <w:b/>
          <w:color w:val="000000"/>
          <w:sz w:val="20"/>
        </w:rPr>
        <w:t>Code</w:t>
      </w:r>
      <w:r>
        <w:rPr>
          <w:color w:val="000000"/>
        </w:rPr>
        <w:t xml:space="preserve">” </w:t>
      </w:r>
      <w:r>
        <w:rPr>
          <w:rFonts w:ascii="Times New Roman;sans-serif" w:hAnsi="Times New Roman;sans-serif"/>
          <w:b w:val="false"/>
          <w:color w:val="000000"/>
          <w:sz w:val="20"/>
        </w:rPr>
        <w:t>means the Internal Revenue Code of 1986, as amended.</w:t>
      </w:r>
    </w:p>
    <w:p>
      <w:pPr>
        <w:pStyle w:val="TextBody"/>
        <w:bidi w:val="0"/>
        <w:spacing w:lineRule="auto" w:line="240" w:before="0" w:after="240"/>
        <w:ind w:left="0" w:right="0" w:firstLine="720"/>
        <w:jc w:val="both"/>
        <w:rPr/>
      </w:pPr>
      <w:r>
        <w:rPr>
          <w:rFonts w:ascii="Times New Roman;sans-serif" w:hAnsi="Times New Roman;sans-serif"/>
          <w:b/>
          <w:color w:val="010000"/>
          <w:sz w:val="20"/>
        </w:rPr>
        <w:t>(d)</w:t>
      </w:r>
      <w:r>
        <w:rPr>
          <w:color w:val="000000"/>
        </w:rPr>
        <w:t>“</w:t>
      </w:r>
      <w:r>
        <w:rPr>
          <w:rFonts w:ascii="Times New Roman;sans-serif" w:hAnsi="Times New Roman;sans-serif"/>
          <w:b/>
          <w:color w:val="000000"/>
          <w:sz w:val="20"/>
        </w:rPr>
        <w:t>Change in Control</w:t>
      </w:r>
      <w:r>
        <w:rPr>
          <w:rFonts w:ascii="Times New Roman;sans-serif" w:hAnsi="Times New Roman;sans-serif"/>
          <w:b w:val="false"/>
          <w:color w:val="000000"/>
          <w:sz w:val="20"/>
        </w:rPr>
        <w:t xml:space="preserve">.” For all purposes under this Agreement, a Change in Control shall mean a “Corporate Transaction,” as such term is defined in the Plan, </w:t>
      </w:r>
      <w:r>
        <w:rPr>
          <w:rFonts w:ascii="Times New Roman;sans-serif" w:hAnsi="Times New Roman;sans-serif"/>
          <w:b w:val="false"/>
          <w:i/>
          <w:color w:val="000000"/>
          <w:sz w:val="20"/>
        </w:rPr>
        <w:t>provided that</w:t>
      </w:r>
      <w:r>
        <w:rPr>
          <w:color w:val="000000"/>
        </w:rPr>
        <w:t xml:space="preserve"> </w:t>
      </w:r>
      <w:r>
        <w:rPr>
          <w:rFonts w:ascii="Times New Roman;sans-serif" w:hAnsi="Times New Roman;sans-serif"/>
          <w:b w:val="false"/>
          <w:color w:val="000000"/>
          <w:sz w:val="20"/>
        </w:rPr>
        <w:t>the transaction (including any series of transactions) also qualifies as a change in control event under U.S. Treasury Regulation 1.409A-3(i)(5)(v) or (vii).</w:t>
      </w:r>
    </w:p>
    <w:p>
      <w:pPr>
        <w:pStyle w:val="TextBody"/>
        <w:bidi w:val="0"/>
        <w:spacing w:lineRule="auto" w:line="240" w:before="0" w:after="240"/>
        <w:ind w:left="0" w:right="0" w:firstLine="720"/>
        <w:jc w:val="both"/>
        <w:rPr/>
      </w:pPr>
      <w:r>
        <w:rPr>
          <w:rFonts w:ascii="Times New Roman;sans-serif" w:hAnsi="Times New Roman;sans-serif"/>
          <w:b/>
          <w:color w:val="010000"/>
          <w:sz w:val="20"/>
        </w:rPr>
        <w:t>(e)</w:t>
      </w:r>
      <w:r>
        <w:rPr>
          <w:color w:val="000000"/>
        </w:rPr>
        <w:t>“</w:t>
      </w:r>
      <w:r>
        <w:rPr>
          <w:rFonts w:ascii="Times New Roman;sans-serif" w:hAnsi="Times New Roman;sans-serif"/>
          <w:b/>
          <w:color w:val="000000"/>
          <w:sz w:val="20"/>
        </w:rPr>
        <w:t>CIC Qualifying Termination”</w:t>
      </w:r>
      <w:r>
        <w:rPr>
          <w:color w:val="000000"/>
        </w:rPr>
        <w:t xml:space="preserve"> </w:t>
      </w:r>
      <w:r>
        <w:rPr>
          <w:rFonts w:ascii="Times New Roman;sans-serif" w:hAnsi="Times New Roman;sans-serif"/>
          <w:b w:val="false"/>
          <w:color w:val="000000"/>
          <w:sz w:val="20"/>
        </w:rPr>
        <w:t>means a Separation (A) within twelve (12) months following a Change in Control or (B) within three (3) months preceding a Change in Control (but as to part (B), only if the Separation occurs after a Potential Change in Control) resulting, in either case (A) or (B), from (i) the Company terminating the Executive’s employment for any reason other than Cause or (ii) the Executive voluntarily resigning his or her employment for Good Reason. A termination or resignation due to the Executive’s death or disability shall not constitute a CIC Qualifying Termination. A “</w:t>
      </w:r>
      <w:r>
        <w:rPr>
          <w:rFonts w:ascii="Times New Roman;sans-serif" w:hAnsi="Times New Roman;sans-serif"/>
          <w:b/>
          <w:color w:val="000000"/>
          <w:sz w:val="20"/>
        </w:rPr>
        <w:t>Potential Change in Control</w:t>
      </w:r>
      <w:r>
        <w:rPr>
          <w:color w:val="000000"/>
        </w:rPr>
        <w:t xml:space="preserve">” </w:t>
      </w:r>
      <w:r>
        <w:rPr>
          <w:rFonts w:ascii="Times New Roman;sans-serif" w:hAnsi="Times New Roman;sans-serif"/>
          <w:b w:val="false"/>
          <w:color w:val="000000"/>
          <w:sz w:val="20"/>
        </w:rPr>
        <w:t>means the date of execution of a legally binding and definitive agreement for a corporate transaction which, if consummated, would constitute the applicable Change in Control (which for the avoidance of doubt, would include a merger agreement, but not a term sheet for a merger agreement). In the case of a termination following a Potential Change in Control and before a Change in Control, solely for purposes of benefits under this Agreement, the date of Separation will be deemed the date the Change in Control is consummated.</w:t>
      </w:r>
    </w:p>
    <w:p>
      <w:pPr>
        <w:pStyle w:val="TextBody"/>
        <w:bidi w:val="0"/>
        <w:spacing w:lineRule="auto" w:line="240" w:before="0" w:after="240"/>
        <w:ind w:left="0" w:right="0" w:firstLine="720"/>
        <w:jc w:val="both"/>
        <w:rPr/>
      </w:pPr>
      <w:r>
        <w:rPr>
          <w:rFonts w:ascii="Times New Roman;sans-serif" w:hAnsi="Times New Roman;sans-serif"/>
          <w:b/>
          <w:color w:val="010000"/>
          <w:sz w:val="20"/>
        </w:rPr>
        <w:t>(f)</w:t>
      </w:r>
      <w:r>
        <w:rPr>
          <w:color w:val="000000"/>
        </w:rPr>
        <w:t>“</w:t>
      </w:r>
      <w:r>
        <w:rPr>
          <w:rFonts w:ascii="Times New Roman;sans-serif" w:hAnsi="Times New Roman;sans-serif"/>
          <w:b/>
          <w:color w:val="000000"/>
          <w:sz w:val="20"/>
        </w:rPr>
        <w:t>Equity Awards</w:t>
      </w:r>
      <w:r>
        <w:rPr>
          <w:color w:val="000000"/>
        </w:rPr>
        <w:t xml:space="preserve">” </w:t>
      </w:r>
      <w:r>
        <w:rPr>
          <w:rFonts w:ascii="Times New Roman;sans-serif" w:hAnsi="Times New Roman;sans-serif"/>
          <w:b w:val="false"/>
          <w:color w:val="000000"/>
          <w:sz w:val="20"/>
        </w:rPr>
        <w:t>means all options to purchase shares of common stock of Nextdoor Holdings, Inc., as well as all other stock-based awards granted to the Executive, including, but not limited to, stock bonus awards, restricted stock, restricted stock units and stock appreciation rights.</w:t>
      </w:r>
    </w:p>
    <w:p>
      <w:pPr>
        <w:pStyle w:val="TextBody"/>
        <w:bidi w:val="0"/>
        <w:spacing w:lineRule="auto" w:line="240" w:before="0" w:after="240"/>
        <w:ind w:left="0" w:right="0" w:firstLine="720"/>
        <w:jc w:val="both"/>
        <w:rPr/>
      </w:pPr>
      <w:r>
        <w:rPr>
          <w:rFonts w:ascii="Times New Roman;sans-serif" w:hAnsi="Times New Roman;sans-serif"/>
          <w:b/>
          <w:color w:val="010000"/>
          <w:sz w:val="20"/>
        </w:rPr>
        <w:t>(g)</w:t>
      </w:r>
      <w:r>
        <w:rPr>
          <w:color w:val="000000"/>
        </w:rPr>
        <w:t>“</w:t>
      </w:r>
      <w:r>
        <w:rPr>
          <w:rFonts w:ascii="Times New Roman;sans-serif" w:hAnsi="Times New Roman;sans-serif"/>
          <w:b/>
          <w:color w:val="000000"/>
          <w:sz w:val="20"/>
        </w:rPr>
        <w:t>Good Reason</w:t>
      </w:r>
      <w:r>
        <w:rPr>
          <w:color w:val="000000"/>
        </w:rPr>
        <w:t xml:space="preserve">” </w:t>
      </w:r>
      <w:r>
        <w:rPr>
          <w:rFonts w:ascii="Times New Roman;sans-serif" w:hAnsi="Times New Roman;sans-serif"/>
          <w:b w:val="false"/>
          <w:color w:val="000000"/>
          <w:sz w:val="20"/>
        </w:rPr>
        <w:t>means, without the Executive’s written consent and provided (a) the Company receives, within thirty (30) days following the occurrence of any of the events set forth in clauses (i) through (iii) below, written notice from Executive indicating the specific basis for Executive’s belief that Executive is entitled to terminate employment for Good Reason, (b) the Company fails to cure the event constituting Good Reason within thirty (30) days after receipt of such written notice thereof, and (c) Executive terminates employment within ten (10) days following expiration of such cure period or receipt from the Company of notice that it will not seek to cure: (i) a material decrease in Executive’s annual base compensation, other than in connection with a general decrease applied to similarly-ranked executives of the Company; (ii) if Executive has a principal workplace (as set forth in Executive’s offer letter or employment agreement, or as otherwise subsequently agreed by the Company and Executive) (the “</w:t>
      </w:r>
      <w:r>
        <w:rPr>
          <w:rFonts w:ascii="Times New Roman;sans-serif" w:hAnsi="Times New Roman;sans-serif"/>
          <w:b/>
          <w:i/>
          <w:color w:val="000000"/>
          <w:sz w:val="20"/>
        </w:rPr>
        <w:t>Principal Location</w:t>
      </w:r>
      <w:r>
        <w:rPr>
          <w:color w:val="000000"/>
        </w:rPr>
        <w:t>”</w:t>
      </w:r>
      <w:r>
        <w:rPr>
          <w:rFonts w:ascii="Times New Roman;sans-serif" w:hAnsi="Times New Roman;sans-serif"/>
          <w:b w:val="false"/>
          <w:color w:val="000000"/>
          <w:sz w:val="20"/>
        </w:rPr>
        <w:t>), receipt of notice that Executive’s principal workplace will be relocated more than twenty-five (25) miles from the Principal Location; or (iii) a material diminution in Executive’s authority, duties, or responsibilities (provided, however, that having a similar position, authority, duties or responsibilities after a Change in Control with respect to a division or line of business, rather than a substantially comparable position, authority, reporting structure, duties or responsibilities with respect to the Company’s successor or acquiror, as a whole, shall not alone be considered such a diminution and that a mere change in title, a change in the person or office to which you report shall not constitute “Good Reason”).</w:t>
      </w:r>
    </w:p>
    <w:p>
      <w:pPr>
        <w:pStyle w:val="TextBody"/>
        <w:bidi w:val="0"/>
        <w:spacing w:lineRule="auto" w:line="240" w:before="0" w:after="240"/>
        <w:ind w:left="0" w:right="0" w:firstLine="720"/>
        <w:jc w:val="both"/>
        <w:rPr/>
      </w:pPr>
      <w:r>
        <w:rPr>
          <w:rFonts w:ascii="Times New Roman;sans-serif" w:hAnsi="Times New Roman;sans-serif"/>
          <w:b/>
          <w:color w:val="010000"/>
          <w:sz w:val="20"/>
        </w:rPr>
        <w:t>(h)</w:t>
      </w:r>
      <w:r>
        <w:rPr>
          <w:color w:val="000000"/>
        </w:rPr>
        <w:t>“</w:t>
      </w:r>
      <w:r>
        <w:rPr>
          <w:rFonts w:ascii="Times New Roman;sans-serif" w:hAnsi="Times New Roman;sans-serif"/>
          <w:b/>
          <w:color w:val="000000"/>
          <w:sz w:val="20"/>
        </w:rPr>
        <w:t>Plan</w:t>
      </w:r>
      <w:r>
        <w:rPr>
          <w:color w:val="000000"/>
        </w:rPr>
        <w:t xml:space="preserve">” </w:t>
      </w:r>
      <w:r>
        <w:rPr>
          <w:rFonts w:ascii="Times New Roman;sans-serif" w:hAnsi="Times New Roman;sans-serif"/>
          <w:b w:val="false"/>
          <w:color w:val="000000"/>
          <w:sz w:val="20"/>
        </w:rPr>
        <w:t>means the Nextdoor Holdings, Inc. 2021 Equity Incentive Plan, as may be amended from time to time.</w:t>
      </w:r>
    </w:p>
    <w:p>
      <w:pPr>
        <w:pStyle w:val="TextBody"/>
        <w:bidi w:val="0"/>
        <w:spacing w:before="0" w:after="240"/>
        <w:jc w:val="center"/>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2"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drawing>
          <wp:inline distT="0" distB="0" distL="0" distR="0">
            <wp:extent cx="2343150" cy="419100"/>
            <wp:effectExtent l="0" t="0" r="0" b="0"/>
            <wp:docPr id="1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6" descr=""/>
                    <pic:cNvPicPr>
                      <a:picLocks noChangeAspect="1" noChangeArrowheads="1"/>
                    </pic:cNvPicPr>
                  </pic:nvPicPr>
                  <pic:blipFill>
                    <a:blip r:embed="rId42"/>
                    <a:stretch>
                      <a:fillRect/>
                    </a:stretch>
                  </pic:blipFill>
                  <pic:spPr bwMode="auto">
                    <a:xfrm>
                      <a:off x="0" y="0"/>
                      <a:ext cx="2343150" cy="419100"/>
                    </a:xfrm>
                    <a:prstGeom prst="rect">
                      <a:avLst/>
                    </a:prstGeom>
                  </pic:spPr>
                </pic:pic>
              </a:graphicData>
            </a:graphic>
          </wp:inline>
        </w:drawing>
      </w:r>
    </w:p>
    <w:p>
      <w:pPr>
        <w:pStyle w:val="TextBody"/>
        <w:bidi w:val="0"/>
        <w:spacing w:lineRule="auto" w:line="240" w:before="0" w:after="240"/>
        <w:ind w:left="0" w:right="0" w:firstLine="720"/>
        <w:jc w:val="both"/>
        <w:rPr/>
      </w:pPr>
      <w:r>
        <w:rPr>
          <w:rFonts w:ascii="Times New Roman;sans-serif" w:hAnsi="Times New Roman;sans-serif"/>
          <w:b/>
          <w:color w:val="010000"/>
          <w:sz w:val="20"/>
        </w:rPr>
        <w:t>(i)</w:t>
      </w:r>
      <w:r>
        <w:rPr>
          <w:color w:val="000000"/>
        </w:rPr>
        <w:t>“</w:t>
      </w:r>
      <w:r>
        <w:rPr>
          <w:rFonts w:ascii="Times New Roman;sans-serif" w:hAnsi="Times New Roman;sans-serif"/>
          <w:b/>
          <w:color w:val="000000"/>
          <w:sz w:val="20"/>
        </w:rPr>
        <w:t>Release Conditions</w:t>
      </w:r>
      <w:r>
        <w:rPr>
          <w:color w:val="000000"/>
        </w:rPr>
        <w:t xml:space="preserve">” </w:t>
      </w:r>
      <w:r>
        <w:rPr>
          <w:rFonts w:ascii="Times New Roman;sans-serif" w:hAnsi="Times New Roman;sans-serif"/>
          <w:b w:val="false"/>
          <w:color w:val="000000"/>
          <w:sz w:val="20"/>
        </w:rPr>
        <w:t>mean the following conditions: (i) Company has received the Executive’s executed Release and (ii) any rescission period applicable to the Executive’s executed Release has expired (without Executive having rescinded the executed Release).</w:t>
      </w:r>
    </w:p>
    <w:p>
      <w:pPr>
        <w:pStyle w:val="TextBody"/>
        <w:bidi w:val="0"/>
        <w:spacing w:lineRule="auto" w:line="240" w:before="0" w:after="240"/>
        <w:ind w:left="0" w:right="0" w:firstLine="720"/>
        <w:jc w:val="both"/>
        <w:rPr/>
      </w:pPr>
      <w:r>
        <w:rPr>
          <w:rFonts w:ascii="Times New Roman;sans-serif" w:hAnsi="Times New Roman;sans-serif"/>
          <w:b/>
          <w:color w:val="010000"/>
          <w:sz w:val="20"/>
        </w:rPr>
        <w:t>(j)</w:t>
      </w:r>
      <w:r>
        <w:rPr>
          <w:color w:val="000000"/>
        </w:rPr>
        <w:t>“</w:t>
      </w:r>
      <w:r>
        <w:rPr>
          <w:rFonts w:ascii="Times New Roman;sans-serif" w:hAnsi="Times New Roman;sans-serif"/>
          <w:b/>
          <w:color w:val="000000"/>
          <w:sz w:val="20"/>
        </w:rPr>
        <w:t>Qualifying Termination</w:t>
      </w:r>
      <w:r>
        <w:rPr>
          <w:color w:val="000000"/>
        </w:rPr>
        <w:t xml:space="preserve">” </w:t>
      </w:r>
      <w:r>
        <w:rPr>
          <w:rFonts w:ascii="Times New Roman;sans-serif" w:hAnsi="Times New Roman;sans-serif"/>
          <w:b w:val="false"/>
          <w:color w:val="000000"/>
          <w:sz w:val="20"/>
        </w:rPr>
        <w:t>means a Separation that is not a CIC Qualifying Termination, but which results from (i) the Company terminating the Executive’s employment for any reason other than Cause or (ii) the Executive voluntarily resigning his or her employment for Good Reason. A termination or resignation due to the Executive’s death or disability shall not constitute a Qualifying Termination.</w:t>
      </w:r>
    </w:p>
    <w:p>
      <w:pPr>
        <w:pStyle w:val="TextBody"/>
        <w:bidi w:val="0"/>
        <w:spacing w:lineRule="auto" w:line="240" w:before="0" w:after="240"/>
        <w:ind w:left="0" w:right="0" w:firstLine="720"/>
        <w:jc w:val="both"/>
        <w:rPr/>
      </w:pPr>
      <w:r>
        <w:rPr>
          <w:rFonts w:ascii="Times New Roman;sans-serif" w:hAnsi="Times New Roman;sans-serif"/>
          <w:b/>
          <w:color w:val="010000"/>
          <w:sz w:val="20"/>
        </w:rPr>
        <w:t>(k)</w:t>
      </w:r>
      <w:r>
        <w:rPr>
          <w:color w:val="000000"/>
        </w:rPr>
        <w:t>“</w:t>
      </w:r>
      <w:r>
        <w:rPr>
          <w:rFonts w:ascii="Times New Roman;sans-serif" w:hAnsi="Times New Roman;sans-serif"/>
          <w:b/>
          <w:color w:val="000000"/>
          <w:sz w:val="20"/>
        </w:rPr>
        <w:t>Separation</w:t>
      </w:r>
      <w:r>
        <w:rPr>
          <w:color w:val="000000"/>
        </w:rPr>
        <w:t xml:space="preserve">” </w:t>
      </w:r>
      <w:r>
        <w:rPr>
          <w:rFonts w:ascii="Times New Roman;sans-serif" w:hAnsi="Times New Roman;sans-serif"/>
          <w:b w:val="false"/>
          <w:color w:val="000000"/>
          <w:sz w:val="20"/>
        </w:rPr>
        <w:t>means a “separation from service,” as defined in the regulations under Section 409A of the Code.</w:t>
      </w:r>
    </w:p>
    <w:p>
      <w:pPr>
        <w:pStyle w:val="TextBody"/>
        <w:bidi w:val="0"/>
        <w:spacing w:lineRule="auto" w:line="240" w:before="0" w:after="240"/>
        <w:jc w:val="left"/>
        <w:rPr/>
      </w:pPr>
      <w:r>
        <w:rPr>
          <w:rFonts w:ascii="Times New Roman;sans-serif" w:hAnsi="Times New Roman;sans-serif"/>
          <w:b/>
          <w:color w:val="010000"/>
          <w:sz w:val="20"/>
        </w:rPr>
        <w:t>7.</w:t>
      </w:r>
      <w:r>
        <w:rPr>
          <w:rFonts w:ascii="Times New Roman;sans-serif" w:hAnsi="Times New Roman;sans-serif"/>
          <w:b/>
          <w:color w:val="000000"/>
          <w:sz w:val="20"/>
        </w:rPr>
        <w:t>Successors.</w:t>
      </w:r>
    </w:p>
    <w:p>
      <w:pPr>
        <w:pStyle w:val="TextBody"/>
        <w:bidi w:val="0"/>
        <w:spacing w:lineRule="auto" w:line="240" w:before="0" w:after="240"/>
        <w:ind w:left="0" w:right="0" w:firstLine="720"/>
        <w:jc w:val="both"/>
        <w:rPr/>
      </w:pPr>
      <w:r>
        <w:rPr>
          <w:rFonts w:ascii="Times New Roman;sans-serif" w:hAnsi="Times New Roman;sans-serif"/>
          <w:b/>
          <w:color w:val="010000"/>
          <w:sz w:val="20"/>
        </w:rPr>
        <w:t>(a)</w:t>
      </w:r>
      <w:r>
        <w:rPr>
          <w:rFonts w:ascii="Times New Roman;sans-serif" w:hAnsi="Times New Roman;sans-serif"/>
          <w:b/>
          <w:color w:val="000000"/>
          <w:sz w:val="20"/>
        </w:rPr>
        <w:t>Company’s Successors.</w:t>
      </w:r>
      <w:r>
        <w:rPr>
          <w:color w:val="000000"/>
        </w:rPr>
        <w:t xml:space="preserve"> </w:t>
      </w:r>
      <w:r>
        <w:rPr>
          <w:rFonts w:ascii="Times New Roman;sans-serif" w:hAnsi="Times New Roman;sans-serif"/>
          <w:b w:val="false"/>
          <w:color w:val="000000"/>
          <w:sz w:val="20"/>
        </w:rPr>
        <w:t>The Company shall require any successor (whether direct or indirect and whether by purchase, lease, merger, 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pStyle w:val="TextBody"/>
        <w:bidi w:val="0"/>
        <w:spacing w:lineRule="auto" w:line="240" w:before="0" w:after="240"/>
        <w:ind w:left="0" w:right="0" w:firstLine="720"/>
        <w:jc w:val="both"/>
        <w:rPr/>
      </w:pPr>
      <w:r>
        <w:rPr>
          <w:rFonts w:ascii="Times New Roman;sans-serif" w:hAnsi="Times New Roman;sans-serif"/>
          <w:b/>
          <w:color w:val="010000"/>
          <w:sz w:val="20"/>
        </w:rPr>
        <w:t>(b)</w:t>
      </w:r>
      <w:r>
        <w:rPr>
          <w:rFonts w:ascii="Times New Roman;sans-serif" w:hAnsi="Times New Roman;sans-serif"/>
          <w:b/>
          <w:color w:val="000000"/>
          <w:sz w:val="20"/>
        </w:rPr>
        <w:t>Executive’s Successors.</w:t>
      </w:r>
      <w:r>
        <w:rPr>
          <w:color w:val="000000"/>
        </w:rPr>
        <w:t xml:space="preserve"> </w:t>
      </w:r>
      <w:r>
        <w:rPr>
          <w:rFonts w:ascii="Times New Roman;sans-serif" w:hAnsi="Times New Roman;sans-serif"/>
          <w:b w:val="false"/>
          <w:color w:val="000000"/>
          <w:sz w:val="20"/>
        </w:rPr>
        <w:t>This Agreement and all rights of the Executive hereunder shall inure to the benefit of, and be enforceable by, the Executive’s personal or legal representatives, executors, administrators, successors, heirs, distributees, devisees and legatees.</w:t>
      </w:r>
    </w:p>
    <w:p>
      <w:pPr>
        <w:pStyle w:val="TextBody"/>
        <w:bidi w:val="0"/>
        <w:spacing w:lineRule="auto" w:line="240" w:before="0" w:after="240"/>
        <w:jc w:val="left"/>
        <w:rPr/>
      </w:pPr>
      <w:r>
        <w:rPr>
          <w:rFonts w:ascii="Times New Roman;sans-serif" w:hAnsi="Times New Roman;sans-serif"/>
          <w:b/>
          <w:color w:val="010000"/>
          <w:sz w:val="20"/>
        </w:rPr>
        <w:t>8.</w:t>
      </w:r>
      <w:r>
        <w:rPr>
          <w:rFonts w:ascii="Times New Roman;sans-serif" w:hAnsi="Times New Roman;sans-serif"/>
          <w:b/>
          <w:color w:val="000000"/>
          <w:sz w:val="20"/>
        </w:rPr>
        <w:t>Golden Parachute Taxes.</w:t>
      </w:r>
    </w:p>
    <w:p>
      <w:pPr>
        <w:pStyle w:val="TextBody"/>
        <w:bidi w:val="0"/>
        <w:spacing w:lineRule="auto" w:line="240" w:before="0" w:after="240"/>
        <w:ind w:left="0" w:right="0" w:firstLine="720"/>
        <w:jc w:val="both"/>
        <w:rPr/>
      </w:pPr>
      <w:r>
        <w:rPr>
          <w:rFonts w:ascii="Times New Roman;sans-serif" w:hAnsi="Times New Roman;sans-serif"/>
          <w:b/>
          <w:color w:val="010000"/>
          <w:sz w:val="20"/>
        </w:rPr>
        <w:t>(a)</w:t>
      </w:r>
      <w:r>
        <w:rPr>
          <w:rFonts w:ascii="Times New Roman;sans-serif" w:hAnsi="Times New Roman;sans-serif"/>
          <w:b/>
          <w:color w:val="000000"/>
          <w:sz w:val="20"/>
        </w:rPr>
        <w:t>Best After-Tax Result.</w:t>
      </w:r>
      <w:r>
        <w:rPr>
          <w:color w:val="000000"/>
        </w:rPr>
        <w:t xml:space="preserve"> </w:t>
      </w:r>
      <w:r>
        <w:rPr>
          <w:rFonts w:ascii="Times New Roman;sans-serif" w:hAnsi="Times New Roman;sans-serif"/>
          <w:b w:val="false"/>
          <w:color w:val="000000"/>
          <w:sz w:val="20"/>
        </w:rPr>
        <w:t>In the event that any payment or benefit received or to be received by Executive pursuant to this Agreement or otherwise (“</w:t>
      </w:r>
      <w:r>
        <w:rPr>
          <w:rFonts w:ascii="Times New Roman;sans-serif" w:hAnsi="Times New Roman;sans-serif"/>
          <w:b/>
          <w:color w:val="000000"/>
          <w:sz w:val="20"/>
        </w:rPr>
        <w:t>Payments</w:t>
      </w:r>
      <w:r>
        <w:rPr>
          <w:color w:val="000000"/>
        </w:rPr>
        <w:t>”</w:t>
      </w:r>
      <w:r>
        <w:rPr>
          <w:rFonts w:ascii="Times New Roman;sans-serif" w:hAnsi="Times New Roman;sans-serif"/>
          <w:b w:val="false"/>
          <w:color w:val="000000"/>
          <w:sz w:val="20"/>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Times New Roman;sans-serif" w:hAnsi="Times New Roman;sans-serif"/>
          <w:b/>
          <w:color w:val="000000"/>
          <w:sz w:val="20"/>
        </w:rPr>
        <w:t>Excise Tax</w:t>
      </w:r>
      <w:r>
        <w:rPr>
          <w:color w:val="000000"/>
        </w:rPr>
        <w:t>”</w:t>
      </w:r>
      <w:r>
        <w:rPr>
          <w:rFonts w:ascii="Times New Roman;sans-serif" w:hAnsi="Times New Roman;sans-serif"/>
          <w:b w:val="false"/>
          <w:color w:val="000000"/>
          <w:sz w:val="20"/>
        </w:rPr>
        <w:t>), then, subject to the provisions of this Section 8, such Payments shall be either (A) provided in full pursuant to the terms of this Agreement or any other applicable agreement, or (B) provided as to such lesser extent which would result in no portion of such Payments being subject to the Excise Tax (“</w:t>
      </w:r>
      <w:r>
        <w:rPr>
          <w:rFonts w:ascii="Times New Roman;sans-serif" w:hAnsi="Times New Roman;sans-serif"/>
          <w:b/>
          <w:color w:val="000000"/>
          <w:sz w:val="20"/>
        </w:rPr>
        <w:t>Reduced Amount</w:t>
      </w:r>
      <w:r>
        <w:rPr>
          <w:color w:val="000000"/>
        </w:rPr>
        <w:t>”</w:t>
      </w:r>
      <w:r>
        <w:rPr>
          <w:rFonts w:ascii="Times New Roman;sans-serif" w:hAnsi="Times New Roman;sans-serif"/>
          <w:b w:val="false"/>
          <w:color w:val="000000"/>
          <w:sz w:val="20"/>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Times New Roman;sans-serif" w:hAnsi="Times New Roman;sans-serif"/>
          <w:b/>
          <w:color w:val="000000"/>
          <w:sz w:val="20"/>
        </w:rPr>
        <w:t>Independent Tax Counsel</w:t>
      </w:r>
      <w:r>
        <w:rPr>
          <w:color w:val="000000"/>
        </w:rPr>
        <w:t>”</w:t>
      </w:r>
      <w:r>
        <w:rPr>
          <w:rFonts w:ascii="Times New Roman;sans-serif" w:hAnsi="Times New Roman;sans-serif"/>
          <w:b w:val="false"/>
          <w:color w:val="000000"/>
          <w:sz w:val="20"/>
        </w:rPr>
        <w:t xml:space="preserve">), whose determination shall be conclusive and binding upon Executive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w:t>
      </w:r>
      <w:r>
        <w:rPr>
          <w:rFonts w:ascii="Times New Roman;sans-serif" w:hAnsi="Times New Roman;sans-serif"/>
          <w:b w:val="false"/>
          <w:i/>
          <w:color w:val="000000"/>
          <w:sz w:val="20"/>
        </w:rPr>
        <w:t>provided that</w:t>
      </w:r>
      <w:r>
        <w:rPr>
          <w:color w:val="000000"/>
        </w:rPr>
        <w:t xml:space="preserve"> </w:t>
      </w:r>
      <w:r>
        <w:rPr>
          <w:rFonts w:ascii="Times New Roman;sans-serif" w:hAnsi="Times New Roman;sans-serif"/>
          <w:b w:val="false"/>
          <w:color w:val="000000"/>
          <w:sz w:val="20"/>
        </w:rPr>
        <w:t>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8(a)(ii)(B)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Times New Roman;sans-serif" w:hAnsi="Times New Roman;sans-serif"/>
          <w:b/>
          <w:color w:val="000000"/>
          <w:sz w:val="20"/>
        </w:rPr>
        <w:t>IRS</w:t>
      </w:r>
      <w:r>
        <w:rPr>
          <w:color w:val="000000"/>
        </w:rPr>
        <w:t>”</w:t>
      </w:r>
      <w:r>
        <w:rPr>
          <w:rFonts w:ascii="Times New Roman;sans-serif" w:hAnsi="Times New Roman;sans-serif"/>
          <w:b w:val="false"/>
          <w:color w:val="000000"/>
          <w:sz w:val="20"/>
        </w:rPr>
        <w:t>) determines that any Payment is subject to the Excise Tax, then Section 8(b) hereof shall apply, and the enforcement of Section 8(b) shall be the exclusive remedy to the Company.</w:t>
      </w:r>
    </w:p>
    <w:p>
      <w:pPr>
        <w:pStyle w:val="TextBody"/>
        <w:bidi w:val="0"/>
        <w:spacing w:before="0" w:after="240"/>
        <w:jc w:val="center"/>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4"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drawing>
          <wp:inline distT="0" distB="0" distL="0" distR="0">
            <wp:extent cx="2343150" cy="419100"/>
            <wp:effectExtent l="0" t="0" r="0" b="0"/>
            <wp:docPr id="1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7" descr=""/>
                    <pic:cNvPicPr>
                      <a:picLocks noChangeAspect="1" noChangeArrowheads="1"/>
                    </pic:cNvPicPr>
                  </pic:nvPicPr>
                  <pic:blipFill>
                    <a:blip r:embed="rId43"/>
                    <a:stretch>
                      <a:fillRect/>
                    </a:stretch>
                  </pic:blipFill>
                  <pic:spPr bwMode="auto">
                    <a:xfrm>
                      <a:off x="0" y="0"/>
                      <a:ext cx="2343150" cy="419100"/>
                    </a:xfrm>
                    <a:prstGeom prst="rect">
                      <a:avLst/>
                    </a:prstGeom>
                  </pic:spPr>
                </pic:pic>
              </a:graphicData>
            </a:graphic>
          </wp:inline>
        </w:drawing>
      </w:r>
    </w:p>
    <w:p>
      <w:pPr>
        <w:pStyle w:val="TextBody"/>
        <w:bidi w:val="0"/>
        <w:spacing w:lineRule="auto" w:line="240" w:before="0" w:after="240"/>
        <w:ind w:left="0" w:right="0" w:firstLine="720"/>
        <w:jc w:val="both"/>
        <w:rPr/>
      </w:pPr>
      <w:r>
        <w:rPr>
          <w:rFonts w:ascii="Times New Roman;sans-serif" w:hAnsi="Times New Roman;sans-serif"/>
          <w:b/>
          <w:color w:val="010000"/>
          <w:sz w:val="20"/>
        </w:rPr>
        <w:t>(b)</w:t>
      </w:r>
      <w:r>
        <w:rPr>
          <w:rFonts w:ascii="Times New Roman;sans-serif" w:hAnsi="Times New Roman;sans-serif"/>
          <w:b/>
          <w:color w:val="000000"/>
          <w:sz w:val="20"/>
        </w:rPr>
        <w:t>Adjustments.</w:t>
      </w:r>
      <w:r>
        <w:rPr>
          <w:color w:val="000000"/>
        </w:rPr>
        <w:t xml:space="preserve"> </w:t>
      </w:r>
      <w:r>
        <w:rPr>
          <w:rFonts w:ascii="Times New Roman;sans-serif" w:hAnsi="Times New Roman;sans-serif"/>
          <w:b w:val="false"/>
          <w:color w:val="000000"/>
          <w:sz w:val="20"/>
        </w:rPr>
        <w:t>If, notwithstanding any reduction described in Section 8(a) hereof (or in the absence of any such reduction), the IRS determines 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Times New Roman;sans-serif" w:hAnsi="Times New Roman;sans-serif"/>
          <w:b/>
          <w:color w:val="000000"/>
          <w:sz w:val="20"/>
        </w:rPr>
        <w:t>Repayment Amount</w:t>
      </w:r>
      <w:r>
        <w:rPr>
          <w:rFonts w:ascii="Times New Roman;sans-serif" w:hAnsi="Times New Roman;sans-serif"/>
          <w:b w:val="false"/>
          <w:color w:val="000000"/>
          <w:sz w:val="20"/>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8(b), Executive shall pay the Excise Tax.</w:t>
      </w:r>
    </w:p>
    <w:p>
      <w:pPr>
        <w:pStyle w:val="TextBody"/>
        <w:bidi w:val="0"/>
        <w:spacing w:lineRule="auto" w:line="240" w:before="0" w:after="240"/>
        <w:jc w:val="left"/>
        <w:rPr/>
      </w:pPr>
      <w:r>
        <w:rPr>
          <w:rFonts w:ascii="Times New Roman;sans-serif" w:hAnsi="Times New Roman;sans-serif"/>
          <w:b/>
          <w:color w:val="010000"/>
          <w:sz w:val="20"/>
        </w:rPr>
        <w:t>9.</w:t>
      </w:r>
      <w:r>
        <w:rPr>
          <w:rFonts w:ascii="Times New Roman;sans-serif" w:hAnsi="Times New Roman;sans-serif"/>
          <w:b/>
          <w:color w:val="000000"/>
          <w:sz w:val="20"/>
        </w:rPr>
        <w:t>Miscellaneous Provisions.</w:t>
      </w:r>
    </w:p>
    <w:p>
      <w:pPr>
        <w:pStyle w:val="TextBody"/>
        <w:bidi w:val="0"/>
        <w:spacing w:lineRule="auto" w:line="240" w:before="0" w:after="240"/>
        <w:ind w:left="0" w:right="0" w:firstLine="720"/>
        <w:jc w:val="both"/>
        <w:rPr/>
      </w:pPr>
      <w:r>
        <w:rPr>
          <w:rFonts w:ascii="Times New Roman;sans-serif" w:hAnsi="Times New Roman;sans-serif"/>
          <w:b/>
          <w:color w:val="010000"/>
          <w:sz w:val="20"/>
        </w:rPr>
        <w:t>(a)</w:t>
      </w:r>
      <w:r>
        <w:rPr>
          <w:rFonts w:ascii="Times New Roman;sans-serif" w:hAnsi="Times New Roman;sans-serif"/>
          <w:b/>
          <w:color w:val="000000"/>
          <w:sz w:val="20"/>
        </w:rPr>
        <w:t>Section 409A.</w:t>
      </w:r>
      <w:r>
        <w:rPr>
          <w:color w:val="000000"/>
        </w:rPr>
        <w:t xml:space="preserve"> </w:t>
      </w:r>
      <w:r>
        <w:rPr>
          <w:rFonts w:ascii="Times New Roman;sans-serif" w:hAnsi="Times New Roman;sans-serif"/>
          <w:b w:val="false"/>
          <w:color w:val="000000"/>
          <w:sz w:val="20"/>
        </w:rPr>
        <w:t xml:space="preserve">To the extent (i) any payments to which Executive becomes entitled under this Agreement, or any agreement or plan referenced 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w:t>
      </w:r>
    </w:p>
    <w:p>
      <w:pPr>
        <w:pStyle w:val="TextBody"/>
        <w:bidi w:val="0"/>
        <w:spacing w:lineRule="auto" w:line="240" w:before="0" w:after="240"/>
        <w:ind w:left="0" w:right="0" w:firstLine="720"/>
        <w:jc w:val="both"/>
        <w:rPr/>
      </w:pPr>
      <w:r>
        <w:rPr>
          <w:rFonts w:ascii="Times New Roman;sans-serif" w:hAnsi="Times New Roman;sans-serif"/>
          <w:b/>
          <w:color w:val="010000"/>
          <w:sz w:val="20"/>
        </w:rPr>
        <w:t>(b)</w:t>
      </w:r>
      <w:r>
        <w:rPr>
          <w:rFonts w:ascii="Times New Roman;sans-serif" w:hAnsi="Times New Roman;sans-serif"/>
          <w:b/>
          <w:color w:val="000000"/>
          <w:sz w:val="20"/>
        </w:rPr>
        <w:t>Other Arrangements.</w:t>
      </w:r>
      <w:r>
        <w:rPr>
          <w:color w:val="000000"/>
        </w:rPr>
        <w:t xml:space="preserve"> </w:t>
      </w:r>
      <w:r>
        <w:rPr>
          <w:rFonts w:ascii="Times New Roman;sans-serif" w:hAnsi="Times New Roman;sans-serif"/>
          <w:b w:val="false"/>
          <w:color w:val="000000"/>
          <w:sz w:val="20"/>
        </w:rPr>
        <w:t xml:space="preserve">This Agreement supersedes any and all cash severance arrangements and vesting acceleration arrangements under any agreement governing Equity Awards, severance and salary continuation arrangements, programs and plans which were previously offered by the Company to the Executive, including under any employment agreement or offer letter, and Executive hereby waives Executive’s rights to such other benefits except as set forth in the succeeding sentence. In no event shall any individual receive cash severance benefits under both this Agreement and any other severance pay or salary continuation program, plan or other arrangement with the Company. For the avoidance of doubt, in no event shall Executive receive payment under both Section 2 and Section 3 with respect to Executive’s Separation. </w:t>
      </w:r>
    </w:p>
    <w:p>
      <w:pPr>
        <w:pStyle w:val="TextBody"/>
        <w:bidi w:val="0"/>
        <w:spacing w:lineRule="auto" w:line="240" w:before="0" w:after="240"/>
        <w:ind w:left="0" w:right="0" w:firstLine="720"/>
        <w:jc w:val="both"/>
        <w:rPr/>
      </w:pPr>
      <w:r>
        <w:rPr>
          <w:rFonts w:ascii="Times New Roman;sans-serif" w:hAnsi="Times New Roman;sans-serif"/>
          <w:b/>
          <w:color w:val="010000"/>
          <w:sz w:val="20"/>
        </w:rPr>
        <w:t>(c)</w:t>
      </w:r>
      <w:r>
        <w:rPr>
          <w:rFonts w:ascii="Times New Roman;sans-serif" w:hAnsi="Times New Roman;sans-serif"/>
          <w:b/>
          <w:color w:val="000000"/>
          <w:sz w:val="20"/>
        </w:rPr>
        <w:t>Dispute Resolution.</w:t>
      </w:r>
      <w:r>
        <w:rPr>
          <w:color w:val="000000"/>
        </w:rPr>
        <w:t xml:space="preserve"> </w:t>
      </w:r>
      <w:r>
        <w:rPr>
          <w:rFonts w:ascii="Times New Roman;sans-serif" w:hAnsi="Times New Roman;sans-serif"/>
          <w:b w:val="false"/>
          <w:color w:val="000000"/>
          <w:sz w:val="20"/>
        </w:rPr>
        <w:t xml:space="preserve">Executive hereby acknowledges and agrees that his or her Arbitration Agreement with the Company remains in full force and effect and that any and all disputes arising in connection with this Agreement shall be solely governed by the terms and procedures set forth in Executive’s Arbitration Agreement. </w:t>
      </w:r>
    </w:p>
    <w:p>
      <w:pPr>
        <w:pStyle w:val="TextBody"/>
        <w:bidi w:val="0"/>
        <w:spacing w:lineRule="auto" w:line="240" w:before="0" w:after="240"/>
        <w:ind w:left="0" w:right="0" w:firstLine="720"/>
        <w:jc w:val="both"/>
        <w:rPr/>
      </w:pPr>
      <w:r>
        <w:rPr>
          <w:rFonts w:ascii="Times New Roman;sans-serif" w:hAnsi="Times New Roman;sans-serif"/>
          <w:b/>
          <w:color w:val="010000"/>
          <w:sz w:val="20"/>
        </w:rPr>
        <w:t>(d)</w:t>
      </w:r>
      <w:r>
        <w:rPr>
          <w:rFonts w:ascii="Times New Roman;sans-serif" w:hAnsi="Times New Roman;sans-serif"/>
          <w:b/>
          <w:color w:val="000000"/>
          <w:sz w:val="20"/>
        </w:rPr>
        <w:t>Notice.</w:t>
      </w:r>
      <w:r>
        <w:rPr>
          <w:color w:val="000000"/>
        </w:rPr>
        <w:t xml:space="preserve"> </w:t>
      </w:r>
      <w:r>
        <w:rPr>
          <w:rFonts w:ascii="Times New Roman;sans-serif" w:hAnsi="Times New Roman;sans-serif"/>
          <w:b w:val="false"/>
          <w:color w:val="000000"/>
          <w:sz w:val="20"/>
        </w:rPr>
        <w:t xml:space="preserve">Notices and all other communications contemplated by this Agreement shall be in writing (including via email) and shall be deemed to have been duly given when (i) personally delivered, (ii) when mailed by U.S. registered or certified mail, return receipt requested and postage prepaid or deposited with Federal Express Corporation, with shipping charges prepaid, or (iii) when sent by email, on the date that the email is received (provided that, if the time of deemed receipt is not before 5:30PM local time on a business day, it is deemed to have </w:t>
      </w:r>
    </w:p>
    <w:p>
      <w:pPr>
        <w:pStyle w:val="TextBody"/>
        <w:bidi w:val="0"/>
        <w:spacing w:before="0" w:after="240"/>
        <w:jc w:val="center"/>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6"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drawing>
          <wp:inline distT="0" distB="0" distL="0" distR="0">
            <wp:extent cx="2343150" cy="419100"/>
            <wp:effectExtent l="0" t="0" r="0" b="0"/>
            <wp:docPr id="1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8" descr=""/>
                    <pic:cNvPicPr>
                      <a:picLocks noChangeAspect="1" noChangeArrowheads="1"/>
                    </pic:cNvPicPr>
                  </pic:nvPicPr>
                  <pic:blipFill>
                    <a:blip r:embed="rId44"/>
                    <a:stretch>
                      <a:fillRect/>
                    </a:stretch>
                  </pic:blipFill>
                  <pic:spPr bwMode="auto">
                    <a:xfrm>
                      <a:off x="0" y="0"/>
                      <a:ext cx="2343150" cy="419100"/>
                    </a:xfrm>
                    <a:prstGeom prst="rect">
                      <a:avLst/>
                    </a:prstGeom>
                  </pic:spPr>
                </pic:pic>
              </a:graphicData>
            </a:graphic>
          </wp:inline>
        </w:drawing>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been received at the commencement of business on the next business day). In the case of the Executive, mailed notices shall be addressed to him or her at the home address or email address which he or she most recently communicated to the Company. In the case of the Company, mailed notices shall be addressed to its corporate headquarters, and all notices shall be directed to the attention of its Secretary.</w:t>
      </w:r>
    </w:p>
    <w:p>
      <w:pPr>
        <w:pStyle w:val="TextBody"/>
        <w:bidi w:val="0"/>
        <w:spacing w:lineRule="auto" w:line="240" w:before="0" w:after="240"/>
        <w:ind w:left="0" w:right="0" w:firstLine="720"/>
        <w:jc w:val="both"/>
        <w:rPr/>
      </w:pPr>
      <w:r>
        <w:rPr>
          <w:rFonts w:ascii="Times New Roman;sans-serif" w:hAnsi="Times New Roman;sans-serif"/>
          <w:b/>
          <w:color w:val="010000"/>
          <w:sz w:val="20"/>
        </w:rPr>
        <w:t>(e)</w:t>
      </w:r>
      <w:r>
        <w:rPr>
          <w:rFonts w:ascii="Times New Roman;sans-serif" w:hAnsi="Times New Roman;sans-serif"/>
          <w:b/>
          <w:color w:val="000000"/>
          <w:sz w:val="20"/>
        </w:rPr>
        <w:t>Waiver.</w:t>
      </w:r>
      <w:r>
        <w:rPr>
          <w:color w:val="000000"/>
        </w:rPr>
        <w:t xml:space="preserve"> </w:t>
      </w:r>
      <w:r>
        <w:rPr>
          <w:rFonts w:ascii="Times New Roman;sans-serif" w:hAnsi="Times New Roman;sans-serif"/>
          <w:b w:val="false"/>
          <w:color w:val="000000"/>
          <w:sz w:val="20"/>
        </w:rPr>
        <w:t>No provision of this Agreement shall be modified, waived or discharged 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lineRule="auto" w:line="240" w:before="0" w:after="240"/>
        <w:ind w:left="0" w:right="0" w:firstLine="720"/>
        <w:jc w:val="both"/>
        <w:rPr/>
      </w:pPr>
      <w:r>
        <w:rPr>
          <w:rFonts w:ascii="Times New Roman;sans-serif" w:hAnsi="Times New Roman;sans-serif"/>
          <w:b/>
          <w:color w:val="010000"/>
          <w:sz w:val="20"/>
        </w:rPr>
        <w:t>(f)</w:t>
      </w:r>
      <w:r>
        <w:rPr>
          <w:rFonts w:ascii="Times New Roman;sans-serif" w:hAnsi="Times New Roman;sans-serif"/>
          <w:b/>
          <w:color w:val="000000"/>
          <w:sz w:val="20"/>
        </w:rPr>
        <w:t>Withholding Taxes.</w:t>
      </w:r>
      <w:r>
        <w:rPr>
          <w:color w:val="000000"/>
        </w:rPr>
        <w:t xml:space="preserve"> </w:t>
      </w:r>
      <w:r>
        <w:rPr>
          <w:rFonts w:ascii="Times New Roman;sans-serif" w:hAnsi="Times New Roman;sans-serif"/>
          <w:b w:val="false"/>
          <w:color w:val="000000"/>
          <w:sz w:val="20"/>
        </w:rPr>
        <w:t>All payments made under this Agreement shall be subject to reduction to reflect taxes or other charges required to be withheld by law.</w:t>
      </w:r>
    </w:p>
    <w:p>
      <w:pPr>
        <w:pStyle w:val="TextBody"/>
        <w:bidi w:val="0"/>
        <w:spacing w:lineRule="auto" w:line="240" w:before="0" w:after="240"/>
        <w:ind w:left="0" w:right="0" w:firstLine="720"/>
        <w:jc w:val="both"/>
        <w:rPr/>
      </w:pPr>
      <w:r>
        <w:rPr>
          <w:rFonts w:ascii="Times New Roman;sans-serif" w:hAnsi="Times New Roman;sans-serif"/>
          <w:b/>
          <w:color w:val="010000"/>
          <w:sz w:val="20"/>
        </w:rPr>
        <w:t>(g)</w:t>
      </w:r>
      <w:r>
        <w:rPr>
          <w:rFonts w:ascii="Times New Roman;sans-serif" w:hAnsi="Times New Roman;sans-serif"/>
          <w:b/>
          <w:color w:val="000000"/>
          <w:sz w:val="20"/>
        </w:rPr>
        <w:t>Severability.</w:t>
      </w:r>
      <w:r>
        <w:rPr>
          <w:color w:val="000000"/>
        </w:rPr>
        <w:t xml:space="preserve"> </w:t>
      </w:r>
      <w:r>
        <w:rPr>
          <w:rFonts w:ascii="Times New Roman;sans-serif" w:hAnsi="Times New Roman;sans-serif"/>
          <w:b w:val="false"/>
          <w:color w:val="000000"/>
          <w:sz w:val="20"/>
        </w:rPr>
        <w:t>The invalidity or unenforceability of any provision or provisions of this Agreement shall not affect the validity or enforceability of any other provision hereof, which shall remain in full force and effect.</w:t>
      </w:r>
    </w:p>
    <w:p>
      <w:pPr>
        <w:pStyle w:val="TextBody"/>
        <w:bidi w:val="0"/>
        <w:spacing w:lineRule="auto" w:line="240" w:before="0" w:after="240"/>
        <w:ind w:left="0" w:right="0" w:firstLine="720"/>
        <w:jc w:val="both"/>
        <w:rPr/>
      </w:pPr>
      <w:r>
        <w:rPr>
          <w:rFonts w:ascii="Times New Roman;sans-serif" w:hAnsi="Times New Roman;sans-serif"/>
          <w:b/>
          <w:color w:val="010000"/>
          <w:sz w:val="20"/>
        </w:rPr>
        <w:t>(h)</w:t>
      </w:r>
      <w:r>
        <w:rPr>
          <w:rFonts w:ascii="Times New Roman;sans-serif" w:hAnsi="Times New Roman;sans-serif"/>
          <w:b/>
          <w:color w:val="000000"/>
          <w:sz w:val="20"/>
        </w:rPr>
        <w:t>No Retention Rights.</w:t>
      </w:r>
      <w:r>
        <w:rPr>
          <w:color w:val="000000"/>
        </w:rPr>
        <w:t xml:space="preserve"> </w:t>
      </w:r>
      <w:r>
        <w:rPr>
          <w:rFonts w:ascii="Times New Roman;sans-serif" w:hAnsi="Times New Roman;sans-serif"/>
          <w:b w:val="false"/>
          <w:color w:val="000000"/>
          <w:sz w:val="20"/>
        </w:rPr>
        <w:t>Nothing in this Agreement shall confer upon the Executive any right to continue in service for any period of specific duration or interfere with or otherwise restrict in any way the rights of the Company or any subsidiary of the Company or of the Executive, which rights are hereby expressly reserved by each, to terminate his or her service at any time and for any reason, with or without Cause.</w:t>
      </w:r>
    </w:p>
    <w:p>
      <w:pPr>
        <w:pStyle w:val="TextBody"/>
        <w:bidi w:val="0"/>
        <w:spacing w:lineRule="auto" w:line="240" w:before="0" w:after="240"/>
        <w:ind w:left="0" w:right="0" w:firstLine="720"/>
        <w:jc w:val="both"/>
        <w:rPr/>
      </w:pPr>
      <w:r>
        <w:rPr>
          <w:rFonts w:ascii="Times New Roman;sans-serif" w:hAnsi="Times New Roman;sans-serif"/>
          <w:b/>
          <w:color w:val="010000"/>
          <w:sz w:val="20"/>
        </w:rPr>
        <w:t>(i)</w:t>
      </w:r>
      <w:r>
        <w:rPr>
          <w:rFonts w:ascii="Times New Roman;sans-serif" w:hAnsi="Times New Roman;sans-serif"/>
          <w:b/>
          <w:color w:val="000000"/>
          <w:sz w:val="20"/>
        </w:rPr>
        <w:t>Choice of Law.</w:t>
      </w:r>
      <w:r>
        <w:rPr>
          <w:color w:val="000000"/>
        </w:rPr>
        <w:t xml:space="preserve"> </w:t>
      </w:r>
      <w:r>
        <w:rPr>
          <w:rFonts w:ascii="Times New Roman;sans-serif" w:hAnsi="Times New Roman;sans-serif"/>
          <w:b w:val="false"/>
          <w:color w:val="000000"/>
          <w:sz w:val="20"/>
        </w:rPr>
        <w:t>The validity, interpretation, construction and performance of this Agreement shall be governed by the laws of the State of California (other than its choice-of-law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8"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24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parties has executed this Agreement, in the case of the Company by its duly authorized officer, as of the day and year first above written.</w:t>
      </w:r>
    </w:p>
    <w:p>
      <w:pPr>
        <w:pStyle w:val="TextBody"/>
        <w:bidi w:val="0"/>
        <w:spacing w:before="0" w:after="240"/>
        <w:ind w:left="0" w:right="0" w:firstLine="720"/>
        <w:jc w:val="both"/>
        <w:rPr/>
      </w:pPr>
      <w:r>
        <w:rPr/>
      </w:r>
    </w:p>
    <w:tbl>
      <w:tblPr>
        <w:tblW w:w="6540" w:type="dxa"/>
        <w:jc w:val="left"/>
        <w:tblInd w:w="0" w:type="dxa"/>
        <w:tblLayout w:type="fixed"/>
        <w:tblCellMar>
          <w:top w:w="28" w:type="dxa"/>
          <w:left w:w="28" w:type="dxa"/>
          <w:bottom w:w="28" w:type="dxa"/>
          <w:right w:w="28" w:type="dxa"/>
        </w:tblCellMar>
      </w:tblPr>
      <w:tblGrid>
        <w:gridCol w:w="1146"/>
        <w:gridCol w:w="1007"/>
        <w:gridCol w:w="1012"/>
        <w:gridCol w:w="987"/>
        <w:gridCol w:w="987"/>
        <w:gridCol w:w="1401"/>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FFFFFF"/>
              <w:left w:val="single" w:sz="8" w:space="0" w:color="FFFFFF"/>
            </w:tcBorders>
            <w:tcMar>
              <w:top w:w="30" w:type="dxa"/>
              <w:left w:w="67"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w:t>
            </w:r>
          </w:p>
        </w:tc>
        <w:tc>
          <w:tcPr>
            <w:tcW w:w="3375" w:type="dxa"/>
            <w:gridSpan w:val="3"/>
            <w:tcBorders>
              <w:top w:val="single" w:sz="8" w:space="0" w:color="FFFFFF"/>
              <w:left w:val="single" w:sz="8" w:space="0" w:color="FFFFFF"/>
              <w:right w:val="single" w:sz="8" w:space="0" w:color="FFFFFF"/>
            </w:tcBorders>
            <w:tcMar>
              <w:top w:w="30" w:type="dxa"/>
              <w:left w:w="67" w:type="dxa"/>
              <w:bottom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NEXTDOOR, INC.</w:t>
            </w:r>
          </w:p>
        </w:tc>
      </w:tr>
      <w:tr>
        <w:trPr/>
        <w:tc>
          <w:tcPr>
            <w:tcW w:w="3165"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 Anderson</w:t>
            </w:r>
          </w:p>
        </w:tc>
        <w:tc>
          <w:tcPr>
            <w:tcW w:w="3375" w:type="dxa"/>
            <w:gridSpan w:val="3"/>
            <w:tcBorders>
              <w:top w:val="single" w:sz="8" w:space="0" w:color="FFFFFF"/>
              <w:left w:val="single" w:sz="8" w:space="0" w:color="FFFFFF"/>
              <w:bottom w:val="single" w:sz="8" w:space="0" w:color="FFFFFF"/>
              <w:right w:val="single" w:sz="8" w:space="0" w:color="FFFFFF"/>
            </w:tcBorders>
            <w:tcMar>
              <w:top w:w="30" w:type="dxa"/>
              <w:bottom w:w="3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___________________________</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_________________________</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__________________________</w:t>
            </w:r>
          </w:p>
        </w:tc>
      </w:tr>
    </w:tbl>
    <w:p>
      <w:pPr>
        <w:pStyle w:val="TextBody"/>
        <w:bidi w:val="0"/>
        <w:spacing w:before="0" w:after="240"/>
        <w:ind w:left="0" w:right="0" w:firstLine="720"/>
        <w:jc w:val="both"/>
        <w:rPr/>
      </w:pPr>
      <w:r>
        <w:rPr/>
      </w:r>
    </w:p>
    <w:p>
      <w:pPr>
        <w:pStyle w:val="TextBody"/>
        <w:bidi w:val="0"/>
        <w:spacing w:before="0" w:after="0"/>
        <w:jc w:val="left"/>
        <w:rPr/>
      </w:pPr>
      <w:r>
        <w:rPr/>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10.18</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9"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240"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drawing>
          <wp:inline distT="0" distB="0" distL="0" distR="0">
            <wp:extent cx="1762125" cy="323850"/>
            <wp:effectExtent l="0" t="0" r="0" b="0"/>
            <wp:docPr id="1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9" descr=""/>
                    <pic:cNvPicPr>
                      <a:picLocks noChangeAspect="1" noChangeArrowheads="1"/>
                    </pic:cNvPicPr>
                  </pic:nvPicPr>
                  <pic:blipFill>
                    <a:blip r:embed="rId45"/>
                    <a:stretch>
                      <a:fillRect/>
                    </a:stretch>
                  </pic:blipFill>
                  <pic:spPr bwMode="auto">
                    <a:xfrm>
                      <a:off x="0" y="0"/>
                      <a:ext cx="1762125" cy="3238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NEXTDOOR, INC.</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2023 INCENTIVE COMPENSATION PLAN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This Nextdoor, Inc. (“</w:t>
      </w:r>
      <w:r>
        <w:rPr>
          <w:rFonts w:ascii="Times New Roman;sans-serif" w:hAnsi="Times New Roman;sans-serif"/>
          <w:b/>
          <w:i/>
          <w:color w:val="000000"/>
          <w:sz w:val="22"/>
        </w:rPr>
        <w:t>Nextdoor” or the “Company</w:t>
      </w:r>
      <w:r>
        <w:rPr>
          <w:color w:val="000000"/>
        </w:rPr>
        <w:t>”</w:t>
      </w:r>
      <w:r>
        <w:rPr>
          <w:rFonts w:ascii="Times New Roman;sans-serif" w:hAnsi="Times New Roman;sans-serif"/>
          <w:b w:val="false"/>
          <w:color w:val="000000"/>
          <w:sz w:val="22"/>
        </w:rPr>
        <w:t>) 2023 Incentive Compensation Plan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xml:space="preserve">) has been established as part of Nextdoor’s overall effort to attract and retain high quality sales people and to reward those employees for meeting and exceeding the sales-related goals and objectives set by Nextdoor.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color w:val="000000"/>
          <w:sz w:val="22"/>
          <w:u w:val="single"/>
        </w:rPr>
        <w:t>Term</w:t>
      </w:r>
      <w:r>
        <w:rPr>
          <w:rFonts w:ascii="Times New Roman;sans-serif" w:hAnsi="Times New Roman;sans-serif"/>
          <w:b w:val="false"/>
          <w:color w:val="000000"/>
          <w:sz w:val="22"/>
        </w:rPr>
        <w:t>. The Plan shall be effective as of January 1, 2023 and shall continue until it is amended or terminated by Nextdoor in accordance with Section 9 below (the “</w:t>
      </w:r>
      <w:r>
        <w:rPr>
          <w:rFonts w:ascii="Times New Roman;sans-serif" w:hAnsi="Times New Roman;sans-serif"/>
          <w:b/>
          <w:i/>
          <w:color w:val="000000"/>
          <w:sz w:val="22"/>
        </w:rPr>
        <w:t>Plan Period</w:t>
      </w:r>
      <w:r>
        <w:rPr>
          <w:color w:val="000000"/>
        </w:rPr>
        <w:t>”</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color w:val="000000"/>
          <w:sz w:val="22"/>
          <w:u w:val="single"/>
        </w:rPr>
        <w:t>Compensation Plan Overview</w:t>
      </w:r>
      <w:r>
        <w:rPr>
          <w:rFonts w:ascii="Times New Roman;sans-serif" w:hAnsi="Times New Roman;sans-serif"/>
          <w:b w:val="false"/>
          <w:color w:val="000000"/>
          <w:sz w:val="22"/>
        </w:rPr>
        <w:t>. Employees who are eligible to earn incentive compensation under this Plan are “</w:t>
      </w:r>
      <w:r>
        <w:rPr>
          <w:rFonts w:ascii="Times New Roman;sans-serif" w:hAnsi="Times New Roman;sans-serif"/>
          <w:b/>
          <w:i/>
          <w:color w:val="000000"/>
          <w:sz w:val="22"/>
        </w:rPr>
        <w:t>Participants</w:t>
      </w:r>
      <w:r>
        <w:rPr>
          <w:rFonts w:ascii="Times New Roman;sans-serif" w:hAnsi="Times New Roman;sans-serif"/>
          <w:b w:val="false"/>
          <w:color w:val="000000"/>
          <w:sz w:val="22"/>
        </w:rPr>
        <w:t>.” Participants will be informed of their eligibility to earn incentive compensation under this Plan in Participant’s offer letter, or through written confirmation of their transfer into a Plan-eligible role, and upon receipt of this Plan and an individualized quarterly compensation Schedule (“</w:t>
      </w:r>
      <w:r>
        <w:rPr>
          <w:rFonts w:ascii="Times New Roman;sans-serif" w:hAnsi="Times New Roman;sans-serif"/>
          <w:b/>
          <w:i/>
          <w:color w:val="000000"/>
          <w:sz w:val="22"/>
        </w:rPr>
        <w:t>Schedule</w:t>
      </w:r>
      <w:r>
        <w:rPr>
          <w:color w:val="000000"/>
        </w:rPr>
        <w:t>”</w:t>
      </w:r>
      <w:r>
        <w:rPr>
          <w:rFonts w:ascii="Times New Roman;sans-serif" w:hAnsi="Times New Roman;sans-serif"/>
          <w:b w:val="false"/>
          <w:color w:val="000000"/>
          <w:sz w:val="22"/>
        </w:rPr>
        <w:t>) setting forth the specific details of the Participant’s potential incentive compensation. Participant’s total potential quarterly compensation may consist of the following components:</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2.1.</w:t>
      </w:r>
      <w:r>
        <w:rPr>
          <w:rFonts w:ascii="Times New Roman;sans-serif" w:hAnsi="Times New Roman;sans-serif"/>
          <w:b/>
          <w:color w:val="000000"/>
          <w:sz w:val="22"/>
          <w:u w:val="single"/>
        </w:rPr>
        <w:t>Base Salary</w:t>
      </w:r>
      <w:r>
        <w:rPr>
          <w:rFonts w:ascii="Times New Roman;sans-serif" w:hAnsi="Times New Roman;sans-serif"/>
          <w:b w:val="false"/>
          <w:color w:val="000000"/>
          <w:sz w:val="22"/>
        </w:rPr>
        <w:t>. Base salary is Participant’s regular monthly salary, paid in accordance with Nextdoor’s established local payroll policies and practices, and is not considered incentive compensation.</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2.2.</w:t>
      </w:r>
      <w:r>
        <w:rPr>
          <w:rFonts w:ascii="Times New Roman;sans-serif" w:hAnsi="Times New Roman;sans-serif"/>
          <w:b/>
          <w:color w:val="000000"/>
          <w:sz w:val="22"/>
          <w:u w:val="single"/>
        </w:rPr>
        <w:t>Commission</w:t>
      </w:r>
      <w:r>
        <w:rPr>
          <w:rFonts w:ascii="Times New Roman;sans-serif" w:hAnsi="Times New Roman;sans-serif"/>
          <w:b w:val="false"/>
          <w:color w:val="000000"/>
          <w:sz w:val="22"/>
        </w:rPr>
        <w:t>. Participants may be eligible to earn commissions on sales activity (“</w:t>
      </w:r>
      <w:r>
        <w:rPr>
          <w:rFonts w:ascii="Times New Roman;sans-serif" w:hAnsi="Times New Roman;sans-serif"/>
          <w:b/>
          <w:i/>
          <w:color w:val="000000"/>
          <w:sz w:val="22"/>
        </w:rPr>
        <w:t>Commissions</w:t>
      </w:r>
      <w:r>
        <w:rPr>
          <w:color w:val="000000"/>
        </w:rPr>
        <w:t>”</w:t>
      </w:r>
      <w:r>
        <w:rPr>
          <w:rFonts w:ascii="Times New Roman;sans-serif" w:hAnsi="Times New Roman;sans-serif"/>
          <w:b w:val="false"/>
          <w:color w:val="000000"/>
          <w:sz w:val="22"/>
        </w:rPr>
        <w:t xml:space="preserve">) at the rates set forth in the Participant’s Schedule and under the terms outlined below and in the Schedule.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2.3.</w:t>
      </w:r>
      <w:r>
        <w:rPr>
          <w:rFonts w:ascii="Times New Roman;sans-serif" w:hAnsi="Times New Roman;sans-serif"/>
          <w:b/>
          <w:color w:val="000000"/>
          <w:sz w:val="22"/>
          <w:u w:val="single"/>
        </w:rPr>
        <w:t>MBO Bonus</w:t>
      </w:r>
      <w:r>
        <w:rPr>
          <w:rFonts w:ascii="Times New Roman;sans-serif" w:hAnsi="Times New Roman;sans-serif"/>
          <w:b w:val="false"/>
          <w:color w:val="000000"/>
          <w:sz w:val="22"/>
        </w:rPr>
        <w:t>. Participants may be eligible to earn a quarterly performance-based reward known as a Management by Objective Bonus (a “</w:t>
      </w:r>
      <w:r>
        <w:rPr>
          <w:rFonts w:ascii="Times New Roman;sans-serif" w:hAnsi="Times New Roman;sans-serif"/>
          <w:b/>
          <w:i/>
          <w:color w:val="000000"/>
          <w:sz w:val="22"/>
        </w:rPr>
        <w:t>MBO Bonus</w:t>
      </w:r>
      <w:r>
        <w:rPr>
          <w:color w:val="000000"/>
        </w:rPr>
        <w:t>”</w:t>
      </w:r>
      <w:r>
        <w:rPr>
          <w:rFonts w:ascii="Times New Roman;sans-serif" w:hAnsi="Times New Roman;sans-serif"/>
          <w:b w:val="false"/>
          <w:color w:val="000000"/>
          <w:sz w:val="22"/>
        </w:rPr>
        <w:t>) at the rates set forth in the Participant’s Schedule and under the terms outlined below and in the Schedule. An MBO Bonus is designed to incentivize behaviors that will drive the long-term health of Nextdoor’s business. The target and potential payout amount of the MBO Bonus, if any, will be outlined in the Participant’s Schedule. The management objectives for the quarter will be set forth in the Participant’s Schedule, and such objectives will be evaluated by Participant’s assigned manager at the end of each quarter to determine whether and to what extent the objectives were achieved. A condition of earning any quarterly MBO Bonus is that the Participant must also be employed on the applicable quarterly payout date of any MBO Bonus.</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2.4.</w:t>
      </w:r>
      <w:r>
        <w:rPr>
          <w:rFonts w:ascii="Times New Roman;sans-serif" w:hAnsi="Times New Roman;sans-serif"/>
          <w:b/>
          <w:color w:val="000000"/>
          <w:sz w:val="22"/>
          <w:u w:val="single"/>
        </w:rPr>
        <w:t>SPIFFs</w:t>
      </w:r>
      <w:r>
        <w:rPr>
          <w:rFonts w:ascii="Times New Roman;sans-serif" w:hAnsi="Times New Roman;sans-serif"/>
          <w:b w:val="false"/>
          <w:color w:val="000000"/>
          <w:sz w:val="22"/>
        </w:rPr>
        <w:t>. Short-term or one-time bonus opportunities may be offered in connection with contests or similar short-term incentive effort (each, a “</w:t>
      </w:r>
      <w:r>
        <w:rPr>
          <w:rFonts w:ascii="Times New Roman;sans-serif" w:hAnsi="Times New Roman;sans-serif"/>
          <w:b/>
          <w:i/>
          <w:color w:val="000000"/>
          <w:sz w:val="22"/>
        </w:rPr>
        <w:t>SPIFF</w:t>
      </w:r>
      <w:r>
        <w:rPr>
          <w:color w:val="000000"/>
        </w:rPr>
        <w:t>”</w:t>
      </w:r>
      <w:r>
        <w:rPr>
          <w:rFonts w:ascii="Times New Roman;sans-serif" w:hAnsi="Times New Roman;sans-serif"/>
          <w:b w:val="false"/>
          <w:color w:val="000000"/>
          <w:sz w:val="22"/>
        </w:rPr>
        <w:t xml:space="preserve">). SPIFFs may be announced from time to time, at Nextdoor’s discretion, and the terms will be communicated to Participants via email or similar written announcement.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Plan, the Participant’s Schedule, and any SPIFF announcements govern the potential incentive compensation for the Participant, and constitute the entire agreement between the Company and the Participant regarding incentive compensation. In the event of any conflict between the Plan (on the one hand), and a Participant’s Schedule and/or SPIFF announcement (on the other hand), the terms of this Plan will govern.</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color w:val="000000"/>
          <w:sz w:val="22"/>
          <w:u w:val="single"/>
        </w:rPr>
        <w:t>Eligibility Criteria for Incentive Compensation</w:t>
      </w:r>
      <w:r>
        <w:rPr>
          <w:color w:val="000000"/>
        </w:rPr>
        <w:t xml:space="preserve">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3.1.To be eligible to earn any Commissions under this Plan and the Schedule, Participant must:</w:t>
      </w:r>
    </w:p>
    <w:p>
      <w:pPr>
        <w:pStyle w:val="TextBody"/>
        <w:bidi w:val="0"/>
        <w:jc w:val="both"/>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10.18</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33350"/>
                <wp:effectExtent l="0" t="0" r="0" b="0"/>
                <wp:wrapNone/>
                <wp:docPr id="131" name="Frame1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40" w:before="0" w:after="0"/>
                              <w:jc w:val="left"/>
                              <w:rPr>
                                <w:rFonts w:ascii="Lato;sans-serif" w:hAnsi="Lato;sans-serif"/>
                                <w:b w:val="false"/>
                                <w:color w:val="000000"/>
                                <w:sz w:val="18"/>
                              </w:rPr>
                            </w:pPr>
                            <w:r>
                              <w:rPr>
                                <w:rFonts w:ascii="Lato;sans-serif" w:hAnsi="Lato;sans-serif"/>
                                <w:b w:val="false"/>
                                <w:color w:val="000000"/>
                                <w:sz w:val="18"/>
                              </w:rPr>
                              <w:t>2023 Incentive Compensation Plan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240" w:before="0" w:after="0"/>
                        <w:jc w:val="left"/>
                        <w:rPr>
                          <w:rFonts w:ascii="Lato;sans-serif" w:hAnsi="Lato;sans-serif"/>
                          <w:b w:val="false"/>
                          <w:color w:val="000000"/>
                          <w:sz w:val="18"/>
                        </w:rPr>
                      </w:pPr>
                      <w:r>
                        <w:rPr>
                          <w:rFonts w:ascii="Lato;sans-serif" w:hAnsi="Lato;sans-serif"/>
                          <w:b w:val="false"/>
                          <w:color w:val="000000"/>
                          <w:sz w:val="18"/>
                        </w:rPr>
                        <w:t>2023 Incentive Compensation Plan</w:t>
                      </w:r>
                    </w:p>
                  </w:txbxContent>
                </v:textbox>
                <w10:wrap type="none"/>
              </v:rect>
            </w:pict>
          </mc:Fallback>
        </mc:AlternateContent>
      </w:r>
    </w:p>
    <w:p>
      <w:pPr>
        <w:pStyle w:val="TextBody"/>
        <w:bidi w:val="0"/>
        <w:spacing w:lineRule="auto" w:line="240" w:before="0" w:after="0"/>
        <w:ind w:left="0" w:right="0" w:hanging="360"/>
        <w:jc w:val="both"/>
        <w:rPr/>
      </w:pPr>
      <w:r>
        <w:rPr>
          <w:rFonts w:ascii="Times New Roman;sans-serif" w:hAnsi="Times New Roman;sans-serif"/>
          <w:b w:val="false"/>
          <w:color w:val="000000"/>
          <w:sz w:val="22"/>
        </w:rPr>
        <w:t xml:space="preserve">3.1.1.Within </w:t>
      </w:r>
      <w:r>
        <w:rPr>
          <w:rFonts w:ascii="Times New Roman;sans-serif" w:hAnsi="Times New Roman;sans-serif"/>
          <w:b/>
          <w:color w:val="000000"/>
          <w:sz w:val="22"/>
        </w:rPr>
        <w:t>fifteen (15)</w:t>
      </w:r>
      <w:r>
        <w:rPr>
          <w:color w:val="000000"/>
        </w:rPr>
        <w:t xml:space="preserve"> </w:t>
      </w:r>
      <w:r>
        <w:rPr>
          <w:rFonts w:ascii="Times New Roman;sans-serif" w:hAnsi="Times New Roman;sans-serif"/>
          <w:b w:val="false"/>
          <w:color w:val="000000"/>
          <w:sz w:val="22"/>
        </w:rPr>
        <w:t xml:space="preserve">days of receipt of the Plan and Schedule sign and return the Plan and Schedule; and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3.1.2.Otherwise adhere to and meet the terms and conditions of the Plan and Schedule.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3.2.In order to be eligible to earn any MBO Bonus under this Plan and the Schedule, Participant must: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 xml:space="preserve">3.2.1.Within </w:t>
      </w:r>
      <w:r>
        <w:rPr>
          <w:rFonts w:ascii="Times New Roman;sans-serif" w:hAnsi="Times New Roman;sans-serif"/>
          <w:b/>
          <w:color w:val="000000"/>
          <w:sz w:val="22"/>
        </w:rPr>
        <w:t>fifteen (15)</w:t>
      </w:r>
      <w:r>
        <w:rPr>
          <w:color w:val="000000"/>
        </w:rPr>
        <w:t xml:space="preserve"> </w:t>
      </w:r>
      <w:r>
        <w:rPr>
          <w:rFonts w:ascii="Times New Roman;sans-serif" w:hAnsi="Times New Roman;sans-serif"/>
          <w:b w:val="false"/>
          <w:color w:val="000000"/>
          <w:sz w:val="22"/>
        </w:rPr>
        <w:t xml:space="preserve">days of receipt of the Plan and Schedule, sign and return the Plan and Schedule;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3.2.2.Be an employee of Nextdoor on the day on which the MBO Bonus is paid to Participants; and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3.2.3.Otherwise adhere to and meet the terms and conditions of the Plan and Schedule.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3.3.In order to be eligible to earn a SPIFF, Participant need only accomplish the criteria set forth in the SPIFF announcement and be an employee of Nextdoor on the day on which the SPIFF is paid to Participants. No signature will be required to participate or be eligible to receive a SPIFF, though Participant may be required to utilize a record-keeping mechanism determined by Nextdoor in order to track completion of the SPIFF criteria.</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Employees who do not sign the Plan and Schedule will not be Participants, and therefore, are not eligible to earn or be paid any incentive compensation under the Plan.</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color w:val="000000"/>
          <w:sz w:val="22"/>
          <w:u w:val="single"/>
        </w:rPr>
        <w:t>Commissions and Quotas</w:t>
      </w:r>
      <w:r>
        <w:rPr>
          <w:rFonts w:ascii="Times New Roman;sans-serif" w:hAnsi="Times New Roman;sans-serif"/>
          <w:b w:val="false"/>
          <w:color w:val="000000"/>
          <w:sz w:val="22"/>
        </w:rPr>
        <w:t>. Commissions are incentive compensation paid based on Participant’s achievement of an individually assigned quarterly sales quota (“</w:t>
      </w:r>
      <w:r>
        <w:rPr>
          <w:rFonts w:ascii="Times New Roman;sans-serif" w:hAnsi="Times New Roman;sans-serif"/>
          <w:b/>
          <w:i/>
          <w:color w:val="000000"/>
          <w:sz w:val="22"/>
        </w:rPr>
        <w:t>Sales Quota</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4.1.</w:t>
      </w:r>
      <w:r>
        <w:rPr>
          <w:rFonts w:ascii="Times New Roman;sans-serif" w:hAnsi="Times New Roman;sans-serif"/>
          <w:b/>
          <w:color w:val="000000"/>
          <w:sz w:val="22"/>
          <w:u w:val="single"/>
        </w:rPr>
        <w:t>Earned Commissions</w:t>
      </w:r>
      <w:r>
        <w:rPr>
          <w:rFonts w:ascii="Times New Roman;sans-serif" w:hAnsi="Times New Roman;sans-serif"/>
          <w:b w:val="false"/>
          <w:color w:val="000000"/>
          <w:sz w:val="22"/>
        </w:rPr>
        <w:t>. To earn Commissions, Participants must fulfill all conditions to earning set forth in this Plan and in accordance with the Participant’s Schedule. Commissions are earned (“</w:t>
      </w:r>
      <w:r>
        <w:rPr>
          <w:rFonts w:ascii="Times New Roman;sans-serif" w:hAnsi="Times New Roman;sans-serif"/>
          <w:b/>
          <w:i/>
          <w:color w:val="000000"/>
          <w:sz w:val="22"/>
        </w:rPr>
        <w:t>Earned Commissions</w:t>
      </w:r>
      <w:r>
        <w:rPr>
          <w:color w:val="000000"/>
        </w:rPr>
        <w:t>”</w:t>
      </w:r>
      <w:r>
        <w:rPr>
          <w:rFonts w:ascii="Times New Roman;sans-serif" w:hAnsi="Times New Roman;sans-serif"/>
          <w:b w:val="false"/>
          <w:color w:val="000000"/>
          <w:sz w:val="22"/>
        </w:rPr>
        <w:t>) by the Participant when the following conditions are met:</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4.1.1.The Participant completes an Order Form (as defined below) for a customer of Nextdoor, which is signed by the customer and the Company;</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4.1.2.There are no outstanding obligations under the Order Form;</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4.1.3.The Company issues an Invoice (as defined below) to the customer related to the Order Form;</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4.1.4.The Company has received full payment from the customer in accordance with the terms set forth in the applicable Order Form and Invoice, and all related contingencies are extinguished;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4.1.5.The Company has recognized the revenue related to the Order Form and Invoice under Generally Accepted Accounting Principles (GAAP) (as applied by the Company).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Nextdoor reserves the right to pay Commissions in advance of the date upon which the Commissions are earned (see Section 5.1 below). Commission Advances (defined below) do not constitute Earned Commissions and are subject to adjustments and Clawbacks if the Commission is not earned (see Section 5.2 below). </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22"/>
        </w:rPr>
        <w:t>For the purposes of this Plan, the term “</w:t>
      </w:r>
      <w:r>
        <w:rPr>
          <w:rFonts w:ascii="Times New Roman;sans-serif" w:hAnsi="Times New Roman;sans-serif"/>
          <w:b/>
          <w:color w:val="000000"/>
          <w:sz w:val="22"/>
        </w:rPr>
        <w:t>Order Form</w:t>
      </w:r>
      <w:r>
        <w:rPr>
          <w:color w:val="000000"/>
        </w:rPr>
        <w:t xml:space="preserve">” </w:t>
      </w:r>
      <w:r>
        <w:rPr>
          <w:rFonts w:ascii="Times New Roman;sans-serif" w:hAnsi="Times New Roman;sans-serif"/>
          <w:b w:val="false"/>
          <w:color w:val="000000"/>
          <w:sz w:val="22"/>
        </w:rPr>
        <w:t>shall be defined as an insertion order, a credit card payment record, a sales agreement between Nextdoor and customer, or any other mechanism by which a sale is made by Nextdoor. For the purposes of this Plan, the term “</w:t>
      </w:r>
      <w:r>
        <w:rPr>
          <w:rFonts w:ascii="Times New Roman;sans-serif" w:hAnsi="Times New Roman;sans-serif"/>
          <w:b/>
          <w:color w:val="000000"/>
          <w:sz w:val="22"/>
        </w:rPr>
        <w:t>Invoice</w:t>
      </w:r>
      <w:r>
        <w:rPr>
          <w:color w:val="000000"/>
        </w:rPr>
        <w:t xml:space="preserve">” </w:t>
      </w:r>
      <w:r>
        <w:rPr>
          <w:rFonts w:ascii="Times New Roman;sans-serif" w:hAnsi="Times New Roman;sans-serif"/>
          <w:b w:val="false"/>
          <w:color w:val="000000"/>
          <w:sz w:val="22"/>
        </w:rPr>
        <w:t xml:space="preserve">shall be defined as a demand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10.18</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33350"/>
                <wp:effectExtent l="0" t="0" r="0" b="0"/>
                <wp:wrapNone/>
                <wp:docPr id="132" name="Frame1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40" w:before="0" w:after="0"/>
                              <w:jc w:val="left"/>
                              <w:rPr>
                                <w:rFonts w:ascii="Lato;sans-serif" w:hAnsi="Lato;sans-serif"/>
                                <w:b w:val="false"/>
                                <w:color w:val="000000"/>
                                <w:sz w:val="18"/>
                              </w:rPr>
                            </w:pPr>
                            <w:r>
                              <w:rPr>
                                <w:rFonts w:ascii="Lato;sans-serif" w:hAnsi="Lato;sans-serif"/>
                                <w:b w:val="false"/>
                                <w:color w:val="000000"/>
                                <w:sz w:val="18"/>
                              </w:rPr>
                              <w:t>2023 Incentive Compensation Plan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240" w:before="0" w:after="0"/>
                        <w:jc w:val="left"/>
                        <w:rPr>
                          <w:rFonts w:ascii="Lato;sans-serif" w:hAnsi="Lato;sans-serif"/>
                          <w:b w:val="false"/>
                          <w:color w:val="000000"/>
                          <w:sz w:val="18"/>
                        </w:rPr>
                      </w:pPr>
                      <w:r>
                        <w:rPr>
                          <w:rFonts w:ascii="Lato;sans-serif" w:hAnsi="Lato;sans-serif"/>
                          <w:b w:val="false"/>
                          <w:color w:val="000000"/>
                          <w:sz w:val="18"/>
                        </w:rPr>
                        <w:t>2023 Incentive Compensation Plan</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for payment sent by Nextdoor or by a partner on behalf of Nextdoor, to a customer. For the purposes of this Plan, the term “</w:t>
      </w:r>
      <w:r>
        <w:rPr>
          <w:rFonts w:ascii="Times New Roman;sans-serif" w:hAnsi="Times New Roman;sans-serif"/>
          <w:b/>
          <w:color w:val="000000"/>
          <w:sz w:val="22"/>
        </w:rPr>
        <w:t>customer</w:t>
      </w:r>
      <w:r>
        <w:rPr>
          <w:color w:val="000000"/>
        </w:rPr>
        <w:t xml:space="preserve">” </w:t>
      </w:r>
      <w:r>
        <w:rPr>
          <w:rFonts w:ascii="Times New Roman;sans-serif" w:hAnsi="Times New Roman;sans-serif"/>
          <w:b w:val="false"/>
          <w:color w:val="000000"/>
          <w:sz w:val="22"/>
        </w:rPr>
        <w:t xml:space="preserve">describes a prospective or existing Nextdoor paying customer, which may include advertisers, agencies, or other businesses.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4.2.</w:t>
      </w:r>
      <w:r>
        <w:rPr>
          <w:rFonts w:ascii="Times New Roman;sans-serif" w:hAnsi="Times New Roman;sans-serif"/>
          <w:b/>
          <w:color w:val="000000"/>
          <w:sz w:val="22"/>
          <w:u w:val="single"/>
        </w:rPr>
        <w:t>Sales Quotas</w:t>
      </w:r>
      <w:r>
        <w:rPr>
          <w:rFonts w:ascii="Times New Roman;sans-serif" w:hAnsi="Times New Roman;sans-serif"/>
          <w:b w:val="false"/>
          <w:color w:val="000000"/>
          <w:sz w:val="22"/>
        </w:rPr>
        <w:t>. A Participant who is eligible to earn Commissions will be assigned a Sales Quota in the Participant’s Schedule. A Sales Quota is an individual or team target, as applicable, and is determined for a Participant in the Company’s sole discretion based on a variety of factors, which may include past performance. The Participant’s Schedule will outline the type and amount of a Participant’s Sales Quota along with any terms, conditions, rules, designations, and provisions that apply to that Participant. Participants receive credit towards their Sales Quota for each executed Order Form that the Participant or Participant’s team (as applicable) is directly responsible for leading and obtaining as set forth in Participants' schedules, and for which an Invoice has been generated, as determined in good faith by the Company. Sale Quotas are individualized and may vary at the Company’s discretion. The Company reserves the right to adjust, amend or modify Sales Quotas at any time at the Company’s sole discretion. Any such adjustments will be prospective in nature, and will not cause or result in a forfeiture of Earned Commissions.</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4.3.</w:t>
      </w:r>
      <w:r>
        <w:rPr>
          <w:rFonts w:ascii="Times New Roman;sans-serif" w:hAnsi="Times New Roman;sans-serif"/>
          <w:b/>
          <w:color w:val="000000"/>
          <w:sz w:val="22"/>
          <w:u w:val="single"/>
        </w:rPr>
        <w:t>Commission Rates</w:t>
      </w:r>
      <w:r>
        <w:rPr>
          <w:rFonts w:ascii="Times New Roman;sans-serif" w:hAnsi="Times New Roman;sans-serif"/>
          <w:b w:val="false"/>
          <w:color w:val="000000"/>
          <w:sz w:val="22"/>
        </w:rPr>
        <w:t>. A Participant’s specific Commission rate is set forth in the Schedule. The Company reserves the right to adjust the Commission rate at any time in its sole discretion, with or without advance notice. Any such adjustment will be prospective in nature, and will not cause or result in a forfeiture of Earned Commissions.</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4.4.</w:t>
      </w:r>
      <w:r>
        <w:rPr>
          <w:rFonts w:ascii="Times New Roman;sans-serif" w:hAnsi="Times New Roman;sans-serif"/>
          <w:b/>
          <w:color w:val="000000"/>
          <w:sz w:val="22"/>
          <w:u w:val="single"/>
        </w:rPr>
        <w:t>Payment of Commissions</w:t>
      </w:r>
      <w:r>
        <w:rPr>
          <w:rFonts w:ascii="Times New Roman;sans-serif" w:hAnsi="Times New Roman;sans-serif"/>
          <w:b w:val="false"/>
          <w:color w:val="000000"/>
          <w:sz w:val="22"/>
        </w:rPr>
        <w:t xml:space="preserve">. A Participant’s Sales Quota achievement and achievement toward Participant’s MBO Bonus are measured on a quarterly basis. </w:t>
      </w:r>
      <w:r>
        <w:rPr>
          <w:rFonts w:ascii="Times New Roman;sans-serif" w:hAnsi="Times New Roman;sans-serif"/>
          <w:b w:val="false"/>
          <w:color w:val="000000"/>
          <w:sz w:val="22"/>
          <w:shd w:fill="FFFFFF" w:val="clear"/>
        </w:rPr>
        <w:t xml:space="preserve">Quarterly Commission payments are typically calculated within sixty (60) days following the end of each calendar quarter. As a general rule, payments of Commissions are made to Participants as either a Commission Advance or Earned Commission within sixty (60) days following the end of each calendar quarter, so long as Commissions can be </w:t>
      </w:r>
      <w:r>
        <w:rPr>
          <w:rFonts w:ascii="Times New Roman;sans-serif" w:hAnsi="Times New Roman;sans-serif"/>
          <w:b w:val="false"/>
          <w:color w:val="000000"/>
          <w:sz w:val="22"/>
        </w:rPr>
        <w:t>reasonably calculated as of that date. The timing of payment may depend on the jurisdiction, or as otherwise required by law. To ensure timely payments, Participants must enter all appropriate information fully and accurately in accordance with procedures established by Nextdoor. All amounts paid pursuant to this Plan are subject to deduction for all applicable taxes and other required or authorized withholdings.</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5.</w:t>
      </w:r>
      <w:r>
        <w:rPr>
          <w:rFonts w:ascii="Times New Roman;sans-serif" w:hAnsi="Times New Roman;sans-serif"/>
          <w:b/>
          <w:color w:val="000000"/>
          <w:sz w:val="22"/>
          <w:u w:val="single"/>
        </w:rPr>
        <w:t>Commission Advances and Clawback</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5.1.</w:t>
      </w:r>
      <w:r>
        <w:rPr>
          <w:rFonts w:ascii="Times New Roman;sans-serif" w:hAnsi="Times New Roman;sans-serif"/>
          <w:b/>
          <w:color w:val="000000"/>
          <w:sz w:val="22"/>
          <w:u w:val="single"/>
        </w:rPr>
        <w:t>Commission Advances</w:t>
      </w:r>
      <w:r>
        <w:rPr>
          <w:rFonts w:ascii="Times New Roman;sans-serif" w:hAnsi="Times New Roman;sans-serif"/>
          <w:b w:val="false"/>
          <w:color w:val="000000"/>
          <w:sz w:val="22"/>
        </w:rPr>
        <w:t>. Commissions paid as an unearned advance following the end of each calendar quarter are generally made on the assumption that revenue will be collected by Nextdoor. Any payment of Commissions made to a Participant prior to the date that all requirements of Section 4.1 have been met (e.g., the Company has not yet received payment from the customer) is an advance (each, a “</w:t>
      </w:r>
      <w:r>
        <w:rPr>
          <w:rFonts w:ascii="Times New Roman;sans-serif" w:hAnsi="Times New Roman;sans-serif"/>
          <w:b/>
          <w:i/>
          <w:color w:val="000000"/>
          <w:sz w:val="22"/>
        </w:rPr>
        <w:t>Commission Advance</w:t>
      </w:r>
      <w:r>
        <w:rPr>
          <w:color w:val="000000"/>
        </w:rPr>
        <w:t>”</w:t>
      </w:r>
      <w:r>
        <w:rPr>
          <w:rFonts w:ascii="Times New Roman;sans-serif" w:hAnsi="Times New Roman;sans-serif"/>
          <w:b w:val="false"/>
          <w:color w:val="000000"/>
          <w:sz w:val="22"/>
        </w:rPr>
        <w:t xml:space="preserve">) against expected Commissions earnings. Any Commission Advance will be paid in accordance with Section 4.4 above, unless the Participant’s employment with the Company has terminated for any reason (or the Participant has notified the Company of the Participant’s intention to resign) on or before that date, in which case no Commission Advance will be paid. </w:t>
      </w:r>
    </w:p>
    <w:p>
      <w:pPr>
        <w:pStyle w:val="TextBody"/>
        <w:bidi w:val="0"/>
        <w:spacing w:before="0" w:after="0"/>
        <w:jc w:val="both"/>
        <w:rPr/>
      </w:pPr>
      <w:r>
        <w:rPr/>
      </w:r>
    </w:p>
    <w:p>
      <w:pPr>
        <w:pStyle w:val="TextBody"/>
        <w:bidi w:val="0"/>
        <w:spacing w:lineRule="auto" w:line="240"/>
        <w:ind w:left="0" w:right="0" w:hanging="360"/>
        <w:jc w:val="both"/>
        <w:rPr/>
      </w:pPr>
      <w:r>
        <w:rPr>
          <w:rFonts w:ascii="Times New Roman;sans-serif" w:hAnsi="Times New Roman;sans-serif"/>
          <w:b w:val="false"/>
          <w:color w:val="000000"/>
          <w:sz w:val="22"/>
        </w:rPr>
        <w:t>5.2.</w:t>
      </w:r>
      <w:r>
        <w:rPr>
          <w:rFonts w:ascii="Times New Roman;sans-serif" w:hAnsi="Times New Roman;sans-serif"/>
          <w:b/>
          <w:color w:val="000000"/>
          <w:sz w:val="22"/>
          <w:u w:val="single"/>
        </w:rPr>
        <w:t>Adjustments/Clawbacks for Advanced but Unearned Commissions</w:t>
      </w:r>
      <w:r>
        <w:rPr>
          <w:rFonts w:ascii="Times New Roman;sans-serif" w:hAnsi="Times New Roman;sans-serif"/>
          <w:b w:val="false"/>
          <w:color w:val="000000"/>
          <w:sz w:val="22"/>
        </w:rPr>
        <w:t>. If an Order Form is subsequently canceled, full payment is not received from the customer and the Company deems the amount to be uncollectible in accordance with its internal policies and procedures and writes such amount off the books as bad debt, or if any other condition in Section 4.1 above is not achieved, any unearned Commission Advances shall be deducted from future Commission Advances or Earned Commissions of the Participant, to the fullest extent permitted by applicable law (“</w:t>
      </w:r>
      <w:r>
        <w:rPr>
          <w:rFonts w:ascii="Times New Roman;sans-serif" w:hAnsi="Times New Roman;sans-serif"/>
          <w:b/>
          <w:i/>
          <w:color w:val="000000"/>
          <w:sz w:val="22"/>
        </w:rPr>
        <w:t>Clawbacks</w:t>
      </w:r>
      <w:r>
        <w:rPr>
          <w:color w:val="000000"/>
        </w:rPr>
        <w:t>”</w:t>
      </w:r>
      <w:r>
        <w:rPr>
          <w:rFonts w:ascii="Times New Roman;sans-serif" w:hAnsi="Times New Roman;sans-serif"/>
          <w:b w:val="false"/>
          <w:color w:val="000000"/>
          <w:sz w:val="22"/>
        </w:rPr>
        <w:t xml:space="preserve">), at the Company’s sole discretion. In no event will any Clawback be made against a Participant’s base salary. Upon termination of employment, the Participant agrees (i) to return any Commission Advances for which no offset is possible to the Company within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10.18</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33350"/>
                <wp:effectExtent l="0" t="0" r="0" b="0"/>
                <wp:wrapNone/>
                <wp:docPr id="133" name="Frame1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40" w:before="0" w:after="0"/>
                              <w:jc w:val="left"/>
                              <w:rPr>
                                <w:rFonts w:ascii="Lato;sans-serif" w:hAnsi="Lato;sans-serif"/>
                                <w:b w:val="false"/>
                                <w:color w:val="000000"/>
                                <w:sz w:val="18"/>
                              </w:rPr>
                            </w:pPr>
                            <w:r>
                              <w:rPr>
                                <w:rFonts w:ascii="Lato;sans-serif" w:hAnsi="Lato;sans-serif"/>
                                <w:b w:val="false"/>
                                <w:color w:val="000000"/>
                                <w:sz w:val="18"/>
                              </w:rPr>
                              <w:t>2023 Incentive Compensation Plan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240" w:before="0" w:after="0"/>
                        <w:jc w:val="left"/>
                        <w:rPr>
                          <w:rFonts w:ascii="Lato;sans-serif" w:hAnsi="Lato;sans-serif"/>
                          <w:b w:val="false"/>
                          <w:color w:val="000000"/>
                          <w:sz w:val="18"/>
                        </w:rPr>
                      </w:pPr>
                      <w:r>
                        <w:rPr>
                          <w:rFonts w:ascii="Lato;sans-serif" w:hAnsi="Lato;sans-serif"/>
                          <w:b w:val="false"/>
                          <w:color w:val="000000"/>
                          <w:sz w:val="18"/>
                        </w:rPr>
                        <w:t>2023 Incentive Compensation Plan</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ten (10) days of such termination of employment; and (ii) to sign any documents necessary to deduct Commission Advances or other advances of unearned wages from the employee’s final paycheck as may be requested by the Company, to the maximum extent permitted by law. Clawbacks can be applied in the Company's discretion to any unearned payments to Participants.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For example, in Q1 a Participant has a Sales Quota of $1M, and makes sales during Q1 of $1M. Participant’s Q1 sales include Customer X, whose Invoice totaled $500,000. At the end of Q1, Nextdoor received payments equal to $500,000 from sales made by Participant, but the amount attributable to Customer X ($500,000) had not yet been collected by Nextdoor. Therefore, Participant received a Commission Advance based on the Company X’s Invoice of $500,000 and Earned Commission based on the remaining $500,000 of sales made and collected during Q1. After the Commission Advance is paid to Participant, Customer X fails to pay $350,000 of the $500,000 due to the Company and Company writes the amount off the books as bad debt. Therefore, in Q3, the Company will deduct the Commission Advance based on $350,000 attributable to the Company’s X’s Invoice from Participant’s Commissions for Q3. The deduction will result in a reduced Commission to the Participant in Q3, when the Clawback is applied.</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6.</w:t>
      </w:r>
      <w:r>
        <w:rPr>
          <w:rFonts w:ascii="Times New Roman;sans-serif" w:hAnsi="Times New Roman;sans-serif"/>
          <w:b/>
          <w:color w:val="000000"/>
          <w:sz w:val="22"/>
          <w:u w:val="single"/>
        </w:rPr>
        <w:t>Disqualification; Business Ethics; No Side Letters</w:t>
      </w:r>
      <w:r>
        <w:rPr>
          <w:rFonts w:ascii="Times New Roman;sans-serif" w:hAnsi="Times New Roman;sans-serif"/>
          <w:b w:val="false"/>
          <w:color w:val="000000"/>
          <w:sz w:val="22"/>
        </w:rPr>
        <w:t>. Nextdoor is committed to maintaining the highest ethical and business standards. Any fraud, misrepresentation or other malfeasance committed or aided by a Participant in connection with an Order Form or otherwise in connection with this Plan will be considered a serious violation of the Participant’s professional duties, and may render the Participant disqualified from eligibility for participation in the Plan and/or ineligible to earn any or all Commissions, MBO Bonus or SPIFF bonus that the Participant would otherwise have been eligible for with respect to such Order Form and may be considered grounds for immediate termination of employment, to the fullest extent allowed by law. Such unethical acts include but are not limited to the following:</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6.1.Proposing or entering into any unauthorized “side letter” or into any other understanding with a customer that is not reflected in a written contract signed by an authorized representative of Nextdoor and delivered to Nextdoor’s legal department;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6.2.Making false statements or claims (e.g., knowingly misrepresenting facts to Nextdoor personnel, customers, or third parties with the intent to induce action or inaction, or reliance on the deception);</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6.3.Offering or providing bribes or kickbacks;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6.4.Misusing Nextdoor’s, a customer’s, or partner’s confidential information;</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6.5.Falsifying records or documents; or</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6.6.Failure to follow established Nextdoor policies, including sales policies and procedures set forth in this Plan or communicated to you in writing by Nextdoor legal, human resources, sales operations, or finance departments, any approval matrix issued in writing by Nextdoor.</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7.</w:t>
      </w:r>
      <w:r>
        <w:rPr>
          <w:rFonts w:ascii="Times New Roman;sans-serif" w:hAnsi="Times New Roman;sans-serif"/>
          <w:b/>
          <w:color w:val="000000"/>
          <w:sz w:val="22"/>
          <w:u w:val="single"/>
        </w:rPr>
        <w:t>Leaves of Absences and Transfers</w:t>
      </w:r>
      <w:r>
        <w:rPr>
          <w:rFonts w:ascii="Times New Roman;sans-serif" w:hAnsi="Times New Roman;sans-serif"/>
          <w:b w:val="false"/>
          <w:color w:val="000000"/>
          <w:sz w:val="22"/>
        </w:rPr>
        <w:t xml:space="preserve">. A Participant on an approved leave of absence who performed work for the Company during the Plan Period will be eligible to receive Commissions attributable to Participant’s sales activity prior to the date the leave commences, which will be paid pursuant to the timing set forth in Section 4. A Participant’s Sales Quota may be adjusted at the Company's discretion to reflect a leave of absence, subject to any legal requirements. Participants who are promoted or transferred into another Company position in which they are no longer a Participant under this Plan will be eligible to receive Commissions attributable to sales activity by that Participant as of the effective transfer date. An employee who remains a Participant but receives a new Schedule will be eligible to receive Commissions based on the old Schedule through the effective date of the new Schedule and will be eligible to receive Commissions based on the new Schedule from the effective date of the new Schedule. </w:t>
      </w:r>
    </w:p>
    <w:p>
      <w:pPr>
        <w:pStyle w:val="TextBody"/>
        <w:bidi w:val="0"/>
        <w:jc w:val="both"/>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10.18</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33350"/>
                <wp:effectExtent l="0" t="0" r="0" b="0"/>
                <wp:wrapNone/>
                <wp:docPr id="134" name="Frame1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40" w:before="0" w:after="0"/>
                              <w:jc w:val="left"/>
                              <w:rPr>
                                <w:rFonts w:ascii="Lato;sans-serif" w:hAnsi="Lato;sans-serif"/>
                                <w:b w:val="false"/>
                                <w:color w:val="000000"/>
                                <w:sz w:val="18"/>
                              </w:rPr>
                            </w:pPr>
                            <w:r>
                              <w:rPr>
                                <w:rFonts w:ascii="Lato;sans-serif" w:hAnsi="Lato;sans-serif"/>
                                <w:b w:val="false"/>
                                <w:color w:val="000000"/>
                                <w:sz w:val="18"/>
                              </w:rPr>
                              <w:t>2023 Incentive Compensation Plan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240" w:before="0" w:after="0"/>
                        <w:jc w:val="left"/>
                        <w:rPr>
                          <w:rFonts w:ascii="Lato;sans-serif" w:hAnsi="Lato;sans-serif"/>
                          <w:b w:val="false"/>
                          <w:color w:val="000000"/>
                          <w:sz w:val="18"/>
                        </w:rPr>
                      </w:pPr>
                      <w:r>
                        <w:rPr>
                          <w:rFonts w:ascii="Lato;sans-serif" w:hAnsi="Lato;sans-serif"/>
                          <w:b w:val="false"/>
                          <w:color w:val="000000"/>
                          <w:sz w:val="18"/>
                        </w:rPr>
                        <w:t>2023 Incentive Compensation Plan</w:t>
                      </w:r>
                    </w:p>
                  </w:txbxContent>
                </v:textbox>
                <w10:wrap type="none"/>
              </v:rect>
            </w:pict>
          </mc:Fallback>
        </mc:AlternateContent>
      </w:r>
    </w:p>
    <w:p>
      <w:pPr>
        <w:pStyle w:val="TextBody"/>
        <w:bidi w:val="0"/>
        <w:spacing w:lineRule="auto" w:line="240" w:before="0" w:after="0"/>
        <w:ind w:left="0" w:right="0" w:hanging="360"/>
        <w:jc w:val="both"/>
        <w:rPr/>
      </w:pPr>
      <w:r>
        <w:rPr>
          <w:rFonts w:ascii="Times New Roman;sans-serif" w:hAnsi="Times New Roman;sans-serif"/>
          <w:b w:val="false"/>
          <w:color w:val="000000"/>
          <w:sz w:val="22"/>
        </w:rPr>
        <w:t>8.</w:t>
      </w:r>
      <w:r>
        <w:rPr>
          <w:rFonts w:ascii="Times New Roman;sans-serif" w:hAnsi="Times New Roman;sans-serif"/>
          <w:b/>
          <w:color w:val="000000"/>
          <w:sz w:val="22"/>
          <w:u w:val="single"/>
        </w:rPr>
        <w:t>Employment Relationship; Termination of Employment</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8.1.</w:t>
      </w:r>
      <w:r>
        <w:rPr>
          <w:rFonts w:ascii="Times New Roman;sans-serif" w:hAnsi="Times New Roman;sans-serif"/>
          <w:b/>
          <w:color w:val="000000"/>
          <w:sz w:val="22"/>
          <w:u w:val="single"/>
        </w:rPr>
        <w:t>No Guarantee of Employment</w:t>
      </w:r>
      <w:r>
        <w:rPr>
          <w:rFonts w:ascii="Times New Roman;sans-serif" w:hAnsi="Times New Roman;sans-serif"/>
          <w:b w:val="false"/>
          <w:color w:val="000000"/>
          <w:sz w:val="22"/>
        </w:rPr>
        <w:t>. Participant acknowledges and understands that this Plan does not establish employment for any definite term and does not alter the at-will nature of Participant’s employment relationship.</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8.2.</w:t>
      </w:r>
      <w:r>
        <w:rPr>
          <w:rFonts w:ascii="Times New Roman;sans-serif" w:hAnsi="Times New Roman;sans-serif"/>
          <w:b/>
          <w:color w:val="000000"/>
          <w:sz w:val="22"/>
          <w:u w:val="single"/>
        </w:rPr>
        <w:t>Termination of Employment</w:t>
      </w:r>
      <w:r>
        <w:rPr>
          <w:rFonts w:ascii="Times New Roman;sans-serif" w:hAnsi="Times New Roman;sans-serif"/>
          <w:b w:val="false"/>
          <w:color w:val="000000"/>
          <w:sz w:val="22"/>
        </w:rPr>
        <w:t xml:space="preserve">. A Participant whose employment with the Company terminates (for any reason) shall only be entitled to payment of Earned Commissions that are earned per Section 4.1 above as of the date of termination. Such Earned Commissions shall be paid in accordance with Section 4.4 unless otherwise required by applicable law. Because continued employment is a condition of earning a MBO Bonus or SPIFF award, a Participant will not be eligible to earn either if their employment ends before the payout date.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8.3.</w:t>
      </w:r>
      <w:r>
        <w:rPr>
          <w:rFonts w:ascii="Times New Roman;sans-serif" w:hAnsi="Times New Roman;sans-serif"/>
          <w:b/>
          <w:color w:val="000000"/>
          <w:sz w:val="22"/>
          <w:u w:val="single"/>
        </w:rPr>
        <w:t>No Additional Commissions</w:t>
      </w:r>
      <w:r>
        <w:rPr>
          <w:rFonts w:ascii="Times New Roman;sans-serif" w:hAnsi="Times New Roman;sans-serif"/>
          <w:b w:val="false"/>
          <w:color w:val="000000"/>
          <w:sz w:val="22"/>
        </w:rPr>
        <w:t>. Except for Participant’s Base Salary, Participant shall not be entitled to any compensation of any kind relating to sales or potential sales not specifically provided for in this Plan.</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9.</w:t>
      </w:r>
      <w:r>
        <w:rPr>
          <w:rFonts w:ascii="Times New Roman;sans-serif" w:hAnsi="Times New Roman;sans-serif"/>
          <w:b/>
          <w:color w:val="000000"/>
          <w:sz w:val="22"/>
          <w:u w:val="single"/>
        </w:rPr>
        <w:t>Amendment or Termination of Plan</w:t>
      </w:r>
      <w:r>
        <w:rPr>
          <w:rFonts w:ascii="Times New Roman;sans-serif" w:hAnsi="Times New Roman;sans-serif"/>
          <w:b w:val="false"/>
          <w:color w:val="000000"/>
          <w:sz w:val="22"/>
        </w:rPr>
        <w:t>. Nextdoor reserves and retains the right to modify, rescind or terminate this Plan, in whole or in part, at its sole discretion upon not less than ten (10) days prior written notice to Participants. Further, Nextdoor does not have any obligation under this Plan or otherwise to adopt this or any other compensation plan in the future. In the event of any amendments or modifications to the Plan, and if requested by Nextdoor, a Participant must execute an additional acknowledgment of such modifications or amendments to remain a Participant.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10.</w:t>
      </w:r>
      <w:r>
        <w:rPr>
          <w:rFonts w:ascii="Times New Roman;sans-serif" w:hAnsi="Times New Roman;sans-serif"/>
          <w:b/>
          <w:color w:val="000000"/>
          <w:sz w:val="22"/>
          <w:u w:val="single"/>
        </w:rPr>
        <w:t>Entire Agreement</w:t>
      </w:r>
      <w:r>
        <w:rPr>
          <w:rFonts w:ascii="Times New Roman;sans-serif" w:hAnsi="Times New Roman;sans-serif"/>
          <w:b w:val="false"/>
          <w:color w:val="000000"/>
          <w:sz w:val="22"/>
        </w:rPr>
        <w:t>. This Plan, the Schedule and any SPIFF announcements together contain the entire understanding between a Participant and Nextdoor concerning the terms and conditions described herein and therein. Any prior understanding, representations, plans or agreements (including the 2019 Incentive Compensation Plan), whether oral or written, are superseded and replaced by this Plan. If any of the terms of this Plan expressly conﬂict with mandatory provisions of applicable law, such applicable law shall supersede the conﬂicting terms of this Plan.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Please sign below to acknowledge your receipt, review and acceptance of this Plan document.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Acknowledged and Agreed to by Participant: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Signature: _______________________________________</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Print Name: _____________________________________</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Date: ____________________________________________</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ind w:left="0" w:right="0" w:hanging="2"/>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10.23</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33350"/>
                <wp:effectExtent l="0" t="0" r="0" b="0"/>
                <wp:wrapNone/>
                <wp:docPr id="135" name="Frame1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40" w:before="0" w:after="0"/>
                              <w:jc w:val="left"/>
                              <w:rPr>
                                <w:rFonts w:ascii="Lato;sans-serif" w:hAnsi="Lato;sans-serif"/>
                                <w:b w:val="false"/>
                                <w:color w:val="000000"/>
                                <w:sz w:val="18"/>
                              </w:rPr>
                            </w:pPr>
                            <w:r>
                              <w:rPr>
                                <w:rFonts w:ascii="Lato;sans-serif" w:hAnsi="Lato;sans-serif"/>
                                <w:b w:val="false"/>
                                <w:color w:val="000000"/>
                                <w:sz w:val="18"/>
                              </w:rPr>
                              <w:t>2023 Incentive Compensation Plan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16.65pt;mso-position-horizontal:left;mso-position-horizontal-relative:text">
                <v:textbox>
                  <w:txbxContent>
                    <w:p>
                      <w:pPr>
                        <w:pStyle w:val="TextBody"/>
                        <w:bidi w:val="0"/>
                        <w:spacing w:lineRule="auto" w:line="240" w:before="0" w:after="0"/>
                        <w:jc w:val="left"/>
                        <w:rPr>
                          <w:rFonts w:ascii="Lato;sans-serif" w:hAnsi="Lato;sans-serif"/>
                          <w:b w:val="false"/>
                          <w:color w:val="000000"/>
                          <w:sz w:val="18"/>
                        </w:rPr>
                      </w:pPr>
                      <w:r>
                        <w:rPr>
                          <w:rFonts w:ascii="Lato;sans-serif" w:hAnsi="Lato;sans-serif"/>
                          <w:b w:val="false"/>
                          <w:color w:val="000000"/>
                          <w:sz w:val="18"/>
                        </w:rPr>
                        <w:t>2023 Incentive Compensation Plan</w:t>
                      </w:r>
                    </w:p>
                  </w:txbxContent>
                </v:textbox>
                <w10:wrap type="none"/>
              </v:rect>
            </w:pict>
          </mc:Fallback>
        </mc:AlternateContent>
      </w:r>
    </w:p>
    <w:p>
      <w:pPr>
        <w:pStyle w:val="TextBody"/>
        <w:bidi w:val="0"/>
        <w:spacing w:before="0" w:after="0"/>
        <w:ind w:left="0" w:right="0" w:hanging="2"/>
        <w:jc w:val="center"/>
        <w:rPr/>
      </w:pPr>
      <w:r>
        <w:rPr/>
        <w:drawing>
          <wp:inline distT="0" distB="0" distL="0" distR="0">
            <wp:extent cx="2343150" cy="419100"/>
            <wp:effectExtent l="0" t="0" r="0" b="0"/>
            <wp:docPr id="1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0" descr=""/>
                    <pic:cNvPicPr>
                      <a:picLocks noChangeAspect="1" noChangeArrowheads="1"/>
                    </pic:cNvPicPr>
                  </pic:nvPicPr>
                  <pic:blipFill>
                    <a:blip r:embed="rId46"/>
                    <a:stretch>
                      <a:fillRect/>
                    </a:stretch>
                  </pic:blipFill>
                  <pic:spPr bwMode="auto">
                    <a:xfrm>
                      <a:off x="0" y="0"/>
                      <a:ext cx="2343150" cy="419100"/>
                    </a:xfrm>
                    <a:prstGeom prst="rect">
                      <a:avLst/>
                    </a:prstGeom>
                  </pic:spPr>
                </pic:pic>
              </a:graphicData>
            </a:graphic>
          </wp:inline>
        </w:drawing>
      </w:r>
    </w:p>
    <w:p>
      <w:pPr>
        <w:pStyle w:val="TextBody"/>
        <w:bidi w:val="0"/>
        <w:spacing w:before="0" w:after="0"/>
        <w:ind w:left="0" w:right="0" w:hanging="2"/>
        <w:jc w:val="left"/>
        <w:rPr/>
      </w:pPr>
      <w:r>
        <w:rPr/>
      </w:r>
    </w:p>
    <w:p>
      <w:pPr>
        <w:pStyle w:val="TextBody"/>
        <w:bidi w:val="0"/>
        <w:spacing w:before="0" w:after="0"/>
        <w:ind w:left="0" w:right="0" w:hanging="2"/>
        <w:jc w:val="center"/>
        <w:rPr/>
      </w:pPr>
      <w:r>
        <w:rPr/>
      </w:r>
    </w:p>
    <w:p>
      <w:pPr>
        <w:pStyle w:val="TextBody"/>
        <w:bidi w:val="0"/>
        <w:spacing w:before="0" w:after="0"/>
        <w:ind w:left="0" w:right="0" w:hanging="2"/>
        <w:jc w:val="center"/>
        <w:rPr/>
      </w:pPr>
      <w:r>
        <w:rPr/>
      </w:r>
    </w:p>
    <w:p>
      <w:pPr>
        <w:pStyle w:val="TextBody"/>
        <w:bidi w:val="0"/>
        <w:spacing w:before="0" w:after="0"/>
        <w:ind w:left="0" w:right="0" w:hanging="2"/>
        <w:jc w:val="center"/>
        <w:rPr/>
      </w:pPr>
      <w:r>
        <w:rPr/>
      </w:r>
    </w:p>
    <w:p>
      <w:pPr>
        <w:pStyle w:val="TextBody"/>
        <w:bidi w:val="0"/>
        <w:spacing w:lineRule="auto" w:line="276" w:before="0" w:after="0"/>
        <w:ind w:left="0" w:right="0" w:hanging="2"/>
        <w:jc w:val="center"/>
        <w:rPr>
          <w:rFonts w:ascii="Times New Roman;sans-serif" w:hAnsi="Times New Roman;sans-serif"/>
          <w:b w:val="false"/>
          <w:color w:val="000000"/>
          <w:sz w:val="24"/>
        </w:rPr>
      </w:pPr>
      <w:r>
        <w:rPr>
          <w:rFonts w:ascii="Times New Roman;sans-serif" w:hAnsi="Times New Roman;sans-serif"/>
          <w:b w:val="false"/>
          <w:color w:val="000000"/>
          <w:sz w:val="24"/>
        </w:rPr>
        <w:t>November 7, 2023</w:t>
      </w:r>
    </w:p>
    <w:p>
      <w:pPr>
        <w:pStyle w:val="TextBody"/>
        <w:bidi w:val="0"/>
        <w:spacing w:before="0" w:after="0"/>
        <w:ind w:left="0" w:right="0" w:hanging="2"/>
        <w:jc w:val="left"/>
        <w:rPr/>
      </w:pPr>
      <w:r>
        <w:rPr/>
      </w:r>
    </w:p>
    <w:p>
      <w:pPr>
        <w:pStyle w:val="TextBody"/>
        <w:bidi w:val="0"/>
        <w:spacing w:before="0" w:after="0"/>
        <w:ind w:left="0" w:right="0" w:hanging="2"/>
        <w:jc w:val="right"/>
        <w:rPr/>
      </w:pPr>
      <w:r>
        <w:rPr/>
      </w:r>
    </w:p>
    <w:p>
      <w:pPr>
        <w:pStyle w:val="TextBody"/>
        <w:bidi w:val="0"/>
        <w:spacing w:lineRule="auto" w:line="276" w:before="0" w:after="0"/>
        <w:ind w:left="0" w:right="0" w:hanging="2"/>
        <w:jc w:val="left"/>
        <w:rPr>
          <w:color w:val="000000"/>
        </w:rPr>
      </w:pPr>
      <w:r>
        <w:rPr>
          <w:color w:val="000000"/>
        </w:rPr>
        <w:t>                </w:t>
      </w:r>
    </w:p>
    <w:p>
      <w:pPr>
        <w:pStyle w:val="TextBody"/>
        <w:bidi w:val="0"/>
        <w:spacing w:lineRule="auto" w:line="276"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Mike Doyle</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76" w:before="0" w:after="240"/>
        <w:ind w:left="0" w:right="0" w:hanging="2"/>
        <w:jc w:val="left"/>
        <w:rPr/>
      </w:pPr>
      <w:r>
        <w:rPr>
          <w:rFonts w:ascii="Times New Roman;sans-serif" w:hAnsi="Times New Roman;sans-serif"/>
          <w:b w:val="false"/>
          <w:color w:val="000000"/>
          <w:sz w:val="24"/>
        </w:rPr>
        <w:t>Re:    </w:t>
      </w:r>
      <w:r>
        <w:rPr>
          <w:rFonts w:ascii="Times New Roman;sans-serif" w:hAnsi="Times New Roman;sans-serif"/>
          <w:b w:val="false"/>
          <w:color w:val="000000"/>
          <w:sz w:val="24"/>
          <w:u w:val="single"/>
        </w:rPr>
        <w:t>Terms of Transition and Separation</w:t>
      </w:r>
    </w:p>
    <w:p>
      <w:pPr>
        <w:pStyle w:val="TextBody"/>
        <w:bidi w:val="0"/>
        <w:spacing w:lineRule="auto" w:line="276" w:before="0" w:after="24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Dear Mike:</w:t>
      </w:r>
    </w:p>
    <w:p>
      <w:pPr>
        <w:pStyle w:val="TextBody"/>
        <w:bidi w:val="0"/>
        <w:spacing w:lineRule="auto" w:line="276" w:before="0" w:after="240"/>
        <w:ind w:left="0" w:right="0" w:hanging="2"/>
        <w:jc w:val="both"/>
        <w:rPr/>
      </w:pPr>
      <w:r>
        <w:rPr>
          <w:rFonts w:ascii="Times New Roman;sans-serif" w:hAnsi="Times New Roman;sans-serif"/>
          <w:b w:val="false"/>
          <w:color w:val="000000"/>
          <w:sz w:val="24"/>
        </w:rPr>
        <w:t>This letter confirms the agreement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between you and Nextdoor, Inc. (together with its parent,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concerning the terms of your transition and separation from employment and offers you the separation compensation we discussed in exchange for a general release of claims and covenant not to sue now and upon the Separation Date (as defined below).</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1.</w:t>
      </w:r>
      <w:r>
        <w:rPr>
          <w:rFonts w:ascii="Times New Roman;sans-serif" w:hAnsi="Times New Roman;sans-serif"/>
          <w:b w:val="false"/>
          <w:color w:val="000000"/>
          <w:sz w:val="24"/>
          <w:u w:val="single"/>
        </w:rPr>
        <w:t>Separation</w:t>
      </w:r>
      <w:r>
        <w:rPr>
          <w:color w:val="000000"/>
          <w:u w:val="single"/>
        </w:rPr>
        <w:t xml:space="preserve"> </w:t>
      </w:r>
      <w:r>
        <w:rPr>
          <w:rFonts w:ascii="Times New Roman;sans-serif" w:hAnsi="Times New Roman;sans-serif"/>
          <w:b w:val="false"/>
          <w:color w:val="000000"/>
          <w:sz w:val="24"/>
          <w:u w:val="single"/>
        </w:rPr>
        <w:t>Date</w:t>
      </w:r>
      <w:r>
        <w:rPr>
          <w:rFonts w:ascii="Times New Roman;sans-serif" w:hAnsi="Times New Roman;sans-serif"/>
          <w:b w:val="false"/>
          <w:color w:val="000000"/>
          <w:sz w:val="24"/>
        </w:rPr>
        <w:t>: December 1, 2023 will be your last day of employment with the Company (the “</w:t>
      </w:r>
      <w:r>
        <w:rPr>
          <w:rFonts w:ascii="Times New Roman;sans-serif" w:hAnsi="Times New Roman;sans-serif"/>
          <w:b/>
          <w:i/>
          <w:color w:val="000000"/>
          <w:sz w:val="24"/>
        </w:rPr>
        <w:t>Separation</w:t>
      </w:r>
      <w:r>
        <w:rPr>
          <w:color w:val="000000"/>
        </w:rPr>
        <w:t xml:space="preserve"> </w:t>
      </w:r>
      <w:r>
        <w:rPr>
          <w:rFonts w:ascii="Times New Roman;sans-serif" w:hAnsi="Times New Roman;sans-serif"/>
          <w:b/>
          <w:i/>
          <w:color w:val="000000"/>
          <w:sz w:val="24"/>
        </w:rPr>
        <w:t>Date</w:t>
      </w:r>
      <w:r>
        <w:rPr>
          <w:color w:val="000000"/>
        </w:rPr>
        <w:t>”</w:t>
      </w:r>
      <w:r>
        <w:rPr>
          <w:rFonts w:ascii="Times New Roman;sans-serif" w:hAnsi="Times New Roman;sans-serif"/>
          <w:b w:val="false"/>
          <w:color w:val="000000"/>
          <w:sz w:val="24"/>
        </w:rPr>
        <w:t>), subject to the at-will nature of your employment during the Transition Period (as defined below). You resign from your position as Chief Financial Officer of the Company and any other positions you have as an officer or director of the Company or any of its subsidiaries, effective November 7, 2023.</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2.</w:t>
      </w:r>
      <w:r>
        <w:rPr>
          <w:rFonts w:ascii="Times New Roman;sans-serif" w:hAnsi="Times New Roman;sans-serif"/>
          <w:b w:val="false"/>
          <w:color w:val="000000"/>
          <w:sz w:val="24"/>
          <w:u w:val="single"/>
        </w:rPr>
        <w:t>Separation and Transition Compensation</w:t>
      </w:r>
      <w:r>
        <w:rPr>
          <w:rFonts w:ascii="Times New Roman;sans-serif" w:hAnsi="Times New Roman;sans-serif"/>
          <w:b w:val="false"/>
          <w:color w:val="000000"/>
          <w:sz w:val="24"/>
        </w:rPr>
        <w:t>: In exchange for your agreement to the general release and waiver of claims and covenant not to sue now and upon the Separation Date (as set forth below and on Exhibit A hereto) and your other promises herein, and consistent with the terms set forth in that Change in Control and Severance Agreement between you and the Company dated October 31, 2021 (the “</w:t>
      </w:r>
      <w:r>
        <w:rPr>
          <w:rFonts w:ascii="Times New Roman;sans-serif" w:hAnsi="Times New Roman;sans-serif"/>
          <w:b/>
          <w:i/>
          <w:color w:val="000000"/>
          <w:sz w:val="24"/>
        </w:rPr>
        <w:t>CIC Severance Agreement</w:t>
      </w:r>
      <w:r>
        <w:rPr>
          <w:color w:val="000000"/>
        </w:rPr>
        <w:t>”</w:t>
      </w:r>
      <w:r>
        <w:rPr>
          <w:rFonts w:ascii="Times New Roman;sans-serif" w:hAnsi="Times New Roman;sans-serif"/>
          <w:b w:val="false"/>
          <w:color w:val="000000"/>
          <w:sz w:val="24"/>
        </w:rPr>
        <w:t>), the Company agrees to provide you with the following:</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a.</w:t>
      </w:r>
      <w:r>
        <w:rPr>
          <w:rFonts w:ascii="Times New Roman;sans-serif" w:hAnsi="Times New Roman;sans-serif"/>
          <w:b w:val="false"/>
          <w:color w:val="000000"/>
          <w:sz w:val="24"/>
          <w:u w:val="single"/>
        </w:rPr>
        <w:t>Transitional Period</w:t>
      </w:r>
      <w:r>
        <w:rPr>
          <w:rFonts w:ascii="Times New Roman;sans-serif" w:hAnsi="Times New Roman;sans-serif"/>
          <w:b w:val="false"/>
          <w:color w:val="000000"/>
          <w:sz w:val="24"/>
        </w:rPr>
        <w:t>: During the period between November 7, 2023 and the Separation Date (the “</w:t>
      </w:r>
      <w:r>
        <w:rPr>
          <w:rFonts w:ascii="Times New Roman;sans-serif" w:hAnsi="Times New Roman;sans-serif"/>
          <w:b/>
          <w:i/>
          <w:color w:val="000000"/>
          <w:sz w:val="24"/>
        </w:rPr>
        <w:t>Transition Period</w:t>
      </w:r>
      <w:r>
        <w:rPr>
          <w:color w:val="000000"/>
        </w:rPr>
        <w:t>”</w:t>
      </w:r>
      <w:r>
        <w:rPr>
          <w:rFonts w:ascii="Times New Roman;sans-serif" w:hAnsi="Times New Roman;sans-serif"/>
          <w:b w:val="false"/>
          <w:color w:val="000000"/>
          <w:sz w:val="24"/>
        </w:rPr>
        <w:t>), you will continue to carry out certain duties and responsibilities to the Company, and provide transition services as may reasonably be requested by the Company, including transition of the responsibilities, duties, and knowledge relative to your position (the “</w:t>
      </w:r>
      <w:r>
        <w:rPr>
          <w:rFonts w:ascii="Times New Roman;sans-serif" w:hAnsi="Times New Roman;sans-serif"/>
          <w:b/>
          <w:i/>
          <w:color w:val="000000"/>
          <w:sz w:val="24"/>
        </w:rPr>
        <w:t>Transition Services</w:t>
      </w:r>
      <w:r>
        <w:rPr>
          <w:color w:val="000000"/>
        </w:rPr>
        <w:t>”</w:t>
      </w:r>
      <w:r>
        <w:rPr>
          <w:rFonts w:ascii="Times New Roman;sans-serif" w:hAnsi="Times New Roman;sans-serif"/>
          <w:b w:val="false"/>
          <w:color w:val="000000"/>
          <w:sz w:val="24"/>
        </w:rPr>
        <w:t xml:space="preserve">). Your continued employment during the Transition Period is expressly conditioned upon you carrying out the Transition Services in a cooperative and diligent manner. </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i.</w:t>
      </w:r>
      <w:r>
        <w:rPr>
          <w:rFonts w:ascii="Times New Roman;sans-serif" w:hAnsi="Times New Roman;sans-serif"/>
          <w:b w:val="false"/>
          <w:color w:val="000000"/>
          <w:sz w:val="24"/>
          <w:u w:val="single"/>
        </w:rPr>
        <w:t>Compensation and Benefits</w:t>
      </w:r>
      <w:r>
        <w:rPr>
          <w:rFonts w:ascii="Times New Roman;sans-serif" w:hAnsi="Times New Roman;sans-serif"/>
          <w:b w:val="false"/>
          <w:color w:val="000000"/>
          <w:sz w:val="24"/>
        </w:rPr>
        <w:t>: During the Transition Period, the Company will continue to pay you your current base salary and you will continue to be eligible to participate in the benefits customarily afforded to other Company employees, including participation in the Company-</w: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Mike Doyle</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Page 2</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sponsored health benefits plan and continued vesting of Company equity awards, to the fullest extent permitted under the governing plan documents, agreements, and/or Company policies. </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b.</w:t>
      </w:r>
      <w:r>
        <w:rPr>
          <w:rFonts w:ascii="Times New Roman;sans-serif" w:hAnsi="Times New Roman;sans-serif"/>
          <w:b w:val="false"/>
          <w:color w:val="000000"/>
          <w:sz w:val="24"/>
          <w:u w:val="single"/>
        </w:rPr>
        <w:t>Separation Compensation</w:t>
      </w:r>
      <w:r>
        <w:rPr>
          <w:rFonts w:ascii="Times New Roman;sans-serif" w:hAnsi="Times New Roman;sans-serif"/>
          <w:b w:val="false"/>
          <w:color w:val="000000"/>
          <w:sz w:val="24"/>
        </w:rPr>
        <w:t>: Provided that you cooperatively and diligently carry out the Transition Services, as reasonably determined by the Company in its sole discretion, then, in exchange for your agreement to the general release and waiver of claims and covenant not to sue set forth in Exhibit A (the “</w:t>
      </w:r>
      <w:r>
        <w:rPr>
          <w:rFonts w:ascii="Times New Roman;sans-serif" w:hAnsi="Times New Roman;sans-serif"/>
          <w:b/>
          <w:i/>
          <w:color w:val="000000"/>
          <w:sz w:val="24"/>
        </w:rPr>
        <w:t>Second Release</w:t>
      </w:r>
      <w:r>
        <w:rPr>
          <w:color w:val="000000"/>
        </w:rPr>
        <w:t>”</w:t>
      </w:r>
      <w:r>
        <w:rPr>
          <w:rFonts w:ascii="Times New Roman;sans-serif" w:hAnsi="Times New Roman;sans-serif"/>
          <w:b w:val="false"/>
          <w:color w:val="000000"/>
          <w:sz w:val="24"/>
        </w:rPr>
        <w:t>), to be signed no earlier than the Separation Date, and your other promises herein, the Company agrees as follows:</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i.</w:t>
      </w:r>
      <w:r>
        <w:rPr>
          <w:rFonts w:ascii="Times New Roman;sans-serif" w:hAnsi="Times New Roman;sans-serif"/>
          <w:b w:val="false"/>
          <w:color w:val="000000"/>
          <w:sz w:val="24"/>
          <w:u w:val="single"/>
        </w:rPr>
        <w:t>Severance</w:t>
      </w:r>
      <w:r>
        <w:rPr>
          <w:rFonts w:ascii="Times New Roman;sans-serif" w:hAnsi="Times New Roman;sans-serif"/>
          <w:b w:val="false"/>
          <w:color w:val="000000"/>
          <w:sz w:val="24"/>
        </w:rPr>
        <w:t xml:space="preserve">: The Company agrees to pay you, within ten (10) business days following the effectiveness of the Second Release (as provided therein) of this Agreement, a lump sum payment in the gross amount of $237,500, less applicable state and federal payroll deductions, which equals six (6) months of your base salary. </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ii.</w:t>
      </w:r>
      <w:r>
        <w:rPr>
          <w:rFonts w:ascii="Times New Roman;sans-serif" w:hAnsi="Times New Roman;sans-serif"/>
          <w:b w:val="false"/>
          <w:color w:val="000000"/>
          <w:sz w:val="24"/>
          <w:u w:val="single"/>
        </w:rPr>
        <w:t>COBRA</w:t>
      </w:r>
      <w:r>
        <w:rPr>
          <w:rFonts w:ascii="Times New Roman;sans-serif" w:hAnsi="Times New Roman;sans-serif"/>
          <w:b w:val="false"/>
          <w:color w:val="000000"/>
          <w:sz w:val="24"/>
        </w:rPr>
        <w:t>: Upon your timely election to continue your existing health benefits under COBRA, and consistent with the terms of COBRA and the Company’s health insurance plan, the Company will pay the insurance premiums to continue your existing health benefits for six (6) months following the Separation</w:t>
      </w:r>
      <w:r>
        <w:rPr>
          <w:color w:val="000000"/>
        </w:rPr>
        <w:t xml:space="preserve"> </w:t>
      </w:r>
      <w:r>
        <w:rPr>
          <w:rFonts w:ascii="Times New Roman;sans-serif" w:hAnsi="Times New Roman;sans-serif"/>
          <w:b w:val="false"/>
          <w:color w:val="000000"/>
          <w:sz w:val="24"/>
        </w:rPr>
        <w:t>Date. You will remain responsible for, and must continue to pay, the portion of premiums, co-payments, etc. that you would have paid had your employment continued.</w:t>
      </w:r>
    </w:p>
    <w:p>
      <w:pPr>
        <w:pStyle w:val="TextBody"/>
        <w:bidi w:val="0"/>
        <w:spacing w:lineRule="auto" w:line="276" w:before="0" w:after="240"/>
        <w:ind w:left="0" w:right="0" w:hanging="2"/>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you acknowledge that you are receiving the separation compensation outlined in this section in consideration for waiving your rights to claims referred to in this Agreement (and the Second Release, if applicable) and that you would not otherwise be entitled to the separation compensation.</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3.</w:t>
      </w:r>
      <w:r>
        <w:rPr>
          <w:rFonts w:ascii="Times New Roman;sans-serif" w:hAnsi="Times New Roman;sans-serif"/>
          <w:b w:val="false"/>
          <w:color w:val="000000"/>
          <w:sz w:val="24"/>
          <w:u w:val="single"/>
        </w:rPr>
        <w:t>Return of Company Property</w:t>
      </w:r>
      <w:r>
        <w:rPr>
          <w:rFonts w:ascii="Times New Roman;sans-serif" w:hAnsi="Times New Roman;sans-serif"/>
          <w:b w:val="false"/>
          <w:color w:val="000000"/>
          <w:sz w:val="24"/>
        </w:rPr>
        <w:t>: You hereby warrant to the Company that, not later than your final date of employment, you will have returned to the Company all property or data of the Company of any type whatsoever that has been in your possession or control.</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4.</w:t>
      </w:r>
      <w:r>
        <w:rPr>
          <w:rFonts w:ascii="Times New Roman;sans-serif" w:hAnsi="Times New Roman;sans-serif"/>
          <w:b w:val="false"/>
          <w:color w:val="000000"/>
          <w:sz w:val="24"/>
          <w:u w:val="single"/>
        </w:rPr>
        <w:t>Post-Employment Obligations</w:t>
      </w:r>
      <w:r>
        <w:rPr>
          <w:rFonts w:ascii="Times New Roman;sans-serif" w:hAnsi="Times New Roman;sans-serif"/>
          <w:b w:val="false"/>
          <w:color w:val="000000"/>
          <w:sz w:val="24"/>
        </w:rPr>
        <w:t>: You hereby acknowledge that: (a) you continue to be bound by the attached Employee Invention Assignment and Confidentiality Agreement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hereto); (b) as a result of your employment with the Company, you have had access to the Company’s proprietary and/or confidential information, and you will continue to hold all such information in strictest confidence and not make use of it on behalf of anyone; and (c) you must, and by your signature below confirm that you shall, deliver to the Company, no later than the Separation Date, all documents and data of any nature containing or pertaining to such information, and not take with you, or otherwise retain in any respect, any such documents or data or any reproduction thereof.</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5.</w:t>
      </w:r>
      <w:r>
        <w:rPr>
          <w:rFonts w:ascii="Times New Roman;sans-serif" w:hAnsi="Times New Roman;sans-serif"/>
          <w:b w:val="false"/>
          <w:color w:val="000000"/>
          <w:sz w:val="24"/>
          <w:u w:val="single"/>
        </w:rPr>
        <w:t>Stock Options and Restricted Stock Units</w:t>
      </w:r>
      <w:r>
        <w:rPr>
          <w:rFonts w:ascii="Times New Roman;sans-serif" w:hAnsi="Times New Roman;sans-serif"/>
          <w:b w:val="false"/>
          <w:color w:val="000000"/>
          <w:sz w:val="24"/>
        </w:rPr>
        <w:t>: The Company previously granted you certain awards of stock options (collectively, the “</w:t>
      </w:r>
      <w:r>
        <w:rPr>
          <w:rFonts w:ascii="Times New Roman;sans-serif" w:hAnsi="Times New Roman;sans-serif"/>
          <w:b/>
          <w:color w:val="000000"/>
          <w:sz w:val="24"/>
        </w:rPr>
        <w:t>Options</w:t>
      </w:r>
      <w:r>
        <w:rPr>
          <w:color w:val="000000"/>
        </w:rPr>
        <w:t>”</w:t>
      </w:r>
      <w:r>
        <w:rPr>
          <w:rFonts w:ascii="Times New Roman;sans-serif" w:hAnsi="Times New Roman;sans-serif"/>
          <w:b w:val="false"/>
          <w:color w:val="000000"/>
          <w:sz w:val="24"/>
        </w:rPr>
        <w:t>) and restricted stock units (collectively, the “</w:t>
      </w:r>
      <w:r>
        <w:rPr>
          <w:rFonts w:ascii="Times New Roman;sans-serif" w:hAnsi="Times New Roman;sans-serif"/>
          <w:b/>
          <w:color w:val="000000"/>
          <w:sz w:val="24"/>
        </w:rPr>
        <w:t>RSUs</w:t>
      </w:r>
      <w:r>
        <w:rPr>
          <w:color w:val="000000"/>
        </w:rPr>
        <w:t>”</w:t>
      </w:r>
      <w:r>
        <w:rPr>
          <w:rFonts w:ascii="Times New Roman;sans-serif" w:hAnsi="Times New Roman;sans-serif"/>
          <w:b w:val="false"/>
          <w:color w:val="000000"/>
          <w:sz w:val="24"/>
        </w:rPr>
        <w:t>) under the Company’s 2018 Equity Incentive Plan (the “</w:t>
      </w:r>
      <w:r>
        <w:rPr>
          <w:rFonts w:ascii="Times New Roman;sans-serif" w:hAnsi="Times New Roman;sans-serif"/>
          <w:b/>
          <w:color w:val="000000"/>
          <w:sz w:val="24"/>
        </w:rPr>
        <w:t>2018 Plan</w:t>
      </w:r>
      <w:r>
        <w:rPr>
          <w:color w:val="000000"/>
        </w:rPr>
        <w:t>”</w:t>
      </w:r>
      <w:r>
        <w:rPr>
          <w:rFonts w:ascii="Times New Roman;sans-serif" w:hAnsi="Times New Roman;sans-serif"/>
          <w:b w:val="false"/>
          <w:color w:val="000000"/>
          <w:sz w:val="24"/>
        </w:rPr>
        <w:t>) and the Nextdoor Holdings, Inc. 2021 Equity Incentive Plan (the “</w:t>
      </w:r>
      <w:r>
        <w:rPr>
          <w:rFonts w:ascii="Times New Roman;sans-serif" w:hAnsi="Times New Roman;sans-serif"/>
          <w:b/>
          <w:color w:val="000000"/>
          <w:sz w:val="24"/>
        </w:rPr>
        <w:t>2021 Plan</w:t>
      </w:r>
      <w:r>
        <w:rPr>
          <w:color w:val="000000"/>
        </w:rPr>
        <w:t xml:space="preserve">” </w:t>
      </w:r>
      <w:r>
        <w:rPr>
          <w:rFonts w:ascii="Times New Roman;sans-serif" w:hAnsi="Times New Roman;sans-serif"/>
          <w:b w:val="false"/>
          <w:color w:val="000000"/>
          <w:sz w:val="24"/>
        </w:rPr>
        <w:t>and together with the 2018 Plan, the “</w:t>
      </w:r>
      <w:r>
        <w:rPr>
          <w:rFonts w:ascii="Times New Roman;sans-serif" w:hAnsi="Times New Roman;sans-serif"/>
          <w:b/>
          <w:color w:val="000000"/>
          <w:sz w:val="24"/>
        </w:rPr>
        <w:t>Plans</w:t>
      </w:r>
      <w:r>
        <w:rPr>
          <w:color w:val="000000"/>
        </w:rPr>
        <w:t>”</w:t>
      </w:r>
      <w:r>
        <w:rPr>
          <w:rFonts w:ascii="Times New Roman;sans-serif" w:hAnsi="Times New Roman;sans-serif"/>
          <w:b w:val="false"/>
          <w:color w:val="000000"/>
          <w:sz w:val="24"/>
        </w:rPr>
        <w:t xml:space="preserve">), as set forth in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 xml:space="preserve">hereto.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 xml:space="preserve">sets forth the unvested, vested, and exercised shares subject to the Options as of the Separation Date, and the unvested and vested shares </w: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Mike Doyle</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Page 3</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76" w:before="0" w:after="240"/>
        <w:jc w:val="both"/>
        <w:rPr/>
      </w:pPr>
      <w:r>
        <w:rPr>
          <w:rFonts w:ascii="Times New Roman;sans-serif" w:hAnsi="Times New Roman;sans-serif"/>
          <w:b w:val="false"/>
          <w:color w:val="000000"/>
          <w:sz w:val="24"/>
        </w:rPr>
        <w:t>subject to the RSUs as of the Separation Date. Because your employment is terminating on the Separation</w:t>
      </w:r>
      <w:r>
        <w:rPr>
          <w:color w:val="000000"/>
        </w:rPr>
        <w:t xml:space="preserve"> </w:t>
      </w:r>
      <w:r>
        <w:rPr>
          <w:rFonts w:ascii="Times New Roman;sans-serif" w:hAnsi="Times New Roman;sans-serif"/>
          <w:b w:val="false"/>
          <w:color w:val="000000"/>
          <w:sz w:val="24"/>
        </w:rPr>
        <w:t>Date, none of the unvested shares subject to your Options or RSUs can ever vest following the Separation Date. Your rights concerning the Options and RSUs will continue to be governed by their respective Plans, Stock Option Agreements and Restricted Stock Unit Agreements (collectively, the “</w:t>
      </w:r>
      <w:r>
        <w:rPr>
          <w:rFonts w:ascii="Times New Roman;sans-serif" w:hAnsi="Times New Roman;sans-serif"/>
          <w:b/>
          <w:color w:val="000000"/>
          <w:sz w:val="24"/>
        </w:rPr>
        <w:t>Stock Plan Agreements</w:t>
      </w:r>
      <w:r>
        <w:rPr>
          <w:color w:val="000000"/>
        </w:rPr>
        <w:t>”</w:t>
      </w:r>
      <w:r>
        <w:rPr>
          <w:rFonts w:ascii="Times New Roman;sans-serif" w:hAnsi="Times New Roman;sans-serif"/>
          <w:b w:val="false"/>
          <w:color w:val="000000"/>
          <w:sz w:val="24"/>
        </w:rPr>
        <w:t>). Per the Stock Option Agreements governing the Options, you will have three (3) months following the Separation Date to exercise any unexercised vested shares subject to the Options. After this date, you will no longer have a right to exercise the Options as to any shares.</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6.</w:t>
      </w:r>
      <w:r>
        <w:rPr>
          <w:rFonts w:ascii="Times New Roman;sans-serif" w:hAnsi="Times New Roman;sans-serif"/>
          <w:b w:val="false"/>
          <w:color w:val="000000"/>
          <w:sz w:val="24"/>
          <w:u w:val="single"/>
        </w:rPr>
        <w:t>General Release and Waiver of Claims</w:t>
      </w:r>
      <w:r>
        <w:rPr>
          <w:rFonts w:ascii="Times New Roman;sans-serif" w:hAnsi="Times New Roman;sans-serif"/>
          <w:b w:val="false"/>
          <w:color w:val="000000"/>
          <w:sz w:val="24"/>
        </w:rPr>
        <w:t xml:space="preserve">: </w:t>
      </w:r>
    </w:p>
    <w:p>
      <w:pPr>
        <w:pStyle w:val="TextBody"/>
        <w:bidi w:val="0"/>
        <w:spacing w:lineRule="auto" w:line="276" w:before="0" w:after="240"/>
        <w:ind w:left="0" w:right="0" w:hanging="2"/>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payments and promises set forth in this Agreement and the Second Release are in full satisfaction of all of your rights pursuant to your CIC Severance Agreement, as well as all accrued salary, vacation pay, bonus and commission pay, profits haring, stock, stock options or other ownership interest in the Company, termination benefits or other compensation to which you may be entitled by virtue of your employment with the Company or your separation from the Company. To the fullest extent permitted by law, you hereby release and waive any claims you may have against the Company and its owners, agents, officers, shareholders, employees, directors, attorneys, subscribers, subsidiaries, affiliates, successors and assigns (collectively “</w:t>
      </w:r>
      <w:r>
        <w:rPr>
          <w:rFonts w:ascii="Times New Roman;sans-serif" w:hAnsi="Times New Roman;sans-serif"/>
          <w:b/>
          <w:i/>
          <w:color w:val="000000"/>
          <w:sz w:val="24"/>
        </w:rPr>
        <w:t>Releasees</w:t>
      </w:r>
      <w:r>
        <w:rPr>
          <w:color w:val="000000"/>
        </w:rPr>
        <w:t>”</w:t>
      </w:r>
      <w:r>
        <w:rPr>
          <w:rFonts w:ascii="Times New Roman;sans-serif" w:hAnsi="Times New Roman;sans-serif"/>
          <w:b w:val="false"/>
          <w:color w:val="000000"/>
          <w:sz w:val="24"/>
        </w:rPr>
        <w:t xml:space="preserve">),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your separation of employment, claims under Title VII of the 1964 Civil Rights Act, as amended, and any other laws and/or regulations relating to employment or employment discrimination, including, without limitation, claims under the Americans with Disabilities Act. By signing this Agreement, you are not releasing or waiving any claims under either the California Fair Employment and Housing Act, the Age Discrimination in Employment Act,the and/or Older Workers Benefit Protection Act; however, for the avoidance of doubt, you will release and waive such claims once you sign the Second Release. </w:t>
      </w:r>
    </w:p>
    <w:p>
      <w:pPr>
        <w:pStyle w:val="TextBody"/>
        <w:bidi w:val="0"/>
        <w:spacing w:lineRule="auto" w:line="276" w:before="0" w:after="240"/>
        <w:ind w:left="0" w:right="0" w:hanging="2"/>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By signing below, you expressly waive any benefits of Section 1542 of the Civil Code of the State of California, which provides as follows:</w:t>
      </w:r>
    </w:p>
    <w:p>
      <w:pPr>
        <w:pStyle w:val="TextBody"/>
        <w:bidi w:val="0"/>
        <w:spacing w:lineRule="auto" w:line="276" w:before="0" w:after="240"/>
        <w:ind w:left="0" w:right="0" w:hanging="2"/>
        <w:jc w:val="both"/>
        <w:rPr>
          <w:color w:val="000000"/>
        </w:rPr>
      </w:pPr>
      <w:r>
        <w:rPr>
          <w:color w:val="000000"/>
        </w:rPr>
        <w:t>“</w:t>
      </w:r>
      <w:r>
        <w:rPr>
          <w:rFonts w:ascii="Times New Roman;sans-serif" w:hAnsi="Times New Roman;sans-serif"/>
          <w:b w:val="false"/>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76" w:before="0" w:after="240"/>
        <w:ind w:left="0" w:right="0" w:hanging="2"/>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You and the Company do not intend to release claims that you may not release as a matter of law, including but not limited to claims for indemnity under California Labor Code Section 2802, or any claims for enforcement of this Agreement. To the fullest extent permitted by law, any dispute regarding the scope of this general release shall be determined by an arbitrator under the procedures set forth in the arbitration clause below.</w: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Mike Doyle</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Page 4</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76" w:before="0" w:after="240"/>
        <w:ind w:left="0" w:right="0" w:hanging="2"/>
        <w:jc w:val="both"/>
        <w:rPr/>
      </w:pPr>
      <w:r>
        <w:rPr>
          <w:rFonts w:ascii="Times New Roman;sans-serif" w:hAnsi="Times New Roman;sans-serif"/>
          <w:b w:val="false"/>
          <w:color w:val="010000"/>
          <w:sz w:val="24"/>
        </w:rPr>
        <w:t>7.</w:t>
      </w:r>
      <w:r>
        <w:rPr>
          <w:rFonts w:ascii="Times New Roman;sans-serif" w:hAnsi="Times New Roman;sans-serif"/>
          <w:b w:val="false"/>
          <w:color w:val="000000"/>
          <w:sz w:val="24"/>
          <w:u w:val="single"/>
        </w:rPr>
        <w:t>Covenant Not to Sue</w:t>
      </w:r>
      <w:r>
        <w:rPr>
          <w:rFonts w:ascii="Times New Roman;sans-serif" w:hAnsi="Times New Roman;sans-serif"/>
          <w:b w:val="false"/>
          <w:color w:val="000000"/>
          <w:sz w:val="24"/>
        </w:rPr>
        <w:t xml:space="preserve">: </w:t>
      </w:r>
    </w:p>
    <w:p>
      <w:pPr>
        <w:pStyle w:val="TextBody"/>
        <w:bidi w:val="0"/>
        <w:spacing w:lineRule="auto" w:line="276" w:before="0" w:after="240"/>
        <w:ind w:left="0" w:right="0" w:hanging="2"/>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To the fullest extent permitted by law, at no time subsequent to the execution of this Agreement will you pursue, or cause or knowingly permit the prosecution, in any state, federal or foreign court, or before any local, state, federal or foreign administrative agency, or any other tribunal, of any charge, claim or action of any kind, nature and character whatsoever, known or unknown, which you may now have, have ever had, or may in the future have against Releasees, which is based in whole or in part on any matter released by this Agreement. </w:t>
      </w:r>
    </w:p>
    <w:p>
      <w:pPr>
        <w:pStyle w:val="TextBody"/>
        <w:bidi w:val="0"/>
        <w:spacing w:lineRule="auto" w:line="276" w:before="0" w:after="240"/>
        <w:ind w:left="0" w:right="0" w:hanging="2"/>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Nothing in this section shall prohibit or impair you or the Company from complying with all applicable laws, nor shall this Agreement be construed to obligate either party to commit (or aid or abet in the commission of) any unlawful act.</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8.</w:t>
      </w:r>
      <w:r>
        <w:rPr>
          <w:rFonts w:ascii="Times New Roman;sans-serif" w:hAnsi="Times New Roman;sans-serif"/>
          <w:b w:val="false"/>
          <w:color w:val="000000"/>
          <w:sz w:val="24"/>
          <w:u w:val="single"/>
        </w:rPr>
        <w:t>Protected Rights</w:t>
      </w:r>
      <w:r>
        <w:rPr>
          <w:rFonts w:ascii="Times New Roman;sans-serif" w:hAnsi="Times New Roman;sans-serif"/>
          <w:b w:val="false"/>
          <w:color w:val="000000"/>
          <w:sz w:val="24"/>
        </w:rPr>
        <w:t>: You understand that nothing in this Agreement, including the General Release and Waiver of Claims, Covenant Not to Sue, and Confidentiality sections contained herein, limits, impedes or restricts: (a) your ability to file a charge or complaint with the Equal Employment Opportunity Commission, the National Labor Relations Board (the “</w:t>
      </w:r>
      <w:r>
        <w:rPr>
          <w:rFonts w:ascii="Times New Roman;sans-serif" w:hAnsi="Times New Roman;sans-serif"/>
          <w:b/>
          <w:i/>
          <w:color w:val="000000"/>
          <w:sz w:val="24"/>
        </w:rPr>
        <w:t>NLRB</w:t>
      </w:r>
      <w:r>
        <w:rPr>
          <w:color w:val="000000"/>
        </w:rPr>
        <w:t>”</w:t>
      </w:r>
      <w:r>
        <w:rPr>
          <w:rFonts w:ascii="Times New Roman;sans-serif" w:hAnsi="Times New Roman;sans-serif"/>
          <w:b w:val="false"/>
          <w:color w:val="000000"/>
          <w:sz w:val="24"/>
        </w:rPr>
        <w:t>), the Occupational Safety and Health Administration, the Securities and Exchange Commission or any other federal, state or local government agency or commission (“</w:t>
      </w:r>
      <w:r>
        <w:rPr>
          <w:rFonts w:ascii="Times New Roman;sans-serif" w:hAnsi="Times New Roman;sans-serif"/>
          <w:b/>
          <w:i/>
          <w:color w:val="000000"/>
          <w:sz w:val="24"/>
        </w:rPr>
        <w:t>Government Agencies</w:t>
      </w:r>
      <w:r>
        <w:rPr>
          <w:color w:val="000000"/>
        </w:rPr>
        <w:t>”</w:t>
      </w:r>
      <w:r>
        <w:rPr>
          <w:rFonts w:ascii="Times New Roman;sans-serif" w:hAnsi="Times New Roman;sans-serif"/>
          <w:b w:val="false"/>
          <w:color w:val="000000"/>
          <w:sz w:val="24"/>
        </w:rPr>
        <w:t>); or (b) if you are a non-supervisory (as defined under the National Labor Relations Act (the “</w:t>
      </w:r>
      <w:r>
        <w:rPr>
          <w:rFonts w:ascii="Times New Roman;sans-serif" w:hAnsi="Times New Roman;sans-serif"/>
          <w:b/>
          <w:i/>
          <w:color w:val="000000"/>
          <w:sz w:val="24"/>
        </w:rPr>
        <w:t>NLRA</w:t>
      </w:r>
      <w:r>
        <w:rPr>
          <w:color w:val="000000"/>
        </w:rPr>
        <w:t>”</w:t>
      </w:r>
      <w:r>
        <w:rPr>
          <w:rFonts w:ascii="Times New Roman;sans-serif" w:hAnsi="Times New Roman;sans-serif"/>
          <w:b w:val="false"/>
          <w:color w:val="000000"/>
          <w:sz w:val="24"/>
        </w:rPr>
        <w:t>)) Company employee, you from exercising your protected rights under Section 7 of the NLRA, including your right to file an unfair labor practice charge with the NLRB and/or assist other current or former Company employees in doing so. You further understand that this Agreement does not limit your ability to communicate with any Government Agencies or otherwise participate and/or assist in any investigation or proceeding that may be conducted by any Government Agency, including providing documents (including this Agreement) or other information, without notice to the Company. This Agreement does not limit your right to receive an award for information provided to any Government Agencies or prohibit you from providing truthful information in response to a subpoena or other legal process.</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9.</w:t>
      </w:r>
      <w:r>
        <w:rPr>
          <w:rFonts w:ascii="Times New Roman;sans-serif" w:hAnsi="Times New Roman;sans-serif"/>
          <w:b w:val="false"/>
          <w:color w:val="000000"/>
          <w:sz w:val="24"/>
          <w:u w:val="single"/>
        </w:rPr>
        <w:t>Arbitration</w:t>
      </w:r>
      <w:r>
        <w:rPr>
          <w:rFonts w:ascii="Times New Roman;sans-serif" w:hAnsi="Times New Roman;sans-serif"/>
          <w:b w:val="false"/>
          <w:color w:val="000000"/>
          <w:sz w:val="24"/>
        </w:rPr>
        <w:t>: Except for any claim for injunctive relief arising out of a breach of a party’s obligations to protect the other’s proprietary information, the parties agree to arbitrate, in San Francisco, California through JAMS, any and all disputes or claims arising out of or related to the validity, enforceability, interpretation, performance or breach of this Agreement, whether sounding in tort, contract, statutory violation or otherwise, or involving the construction or application or any of the terms, provisions, or conditions of this Agreement. Any arbitration may be initiated by a written demand to the other party. The arbitrator's decision shall be final, binding, and conclusive. The parties further agree 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10.</w:t>
      </w:r>
      <w:r>
        <w:rPr>
          <w:rFonts w:ascii="Times New Roman;sans-serif" w:hAnsi="Times New Roman;sans-serif"/>
          <w:b w:val="false"/>
          <w:color w:val="000000"/>
          <w:sz w:val="24"/>
          <w:u w:val="single"/>
        </w:rPr>
        <w:t>Attorneys’ Fees</w:t>
      </w:r>
      <w:r>
        <w:rPr>
          <w:rFonts w:ascii="Times New Roman;sans-serif" w:hAnsi="Times New Roman;sans-serif"/>
          <w:b w:val="false"/>
          <w:color w:val="000000"/>
          <w:sz w:val="24"/>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Mike Doyle</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Page 5</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76" w:before="0" w:after="240"/>
        <w:ind w:left="0" w:right="0" w:hanging="2"/>
        <w:jc w:val="both"/>
        <w:rPr/>
      </w:pPr>
      <w:r>
        <w:rPr>
          <w:rFonts w:ascii="Times New Roman;sans-serif" w:hAnsi="Times New Roman;sans-serif"/>
          <w:b w:val="false"/>
          <w:color w:val="010000"/>
          <w:sz w:val="24"/>
        </w:rPr>
        <w:t>11.</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xml:space="preserve">: Subject to the Protected Rights section above, and otherwise to the fullest extent permitted by applicable law, the contents, terms and conditions of this Agreement must be kept confidential by you and may not be disclosed except to your immediate family, accountant or attorneys or pursuant to subpoena or court order. </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12.</w:t>
      </w:r>
      <w:r>
        <w:rPr>
          <w:rFonts w:ascii="Times New Roman;sans-serif" w:hAnsi="Times New Roman;sans-serif"/>
          <w:b w:val="false"/>
          <w:color w:val="000000"/>
          <w:sz w:val="24"/>
          <w:u w:val="single"/>
        </w:rPr>
        <w:t>No Admission of Liability</w:t>
      </w:r>
      <w:r>
        <w:rPr>
          <w:rFonts w:ascii="Times New Roman;sans-serif" w:hAnsi="Times New Roman;sans-serif"/>
          <w:b w:val="false"/>
          <w:color w:val="000000"/>
          <w:sz w:val="24"/>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California Evidence Code Section 1152 and/or any other state or federal provisions of similar effect.</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13.</w:t>
      </w:r>
      <w:r>
        <w:rPr>
          <w:rFonts w:ascii="Times New Roman;sans-serif" w:hAnsi="Times New Roman;sans-serif"/>
          <w:b w:val="false"/>
          <w:color w:val="000000"/>
          <w:sz w:val="24"/>
          <w:u w:val="single"/>
        </w:rPr>
        <w:t>Complete and Voluntary Agreement</w:t>
      </w:r>
      <w:r>
        <w:rPr>
          <w:rFonts w:ascii="Times New Roman;sans-serif" w:hAnsi="Times New Roman;sans-serif"/>
          <w:b w:val="false"/>
          <w:color w:val="000000"/>
          <w:sz w:val="24"/>
        </w:rPr>
        <w:t>: This Agreement, together with the Exhibits hereto and the Stock Plan Agreements, constitute the entire agreement between you and Releasees with respect to the subject matter hereof and supersedes all prior negotiations and agreements, whether written or oral, relating to such subject matter (including, without limitation, the CIC Severance Agreement).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14.</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provisions of this Agreement, including, without limitation, the Second Release, are severable, and if any part of it is found to be invalid or unenforceable, including, without limitation, any part of the General Release, Covenant Not to Sue, and/or Confidentiality sections herein, or the Non-disparagement provision in the Second Release,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15.</w:t>
      </w:r>
      <w:r>
        <w:rPr>
          <w:rFonts w:ascii="Times New Roman;sans-serif" w:hAnsi="Times New Roman;sans-serif"/>
          <w:b w:val="false"/>
          <w:color w:val="000000"/>
          <w:sz w:val="24"/>
          <w:u w:val="single"/>
        </w:rPr>
        <w:t>Modification; Counterparts; Electronic/PDF Signatures</w:t>
      </w:r>
      <w:r>
        <w:rPr>
          <w:rFonts w:ascii="Times New Roman;sans-serif" w:hAnsi="Times New Roman;sans-serif"/>
          <w:b w:val="false"/>
          <w:color w:val="000000"/>
          <w:sz w:val="24"/>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an electronic or PDF copy shall have the same force and effect as execution of an original, and a copy of a signature will be admissible in any legal proceeding as if an original.</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16.</w:t>
      </w:r>
      <w:r>
        <w:rPr>
          <w:rFonts w:ascii="Times New Roman;sans-serif" w:hAnsi="Times New Roman;sans-serif"/>
          <w:b w:val="false"/>
          <w:color w:val="000000"/>
          <w:sz w:val="24"/>
          <w:u w:val="single"/>
        </w:rPr>
        <w:t>Review of Separation Agreement; Expiration of Offer:</w:t>
      </w:r>
      <w:r>
        <w:rPr>
          <w:color w:val="000000"/>
        </w:rPr>
        <w:t xml:space="preserve"> </w:t>
      </w:r>
      <w:r>
        <w:rPr>
          <w:rFonts w:ascii="Times New Roman;sans-serif" w:hAnsi="Times New Roman;sans-serif"/>
          <w:b w:val="false"/>
          <w:color w:val="000000"/>
          <w:sz w:val="24"/>
        </w:rPr>
        <w:t xml:space="preserve">You understand that you may take up to twenty-one (21) days to consider this Agreement following the initial date that this Agreement is delivered to you (and, for the avoidance of doubt, no subsequent changes to this Agreement (regardless of the nature or extent of such changes) shall impact this twenty-one (21) day review period). The offer set forth in this Agreement, if not accepted by you on the </w: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Mike Doyle</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Page 6</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Separation Date, will automatically expire. By signing below, you affirm that you were advised to consult with an attorney prior to signing this Agreement. You also understand you may revoke this Agreement within seven (7) days of signing this document and that the separation compensation to be provided to you pursuant to Section 2 will be provided only after both the expiration of that seven (7) day revocation period and the effectiveness of the Second Release (as set forth therein).</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17.</w:t>
      </w:r>
      <w:r>
        <w:rPr>
          <w:rFonts w:ascii="Times New Roman;sans-serif" w:hAnsi="Times New Roman;sans-serif"/>
          <w:b w:val="false"/>
          <w:color w:val="000000"/>
          <w:sz w:val="24"/>
          <w:u w:val="single"/>
        </w:rPr>
        <w:t>Effective Date</w:t>
      </w:r>
      <w:r>
        <w:rPr>
          <w:rFonts w:ascii="Times New Roman;sans-serif" w:hAnsi="Times New Roman;sans-serif"/>
          <w:b w:val="false"/>
          <w:color w:val="000000"/>
          <w:sz w:val="24"/>
        </w:rPr>
        <w:t>: This Agreement is effective on the eighth (8th) day after you sign it and without revocation by you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w:t>
      </w:r>
    </w:p>
    <w:p>
      <w:pPr>
        <w:pStyle w:val="TextBody"/>
        <w:bidi w:val="0"/>
        <w:spacing w:lineRule="auto" w:line="276" w:before="0" w:after="240"/>
        <w:ind w:left="0" w:right="0" w:hanging="2"/>
        <w:jc w:val="both"/>
        <w:rPr/>
      </w:pPr>
      <w:r>
        <w:rPr>
          <w:rFonts w:ascii="Times New Roman;sans-serif" w:hAnsi="Times New Roman;sans-serif"/>
          <w:b w:val="false"/>
          <w:color w:val="010000"/>
          <w:sz w:val="24"/>
        </w:rPr>
        <w:t>18.</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and construed in accordance with the laws of the State of California.</w:t>
      </w:r>
    </w:p>
    <w:p>
      <w:pPr>
        <w:pStyle w:val="TextBody"/>
        <w:bidi w:val="0"/>
        <w:spacing w:before="0" w:after="240"/>
        <w:ind w:left="0" w:right="0" w:firstLine="720"/>
        <w:jc w:val="both"/>
        <w:rPr/>
      </w:pPr>
      <w:r>
        <w:rPr/>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Mike Doyle</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Page 7</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you agree to abide by the terms outlined in this Agreement, please sign and return it to me. I wish you the best in your future endeavors.</w:t>
      </w:r>
    </w:p>
    <w:p>
      <w:pPr>
        <w:pStyle w:val="TextBody"/>
        <w:bidi w:val="0"/>
        <w:spacing w:before="0" w:after="0"/>
        <w:ind w:left="0" w:right="0" w:hanging="2"/>
        <w:jc w:val="left"/>
        <w:rPr/>
      </w:pPr>
      <w:r>
        <w:rPr/>
      </w:r>
    </w:p>
    <w:p>
      <w:pPr>
        <w:pStyle w:val="TextBody"/>
        <w:bidi w:val="0"/>
        <w:spacing w:lineRule="auto" w:line="276" w:before="0" w:after="0"/>
        <w:ind w:left="0" w:right="0" w:firstLine="4320"/>
        <w:jc w:val="left"/>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before="0" w:after="0"/>
        <w:ind w:left="0" w:right="0" w:hanging="2"/>
        <w:jc w:val="left"/>
        <w:rPr/>
      </w:pPr>
      <w:r>
        <w:rPr/>
      </w:r>
    </w:p>
    <w:p>
      <w:pPr>
        <w:pStyle w:val="TextBody"/>
        <w:bidi w:val="0"/>
        <w:spacing w:lineRule="auto" w:line="276" w:before="0" w:after="0"/>
        <w:ind w:left="0" w:right="0" w:firstLine="4320"/>
        <w:jc w:val="left"/>
        <w:rPr>
          <w:rFonts w:ascii="Times New Roman;sans-serif" w:hAnsi="Times New Roman;sans-serif"/>
          <w:b w:val="false"/>
          <w:color w:val="000000"/>
          <w:sz w:val="24"/>
        </w:rPr>
      </w:pPr>
      <w:r>
        <w:rPr>
          <w:rFonts w:ascii="Times New Roman;sans-serif" w:hAnsi="Times New Roman;sans-serif"/>
          <w:b w:val="false"/>
          <w:color w:val="000000"/>
          <w:sz w:val="24"/>
        </w:rPr>
        <w:t>Nextdoor, Inc.</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76" w:before="0" w:after="0"/>
        <w:ind w:left="0" w:right="0" w:firstLine="43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John Orta                </w:t>
      </w:r>
    </w:p>
    <w:p>
      <w:pPr>
        <w:pStyle w:val="TextBody"/>
        <w:bidi w:val="0"/>
        <w:spacing w:lineRule="auto" w:line="276" w:before="0" w:after="0"/>
        <w:ind w:left="0" w:right="0" w:hanging="1"/>
        <w:jc w:val="left"/>
        <w:rPr>
          <w:rFonts w:ascii="Times New Roman;sans-serif" w:hAnsi="Times New Roman;sans-serif"/>
          <w:b w:val="false"/>
          <w:color w:val="000000"/>
          <w:sz w:val="24"/>
        </w:rPr>
      </w:pPr>
      <w:r>
        <w:rPr>
          <w:rFonts w:ascii="Times New Roman;sans-serif" w:hAnsi="Times New Roman;sans-serif"/>
          <w:b w:val="false"/>
          <w:color w:val="000000"/>
          <w:sz w:val="24"/>
        </w:rPr>
        <w:t>John Orta, Head of Legal and Corporate                 Development</w:t>
      </w:r>
    </w:p>
    <w:p>
      <w:pPr>
        <w:pStyle w:val="TextBody"/>
        <w:bidi w:val="0"/>
        <w:spacing w:before="0" w:after="0"/>
        <w:ind w:left="0" w:right="0" w:hanging="2"/>
        <w:jc w:val="left"/>
        <w:rPr/>
      </w:pPr>
      <w:r>
        <w:rPr/>
      </w:r>
    </w:p>
    <w:p>
      <w:pPr>
        <w:pStyle w:val="TextBody"/>
        <w:bidi w:val="0"/>
        <w:spacing w:lineRule="auto" w:line="276"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READ, UNDERSTOOD AND AGREED</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76" w:before="0" w:after="0"/>
        <w:ind w:left="0" w:right="0" w:hanging="2"/>
        <w:jc w:val="left"/>
        <w:rPr/>
      </w:pPr>
      <w:r>
        <w:rPr>
          <w:rFonts w:ascii="Times New Roman;sans-serif" w:hAnsi="Times New Roman;sans-serif"/>
          <w:b w:val="false"/>
          <w:color w:val="000000"/>
          <w:sz w:val="24"/>
          <w:u w:val="single"/>
        </w:rPr>
        <w:t>/s/ Mike Doyle            </w:t>
      </w: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November 29, 2023            </w:t>
      </w:r>
      <w:r>
        <w:rPr>
          <w:color w:val="000000"/>
        </w:rPr>
        <w:t>            </w:t>
      </w:r>
      <w:r>
        <w:rPr>
          <w:rFonts w:ascii="Times New Roman;sans-serif" w:hAnsi="Times New Roman;sans-serif"/>
          <w:b w:val="false"/>
          <w:color w:val="000000"/>
          <w:sz w:val="24"/>
        </w:rPr>
        <w:br/>
        <w:t>Mike Doyle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76" w:before="0" w:after="0"/>
        <w:ind w:left="0" w:right="0" w:hanging="2"/>
        <w:jc w:val="center"/>
        <w:rPr>
          <w:rFonts w:ascii="Times New Roman;sans-serif" w:hAnsi="Times New Roman;sans-serif"/>
          <w:b/>
          <w:color w:val="000000"/>
          <w:sz w:val="24"/>
        </w:rPr>
      </w:pPr>
      <w:r>
        <w:rPr>
          <w:rFonts w:ascii="Times New Roman;sans-serif" w:hAnsi="Times New Roman;sans-serif"/>
          <w:b/>
          <w:color w:val="000000"/>
          <w:sz w:val="24"/>
        </w:rPr>
        <w:t xml:space="preserve">EXHIBIT A </w:t>
      </w:r>
    </w:p>
    <w:p>
      <w:pPr>
        <w:pStyle w:val="TextBody"/>
        <w:bidi w:val="0"/>
        <w:spacing w:before="0" w:after="0"/>
        <w:ind w:left="0" w:right="0" w:hanging="2"/>
        <w:jc w:val="center"/>
        <w:rPr/>
      </w:pPr>
      <w:r>
        <w:rPr/>
      </w:r>
    </w:p>
    <w:p>
      <w:pPr>
        <w:pStyle w:val="TextBody"/>
        <w:bidi w:val="0"/>
        <w:spacing w:lineRule="auto" w:line="276" w:before="0" w:after="0"/>
        <w:ind w:left="0" w:right="0" w:hanging="2"/>
        <w:jc w:val="center"/>
        <w:rPr>
          <w:rFonts w:ascii="Times New Roman;sans-serif" w:hAnsi="Times New Roman;sans-serif"/>
          <w:b/>
          <w:color w:val="000000"/>
          <w:sz w:val="24"/>
        </w:rPr>
      </w:pPr>
      <w:r>
        <w:rPr>
          <w:rFonts w:ascii="Times New Roman;sans-serif" w:hAnsi="Times New Roman;sans-serif"/>
          <w:b/>
          <w:color w:val="000000"/>
          <w:sz w:val="24"/>
        </w:rPr>
        <w:t xml:space="preserve">SECOND RELEASE </w:t>
      </w:r>
    </w:p>
    <w:p>
      <w:pPr>
        <w:pStyle w:val="TextBody"/>
        <w:bidi w:val="0"/>
        <w:spacing w:before="0" w:after="0"/>
        <w:ind w:left="0" w:right="0" w:hanging="2"/>
        <w:jc w:val="center"/>
        <w:rPr/>
      </w:pPr>
      <w:r>
        <w:rPr/>
      </w:r>
    </w:p>
    <w:p>
      <w:pPr>
        <w:pStyle w:val="TextBody"/>
        <w:bidi w:val="0"/>
        <w:spacing w:lineRule="auto" w:line="276" w:before="0" w:after="0"/>
        <w:ind w:left="0" w:right="0" w:hanging="2"/>
        <w:jc w:val="both"/>
        <w:rPr/>
      </w:pPr>
      <w:r>
        <w:rPr>
          <w:rFonts w:ascii="Times New Roman;sans-serif" w:hAnsi="Times New Roman;sans-serif"/>
          <w:b w:val="false"/>
          <w:color w:val="000000"/>
          <w:sz w:val="24"/>
        </w:rPr>
        <w:t>This General Release of All Claims and Covenant Not to Sue (the “</w:t>
      </w:r>
      <w:r>
        <w:rPr>
          <w:rFonts w:ascii="Times New Roman;sans-serif" w:hAnsi="Times New Roman;sans-serif"/>
          <w:b/>
          <w:i/>
          <w:color w:val="000000"/>
          <w:sz w:val="24"/>
        </w:rPr>
        <w:t>Second Release</w:t>
      </w:r>
      <w:r>
        <w:rPr>
          <w:color w:val="000000"/>
        </w:rPr>
        <w:t>”</w:t>
      </w:r>
      <w:r>
        <w:rPr>
          <w:rFonts w:ascii="Times New Roman;sans-serif" w:hAnsi="Times New Roman;sans-serif"/>
          <w:b w:val="false"/>
          <w:color w:val="000000"/>
          <w:sz w:val="24"/>
        </w:rPr>
        <w:t>) is entered into between Mike Doyle (“</w:t>
      </w:r>
      <w:r>
        <w:rPr>
          <w:rFonts w:ascii="Times New Roman;sans-serif" w:hAnsi="Times New Roman;sans-serif"/>
          <w:b/>
          <w:i/>
          <w:color w:val="000000"/>
          <w:sz w:val="24"/>
        </w:rPr>
        <w:t>Employee</w:t>
      </w:r>
      <w:r>
        <w:rPr>
          <w:color w:val="000000"/>
        </w:rPr>
        <w:t>”</w:t>
      </w:r>
      <w:r>
        <w:rPr>
          <w:rFonts w:ascii="Times New Roman;sans-serif" w:hAnsi="Times New Roman;sans-serif"/>
          <w:b w:val="false"/>
          <w:color w:val="000000"/>
          <w:sz w:val="24"/>
        </w:rPr>
        <w:t>) and Nextdoor,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xml:space="preserve">) (collectively, “the parties”).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Employee and the Company entered into an agreement regarding Employee’s transition and separation from employment with the Company (the “</w:t>
      </w:r>
      <w:r>
        <w:rPr>
          <w:rFonts w:ascii="Times New Roman;sans-serif" w:hAnsi="Times New Roman;sans-serif"/>
          <w:b/>
          <w:i/>
          <w:color w:val="000000"/>
          <w:sz w:val="24"/>
        </w:rPr>
        <w:t>Separation Agreement</w:t>
      </w:r>
      <w:r>
        <w:rPr>
          <w:rFonts w:ascii="Times New Roman;sans-serif" w:hAnsi="Times New Roman;sans-serif"/>
          <w:b w:val="false"/>
          <w:color w:val="000000"/>
          <w:sz w:val="24"/>
        </w:rPr>
        <w:t xml:space="preserve">,” to which this Second Release is attached as Exhibit A);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on December 1, 2023, Employee’s employment with the Company terminated (the “</w:t>
      </w:r>
      <w:r>
        <w:rPr>
          <w:rFonts w:ascii="Times New Roman;sans-serif" w:hAnsi="Times New Roman;sans-serif"/>
          <w:b/>
          <w:i/>
          <w:color w:val="000000"/>
          <w:sz w:val="24"/>
        </w:rPr>
        <w:t>Separation Date</w:t>
      </w:r>
      <w:r>
        <w:rPr>
          <w:color w:val="000000"/>
        </w:rPr>
        <w:t>”</w:t>
      </w:r>
      <w:r>
        <w:rPr>
          <w:rFonts w:ascii="Times New Roman;sans-serif" w:hAnsi="Times New Roman;sans-serif"/>
          <w:b w:val="false"/>
          <w:color w:val="000000"/>
          <w:sz w:val="24"/>
        </w:rPr>
        <w:t xml:space="preserve">);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the Company has determined that Employee cooperatively and diligently provided the Transition Services (as defined in the Separation Agreement);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this agreement serves as the Second Release, pursuant to the Separation Agreement; and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Employee and the Company desire to mutually, amicably and finally resolve and compromise all issues and claims surrounding Employee’s employment and separation from employment with the Company;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xml:space="preserve">, in consideration for the mutual promises and undertakings of the parties as set forth below, Employee and the Company hereby enter into this Second Release.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Acknowledgment of Payment of Wages</w:t>
      </w:r>
      <w:r>
        <w:rPr>
          <w:rFonts w:ascii="Times New Roman;sans-serif" w:hAnsi="Times New Roman;sans-serif"/>
          <w:b w:val="false"/>
          <w:color w:val="000000"/>
          <w:sz w:val="24"/>
        </w:rPr>
        <w:t xml:space="preserve">: By signing below, Employee acknowledges that the Company: (a) has timely paid Employee for all wages, other compensation, and reimbursable expenses due Employee from the Company and (b) does not owe Employee any other amounts, except as may become payable under the Separation Agreement and the Second Release. Employee agrees to promptly submit for reimbursement all final outstanding expenses, if any.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Return of Company Property</w:t>
      </w:r>
      <w:r>
        <w:rPr>
          <w:rFonts w:ascii="Times New Roman;sans-serif" w:hAnsi="Times New Roman;sans-serif"/>
          <w:b w:val="false"/>
          <w:color w:val="000000"/>
          <w:sz w:val="24"/>
        </w:rPr>
        <w:t xml:space="preserve">: Employee hereby warrants to the Company that Employee has returned to the Company all property or data of the Company of any type whatsoever that has been in Employee’s possession, custody or control.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Consideration</w:t>
      </w:r>
      <w:r>
        <w:rPr>
          <w:rFonts w:ascii="Times New Roman;sans-serif" w:hAnsi="Times New Roman;sans-serif"/>
          <w:b w:val="false"/>
          <w:color w:val="000000"/>
          <w:sz w:val="24"/>
        </w:rPr>
        <w:t xml:space="preserve">: In exchange for Employee’s agreement to this Second Release and Employee’s other promises in the Separation Agreement and herein, the Company agrees to provide Employee with the consideration set forth in Section 2(b) of the Separation Agreement. By signing below, Employee acknowledges that Employee is receiving the consideration in exchange for waiving Employee’s rights to claims referred to in this Second Release and Employee would not otherwise be entitled to the consideration.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General Release and Waiver of Claims</w:t>
      </w:r>
      <w:r>
        <w:rPr>
          <w:rFonts w:ascii="Times New Roman;sans-serif" w:hAnsi="Times New Roman;sans-serif"/>
          <w:b w:val="false"/>
          <w:color w:val="000000"/>
          <w:sz w:val="24"/>
        </w:rPr>
        <w:t xml:space="preserve">: </w:t>
      </w:r>
    </w:p>
    <w:p>
      <w:pPr>
        <w:pStyle w:val="TextBody"/>
        <w:bidi w:val="0"/>
        <w:ind w:left="0" w:right="0" w:hanging="2"/>
        <w:jc w:val="both"/>
        <w:rPr/>
      </w:pPr>
      <w:r>
        <w:rPr/>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Michael Doyle</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Page 2</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76" w:before="0" w:after="0"/>
        <w:ind w:left="0" w:right="0" w:hanging="2"/>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To the fullest extent permitted by law, Employee hereby releases and waives any claims Employee may have against the Company and its owners, agents, officers, shareholders, employees, directors, attorneys, subscribers, subsidiaries, affiliates, successors and assigns (collectively “</w:t>
      </w:r>
      <w:r>
        <w:rPr>
          <w:rFonts w:ascii="Times New Roman;sans-serif" w:hAnsi="Times New Roman;sans-serif"/>
          <w:b/>
          <w:i/>
          <w:color w:val="000000"/>
          <w:sz w:val="24"/>
        </w:rPr>
        <w:t>Releasees</w:t>
      </w:r>
      <w:r>
        <w:rPr>
          <w:color w:val="000000"/>
        </w:rPr>
        <w:t>”</w:t>
      </w:r>
      <w:r>
        <w:rPr>
          <w:rFonts w:ascii="Times New Roman;sans-serif" w:hAnsi="Times New Roman;sans-serif"/>
          <w:b w:val="false"/>
          <w:color w:val="000000"/>
          <w:sz w:val="24"/>
        </w:rPr>
        <w:t xml:space="preserve">),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Employee’s employment or separation of employment, claims under Title VII of the 1964 Civil Rights Act, as amended, the California Fair Employment and Housing Act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By signing below, Employee expressly waives any benefits of Section 1542 of the Civil Code of the State of California, which provides as follows: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color w:val="000000"/>
        </w:rPr>
      </w:pPr>
      <w:r>
        <w:rPr>
          <w:color w:val="000000"/>
        </w:rPr>
        <w:t>“</w:t>
      </w:r>
      <w:r>
        <w:rPr>
          <w:rFonts w:ascii="Times New Roman;sans-serif" w:hAnsi="Times New Roman;sans-serif"/>
          <w:b w:val="false"/>
          <w:color w:val="000000"/>
          <w:sz w:val="24"/>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Employee and the Company do not intend to release claims that Employee may not release as a matter of law, including but not limited to claims for indemnity under California Labor Code Section 2802, or any claims for enforcement of this Second Release. To the fullest extent permitted by law, any dispute regarding the scope of this general release shall be determined by an arbitrator under the procedures set forth in the arbitration clause set forth in the Separation Agreement.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Covenant Not to Sue</w:t>
      </w:r>
      <w:r>
        <w:rPr>
          <w:rFonts w:ascii="Times New Roman;sans-serif" w:hAnsi="Times New Roman;sans-serif"/>
          <w:b w:val="false"/>
          <w:color w:val="000000"/>
          <w:sz w:val="24"/>
        </w:rPr>
        <w:t xml:space="preserve">: To the fullest extent permitted by law, at no time subsequent to the execution of this Second Release will Employee pursue, or cause or knowingly permit the prosecution, in any state, federal or foreign court, or before any local, state, federal or foreign administrative agency, or any other tribunal, of any charge, claim or action of any kind, nature and character whatsoever, known or unknown, which Employee may now have, have ever had, or may in the future have against Releasees, which is based in whole or in part on any matter released by this Second Release. Nothing in this section shall prohibit or impair Employee or the Company from complying with all applicable laws, nor shall this Second Release be construed to obligate either party to commit (or aid or abet in the commission of) any unlawful act. </w:t>
      </w:r>
    </w:p>
    <w:p>
      <w:pPr>
        <w:pStyle w:val="TextBody"/>
        <w:bidi w:val="0"/>
        <w:spacing w:before="0" w:after="0"/>
        <w:ind w:left="0" w:right="0" w:hanging="2"/>
        <w:jc w:val="both"/>
        <w:rPr/>
      </w:pPr>
      <w:r>
        <w:rPr/>
      </w:r>
    </w:p>
    <w:p>
      <w:pPr>
        <w:pStyle w:val="TextBody"/>
        <w:bidi w:val="0"/>
        <w:spacing w:lineRule="auto" w:line="276"/>
        <w:ind w:left="0" w:right="0" w:hanging="2"/>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Protected Rights</w:t>
      </w:r>
      <w:r>
        <w:rPr>
          <w:rFonts w:ascii="Times New Roman;sans-serif" w:hAnsi="Times New Roman;sans-serif"/>
          <w:b w:val="false"/>
          <w:color w:val="000000"/>
          <w:sz w:val="24"/>
        </w:rPr>
        <w:t>: Employee understands that nothing in this Second Release, including the General Release and Waiver of Claims, Covenant Not to Sue and Non-disparagement sections contained herein, limits, impedes or restricts: (a) Employee’s ability to file a charge or complaint with the Equal Employment Opportunity Commission, the National Labor Relations Board (the “</w:t>
      </w:r>
      <w:r>
        <w:rPr>
          <w:rFonts w:ascii="Times New Roman;sans-serif" w:hAnsi="Times New Roman;sans-serif"/>
          <w:b/>
          <w:i/>
          <w:color w:val="000000"/>
          <w:sz w:val="24"/>
        </w:rPr>
        <w:t>NLRB</w:t>
      </w:r>
      <w:r>
        <w:rPr>
          <w:color w:val="000000"/>
        </w:rPr>
        <w:t>”</w:t>
      </w:r>
      <w:r>
        <w:rPr>
          <w:rFonts w:ascii="Times New Roman;sans-serif" w:hAnsi="Times New Roman;sans-serif"/>
          <w:b w:val="false"/>
          <w:color w:val="000000"/>
          <w:sz w:val="24"/>
        </w:rPr>
        <w:t>), the Occupational Safety and Health Administration, the Securities and Exchange Commission or any other federal, state or local government agency or commission (“</w:t>
      </w:r>
      <w:r>
        <w:rPr>
          <w:rFonts w:ascii="Times New Roman;sans-serif" w:hAnsi="Times New Roman;sans-serif"/>
          <w:b/>
          <w:i/>
          <w:color w:val="000000"/>
          <w:sz w:val="24"/>
        </w:rPr>
        <w:t>Government Agencies</w:t>
      </w:r>
      <w:r>
        <w:rPr>
          <w:color w:val="000000"/>
        </w:rPr>
        <w:t>”</w:t>
      </w:r>
      <w:r>
        <w:rPr>
          <w:rFonts w:ascii="Times New Roman;sans-serif" w:hAnsi="Times New Roman;sans-serif"/>
          <w:b w:val="false"/>
          <w:color w:val="000000"/>
          <w:sz w:val="24"/>
        </w:rPr>
        <w:t xml:space="preserve">); or (b) if Employee is a non-supervisory (as defined under the </w: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Michael Doyle</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Page 3</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76" w:before="0" w:after="0"/>
        <w:jc w:val="both"/>
        <w:rPr/>
      </w:pPr>
      <w:r>
        <w:rPr>
          <w:rFonts w:ascii="Times New Roman;sans-serif" w:hAnsi="Times New Roman;sans-serif"/>
          <w:b w:val="false"/>
          <w:color w:val="000000"/>
          <w:sz w:val="24"/>
        </w:rPr>
        <w:t>National Labor Relations Act (the “</w:t>
      </w:r>
      <w:r>
        <w:rPr>
          <w:rFonts w:ascii="Times New Roman;sans-serif" w:hAnsi="Times New Roman;sans-serif"/>
          <w:b/>
          <w:i/>
          <w:color w:val="000000"/>
          <w:sz w:val="24"/>
        </w:rPr>
        <w:t>NLRA</w:t>
      </w:r>
      <w:r>
        <w:rPr>
          <w:color w:val="000000"/>
        </w:rPr>
        <w:t>”</w:t>
      </w:r>
      <w:r>
        <w:rPr>
          <w:rFonts w:ascii="Times New Roman;sans-serif" w:hAnsi="Times New Roman;sans-serif"/>
          <w:b w:val="false"/>
          <w:color w:val="000000"/>
          <w:sz w:val="24"/>
        </w:rPr>
        <w:t xml:space="preserve">)) Company employee, Employee from exercising Employee’s protected rights under Section 7 of the NLRA, including Employee’s right to file an unfair labor practice charge with the NLRB and/or assist other current or former Company employees in doing so. Employee further understands that this Second Release does not limit Employee’s ability to communicate with any Government Agencies or otherwise participate and/or assist in any investigation or proceeding that may be conducted by any Government Agency, including providing documents (including this Second Release) or other information, without notice to the Company. This Second Release does not limit Employee’s right to receive an award for information provided to any Government Agencies or prohibit you from providing truthful information in response to a subpoena or other legal process.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xml:space="preserve">: Subject to the Protected Rights section above, and otherwise to the fullest extent permitted by applicable law, Employee agrees that Employee will not, directly or indirectly, make any disparaging oral or written statements that are disloyal or maliciously untrue (and specifically, made with knowledge of their falsity or with reckless disregard for the truth or falsity of the statements) regarding the Company and/or its products, services, directors, officers, employees and affiliated entities, including, but not limited to, any statement posted on social media (including online company review sites) or otherwise on the Internet, whether or not made anonymously or with attribution. Nothing in this Second Release prevents Employee from discussing or disclosing information about unlawful acts in the workplace, such as harassment or discrimination or any other conduct that Employee has reason to believe is unlawful.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Review of Second Release; Expiration of Offer</w:t>
      </w:r>
      <w:r>
        <w:rPr>
          <w:rFonts w:ascii="Times New Roman;sans-serif" w:hAnsi="Times New Roman;sans-serif"/>
          <w:b w:val="false"/>
          <w:color w:val="000000"/>
          <w:sz w:val="24"/>
        </w:rPr>
        <w:t>: Employee understands that Employee may take up to twenty-one (21) days to consider this Second Release (the “</w:t>
      </w:r>
      <w:r>
        <w:rPr>
          <w:rFonts w:ascii="Times New Roman;sans-serif" w:hAnsi="Times New Roman;sans-serif"/>
          <w:b/>
          <w:i/>
          <w:color w:val="000000"/>
          <w:sz w:val="24"/>
        </w:rPr>
        <w:t>Consideration Period</w:t>
      </w:r>
      <w:r>
        <w:rPr>
          <w:color w:val="000000"/>
        </w:rPr>
        <w:t>”</w:t>
      </w:r>
      <w:r>
        <w:rPr>
          <w:rFonts w:ascii="Times New Roman;sans-serif" w:hAnsi="Times New Roman;sans-serif"/>
          <w:b w:val="false"/>
          <w:color w:val="000000"/>
          <w:sz w:val="24"/>
        </w:rPr>
        <w:t xml:space="preserve">). The offer set forth in this Second Release, if not accepted by Employee before the end of the Consideration Period, will automatically expire. Employee and the Company further agree that any changes to this Agreement, whether material or immaterial, do not re-start the Consideration Period. By signing below, Employee affirms that Employee was advised to consult with an attorney prior to signing this Second Release. Employee also understands that Employee may revoke this Second Release within seven (7) days of signing this document and that the consideration to be provided to Employee pursuant to Section 2(b) of the Separation Agreement will be provided only after the expiration of that seven (7) day revocation period.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Effective Date</w:t>
      </w:r>
      <w:r>
        <w:rPr>
          <w:rFonts w:ascii="Times New Roman;sans-serif" w:hAnsi="Times New Roman;sans-serif"/>
          <w:b w:val="false"/>
          <w:color w:val="000000"/>
          <w:sz w:val="24"/>
        </w:rPr>
        <w:t>: This Second Release is effective on the eighth (8th) day after Employee signs it, provided Employee has not revoked it as of that time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xml:space="preserve">). </w:t>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Other Terms of Separation Agreement Incorporated Herein</w:t>
      </w:r>
      <w:r>
        <w:rPr>
          <w:rFonts w:ascii="Times New Roman;sans-serif" w:hAnsi="Times New Roman;sans-serif"/>
          <w:b w:val="false"/>
          <w:color w:val="000000"/>
          <w:sz w:val="24"/>
        </w:rPr>
        <w:t xml:space="preserve">: All other terms of the Separation Agreement to the extent not inconsistent with the terms of this Second Release are hereby incorporated in this Second Release as though fully stated herein and apply with equal force to this Second Release, including, without limitation, the provisions on Arbitration, Governing Law, and Attorneys’ Fees. </w:t>
      </w:r>
    </w:p>
    <w:p>
      <w:pPr>
        <w:pStyle w:val="TextBody"/>
        <w:bidi w:val="0"/>
        <w:spacing w:before="0" w:after="0"/>
        <w:ind w:left="0" w:right="0" w:hanging="2"/>
        <w:jc w:val="both"/>
        <w:rPr/>
      </w:pPr>
      <w:r>
        <w:rPr/>
      </w:r>
    </w:p>
    <w:p>
      <w:pPr>
        <w:pStyle w:val="TextBody"/>
        <w:bidi w:val="0"/>
        <w:spacing w:before="0" w:after="0"/>
        <w:ind w:left="0" w:right="0" w:hanging="2"/>
        <w:jc w:val="both"/>
        <w:rPr/>
      </w:pPr>
      <w:r>
        <w:rPr/>
      </w:r>
    </w:p>
    <w:p>
      <w:pPr>
        <w:pStyle w:val="TextBody"/>
        <w:bidi w:val="0"/>
        <w:spacing w:before="0" w:after="0"/>
        <w:ind w:left="0" w:right="0" w:hanging="2"/>
        <w:jc w:val="both"/>
        <w:rPr/>
      </w:pPr>
      <w:r>
        <w:rPr/>
      </w:r>
    </w:p>
    <w:p>
      <w:pPr>
        <w:pStyle w:val="TextBody"/>
        <w:bidi w:val="0"/>
        <w:spacing w:before="0" w:after="0"/>
        <w:ind w:left="0" w:right="0" w:hanging="2"/>
        <w:jc w:val="both"/>
        <w:rPr/>
      </w:pPr>
      <w:r>
        <w:rPr/>
      </w:r>
    </w:p>
    <w:p>
      <w:pPr>
        <w:pStyle w:val="TextBody"/>
        <w:bidi w:val="0"/>
        <w:spacing w:before="0" w:after="0"/>
        <w:ind w:left="0" w:right="0" w:hanging="1"/>
        <w:jc w:val="both"/>
        <w:rPr/>
      </w:pPr>
      <w:r>
        <w:rPr/>
      </w:r>
    </w:p>
    <w:p>
      <w:pPr>
        <w:pStyle w:val="TextBody"/>
        <w:bidi w:val="0"/>
        <w:spacing w:before="0" w:after="0"/>
        <w:ind w:left="0" w:right="0" w:hanging="1"/>
        <w:jc w:val="both"/>
        <w:rPr/>
      </w:pPr>
      <w:r>
        <w:rPr/>
      </w:r>
    </w:p>
    <w:p>
      <w:pPr>
        <w:pStyle w:val="TextBody"/>
        <w:bidi w:val="0"/>
        <w:ind w:left="0" w:right="0" w:hanging="1"/>
        <w:jc w:val="both"/>
        <w:rPr/>
      </w:pPr>
      <w:r>
        <w:rPr/>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Michael Doyle</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Page 4</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88" w:before="0" w:after="0"/>
        <w:ind w:left="0" w:right="0" w:hanging="1"/>
        <w:jc w:val="both"/>
        <w:rPr/>
      </w:pPr>
      <w:r>
        <w:rPr>
          <w:rFonts w:ascii="Times New Roman;sans-serif" w:hAnsi="Times New Roman;sans-serif"/>
          <w:b w:val="false"/>
          <w:color w:val="000000"/>
          <w:sz w:val="24"/>
        </w:rPr>
        <w:t xml:space="preserve">Dated: </w:t>
      </w:r>
      <w:r>
        <w:rPr>
          <w:rFonts w:ascii="Times New Roman;sans-serif" w:hAnsi="Times New Roman;sans-serif"/>
          <w:b w:val="false"/>
          <w:color w:val="000000"/>
          <w:sz w:val="24"/>
          <w:u w:val="single"/>
        </w:rPr>
        <w:t>December 1, 2023            </w:t>
      </w:r>
      <w:r>
        <w:rPr>
          <w:color w:val="000000"/>
        </w:rPr>
        <w:t>    </w:t>
      </w:r>
      <w:r>
        <w:rPr>
          <w:rFonts w:ascii="Times New Roman;sans-serif" w:hAnsi="Times New Roman;sans-serif"/>
          <w:b w:val="false"/>
          <w:color w:val="000000"/>
          <w:sz w:val="24"/>
          <w:u w:val="single"/>
        </w:rPr>
        <w:t>/s/ John Orta                </w:t>
      </w:r>
    </w:p>
    <w:p>
      <w:pPr>
        <w:pStyle w:val="TextBody"/>
        <w:bidi w:val="0"/>
        <w:spacing w:lineRule="auto" w:line="276"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Name: John Orta</w:t>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Head of Legal and Corporate Development                    </w:t>
      </w:r>
    </w:p>
    <w:p>
      <w:pPr>
        <w:pStyle w:val="TextBody"/>
        <w:bidi w:val="0"/>
        <w:spacing w:lineRule="auto" w:line="276"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Company </w:t>
      </w:r>
    </w:p>
    <w:p>
      <w:pPr>
        <w:pStyle w:val="TextBody"/>
        <w:bidi w:val="0"/>
        <w:spacing w:before="0" w:after="0"/>
        <w:ind w:left="0" w:right="0" w:hanging="2"/>
        <w:jc w:val="both"/>
        <w:rPr/>
      </w:pPr>
      <w:r>
        <w:rPr/>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pPr>
      <w:r>
        <w:rPr>
          <w:rFonts w:ascii="Times New Roman;sans-serif" w:hAnsi="Times New Roman;sans-serif"/>
          <w:b w:val="false"/>
          <w:color w:val="000000"/>
          <w:sz w:val="24"/>
        </w:rPr>
        <w:t xml:space="preserve">Dated: </w:t>
      </w:r>
      <w:r>
        <w:rPr>
          <w:rFonts w:ascii="Times New Roman;sans-serif" w:hAnsi="Times New Roman;sans-serif"/>
          <w:b w:val="false"/>
          <w:color w:val="000000"/>
          <w:sz w:val="24"/>
          <w:u w:val="single"/>
        </w:rPr>
        <w:t>December 4, 2023            </w:t>
      </w:r>
      <w:r>
        <w:rPr>
          <w:color w:val="000000"/>
        </w:rPr>
        <w:t>    </w:t>
      </w:r>
      <w:r>
        <w:rPr>
          <w:rFonts w:ascii="Times New Roman;sans-serif" w:hAnsi="Times New Roman;sans-serif"/>
          <w:b w:val="false"/>
          <w:color w:val="000000"/>
          <w:sz w:val="24"/>
          <w:u w:val="single"/>
        </w:rPr>
        <w:t>/s/ Mike Doyle                </w:t>
      </w:r>
    </w:p>
    <w:p>
      <w:pPr>
        <w:pStyle w:val="TextBody"/>
        <w:bidi w:val="0"/>
        <w:spacing w:lineRule="auto" w:line="276"/>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Mike Doyle</w: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Michael Doyle</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Page 5</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76" w:before="0" w:after="0"/>
        <w:ind w:left="0" w:right="0" w:hanging="2"/>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before="0" w:after="0"/>
        <w:ind w:left="0" w:right="0" w:hanging="2"/>
        <w:jc w:val="center"/>
        <w:rPr/>
      </w:pPr>
      <w:r>
        <w:rPr/>
      </w:r>
    </w:p>
    <w:p>
      <w:pPr>
        <w:pStyle w:val="TextBody"/>
        <w:bidi w:val="0"/>
        <w:spacing w:lineRule="auto" w:line="276" w:before="0" w:after="0"/>
        <w:ind w:left="0" w:right="0" w:hanging="2"/>
        <w:jc w:val="center"/>
        <w:rPr>
          <w:rFonts w:ascii="Times New Roman;sans-serif" w:hAnsi="Times New Roman;sans-serif"/>
          <w:b/>
          <w:color w:val="000000"/>
          <w:sz w:val="24"/>
        </w:rPr>
      </w:pPr>
      <w:r>
        <w:rPr>
          <w:rFonts w:ascii="Times New Roman;sans-serif" w:hAnsi="Times New Roman;sans-serif"/>
          <w:b/>
          <w:color w:val="000000"/>
          <w:sz w:val="24"/>
        </w:rPr>
        <w:t>EMPLOYEE INVENTION ASSIGNMENT AND CONFIDENTIALITY AGREEMENT</w:t>
      </w:r>
    </w:p>
    <w:p>
      <w:pPr>
        <w:pStyle w:val="TextBody"/>
        <w:bidi w:val="0"/>
        <w:spacing w:before="0" w:after="0"/>
        <w:ind w:left="0" w:right="0" w:hanging="2"/>
        <w:jc w:val="left"/>
        <w:rPr/>
      </w:pPr>
      <w:r>
        <w:rPr/>
      </w:r>
    </w:p>
    <w:p>
      <w:pPr>
        <w:pStyle w:val="TextBody"/>
        <w:bidi w:val="0"/>
        <w:spacing w:before="0" w:after="0"/>
        <w:ind w:left="0" w:right="0" w:hanging="2"/>
        <w:jc w:val="center"/>
        <w:rPr/>
      </w:pPr>
      <w:r>
        <w:rPr/>
      </w:r>
    </w:p>
    <w:p>
      <w:pPr>
        <w:pStyle w:val="TextBody"/>
        <w:bidi w:val="0"/>
        <w:ind w:left="0" w:right="0" w:hanging="2"/>
        <w:jc w:val="center"/>
        <w:rPr/>
      </w:pPr>
      <w:r>
        <w:rPr/>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Michael Doyle</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40"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Page 6</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76" w:before="0" w:after="0"/>
        <w:ind w:left="0" w:right="0" w:hanging="2"/>
        <w:jc w:val="center"/>
        <w:rPr>
          <w:rFonts w:ascii="Times New Roman;sans-serif" w:hAnsi="Times New Roman;sans-serif"/>
          <w:b/>
          <w:color w:val="000000"/>
          <w:sz w:val="24"/>
        </w:rPr>
      </w:pPr>
      <w:r>
        <w:rPr>
          <w:rFonts w:ascii="Times New Roman;sans-serif" w:hAnsi="Times New Roman;sans-serif"/>
          <w:b/>
          <w:color w:val="000000"/>
          <w:sz w:val="24"/>
        </w:rPr>
        <w:t>EXHIBIT C</w:t>
      </w:r>
    </w:p>
    <w:p>
      <w:pPr>
        <w:pStyle w:val="TextBody"/>
        <w:bidi w:val="0"/>
        <w:spacing w:before="0" w:after="0"/>
        <w:ind w:left="0" w:right="0" w:hanging="2"/>
        <w:jc w:val="center"/>
        <w:rPr/>
      </w:pPr>
      <w:r>
        <w:rPr/>
      </w:r>
    </w:p>
    <w:p>
      <w:pPr>
        <w:pStyle w:val="TextBody"/>
        <w:bidi w:val="0"/>
        <w:spacing w:lineRule="auto" w:line="276" w:before="0" w:after="0"/>
        <w:ind w:left="0" w:right="0" w:hanging="2"/>
        <w:jc w:val="center"/>
        <w:rPr>
          <w:rFonts w:ascii="Times New Roman;sans-serif" w:hAnsi="Times New Roman;sans-serif"/>
          <w:b/>
          <w:color w:val="000000"/>
          <w:sz w:val="24"/>
        </w:rPr>
      </w:pPr>
      <w:r>
        <w:rPr>
          <w:rFonts w:ascii="Times New Roman;sans-serif" w:hAnsi="Times New Roman;sans-serif"/>
          <w:b/>
          <w:color w:val="000000"/>
          <w:sz w:val="24"/>
        </w:rPr>
        <w:t>OPTIONS AND RSUS</w:t>
      </w:r>
    </w:p>
    <w:p>
      <w:pPr>
        <w:pStyle w:val="TextBody"/>
        <w:bidi w:val="0"/>
        <w:spacing w:before="0" w:after="0"/>
        <w:ind w:left="0" w:right="0" w:hanging="2"/>
        <w:jc w:val="center"/>
        <w:rPr/>
      </w:pPr>
      <w:r>
        <w:rPr/>
      </w:r>
    </w:p>
    <w:p>
      <w:pPr>
        <w:pStyle w:val="TextBody"/>
        <w:bidi w:val="0"/>
        <w:ind w:left="0" w:right="0" w:hanging="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(1)Registration Statement (Form S-8 No. 333-270095) pertaining to the Nextdoor Holdings, Inc. 2021 Equity Incentive Plan and the Nextdoor Holdings, Inc. 2021 Employee Stock Purchase Plan;</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(2)Registration Statement (Form S-8 No. 333-262102) pertaining to the Nextdoor Holdings, Inc. 2021 Equity Incentive Plan, the Nextdoor, Inc. 2008 Equity Incentive Plan, the Nextdoor, Inc. 2018 Equity Incentive Plan and the Nextdoor Holdings, Inc. 2021 Employee Stock Purchase Plan;</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(3)Registration Statement (Form S-3 No. 333-261252) of Nextdoor Holdings, Inc.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our reports dated February 27, 2024, with respect to the consolidated financial statements of Nextdoor Holdings, Inc., and the effectiveness of internal control over financial reporting of Nextdoor Holdings, Inc., included in this Annual Report (Form 10-K) of Nextdoor Holdings, Inc. for the year ended December 31, 2023.</w:t>
      </w:r>
    </w:p>
    <w:p>
      <w:pPr>
        <w:pStyle w:val="TextBody"/>
        <w:bidi w:val="0"/>
        <w:spacing w:before="0" w:after="0"/>
        <w:jc w:val="left"/>
        <w:rPr/>
      </w:pPr>
      <w:r>
        <w:rPr/>
      </w:r>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Mateo, California</w:t>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PURSUANT TO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AND 15D-14(A) UNDER THE EXCHANGE ACT,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Sarah Friar, certify that:</w:t>
      </w:r>
    </w:p>
    <w:p>
      <w:pPr>
        <w:pStyle w:val="TextBody"/>
        <w:bidi w:val="0"/>
        <w:spacing w:before="0" w:after="0"/>
        <w:jc w:val="left"/>
        <w:rPr/>
      </w:pPr>
      <w:r>
        <w:rPr/>
      </w:r>
    </w:p>
    <w:p>
      <w:pPr>
        <w:pStyle w:val="TextBody"/>
        <w:bidi w:val="0"/>
        <w:spacing w:lineRule="auto" w:line="333"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10-K for the year ended December 31, 2023 of Nextdoor Holdings, Inc. (the “registrant”);</w:t>
      </w:r>
    </w:p>
    <w:p>
      <w:pPr>
        <w:pStyle w:val="TextBody"/>
        <w:bidi w:val="0"/>
        <w:spacing w:lineRule="auto" w:line="333"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pStyle w:val="TextBody"/>
        <w:bidi w:val="0"/>
        <w:spacing w:lineRule="auto" w:line="333"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333"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tbl>
      <w:tblPr>
        <w:tblW w:w="879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479"/>
        <w:gridCol w:w="479"/>
        <w:gridCol w:w="487"/>
        <w:gridCol w:w="1428"/>
        <w:gridCol w:w="1428"/>
        <w:gridCol w:w="2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53" w:after="3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Sarah Friar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Friar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Chairperson of the Board of Directors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PURSUANT TO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AND 15D-14(A) UNDER THE EXCHANGE ACT,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312" w:before="0" w:after="0"/>
        <w:jc w:val="left"/>
        <w:rPr/>
      </w:pPr>
      <w:r>
        <w:rPr>
          <w:rFonts w:ascii="Times New Roman;sans-serif" w:hAnsi="Times New Roman;sans-serif"/>
          <w:b w:val="false"/>
          <w:color w:val="000000"/>
          <w:sz w:val="20"/>
        </w:rPr>
        <w:t xml:space="preserve">I, </w:t>
      </w:r>
      <w:r>
        <w:rPr>
          <w:rFonts w:ascii="Times New Roman;sans-serif" w:hAnsi="Times New Roman;sans-serif"/>
          <w:b w:val="false"/>
          <w:color w:val="201F1E"/>
          <w:sz w:val="20"/>
        </w:rPr>
        <w:t>Matt Anderson</w:t>
      </w:r>
      <w:r>
        <w:rPr>
          <w:rFonts w:ascii="Times New Roman;sans-serif" w:hAnsi="Times New Roman;sans-serif"/>
          <w:b w:val="false"/>
          <w:color w:val="000000"/>
          <w:sz w:val="20"/>
        </w:rPr>
        <w:t>, certify that:</w:t>
      </w:r>
    </w:p>
    <w:p>
      <w:pPr>
        <w:pStyle w:val="TextBody"/>
        <w:bidi w:val="0"/>
        <w:spacing w:before="0" w:after="0"/>
        <w:jc w:val="left"/>
        <w:rPr/>
      </w:pPr>
      <w:r>
        <w:rPr/>
      </w:r>
    </w:p>
    <w:p>
      <w:pPr>
        <w:pStyle w:val="TextBody"/>
        <w:bidi w:val="0"/>
        <w:spacing w:lineRule="auto" w:line="333"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10-K for the year ended December 31, 2023 of Nextdoor Holdings, Inc. (the “registrant”);</w:t>
      </w:r>
    </w:p>
    <w:p>
      <w:pPr>
        <w:pStyle w:val="TextBody"/>
        <w:bidi w:val="0"/>
        <w:spacing w:lineRule="auto" w:line="333"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pStyle w:val="TextBody"/>
        <w:bidi w:val="0"/>
        <w:spacing w:lineRule="auto" w:line="333"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0"/>
        <w:ind w:left="0" w:right="0" w:hanging="360"/>
        <w:jc w:val="left"/>
        <w:rPr/>
      </w:pPr>
      <w:r>
        <w:rPr>
          <w:rFonts w:ascii="Times New Roman;sans-serif" w:hAnsi="Times New Roman;sans-serif"/>
          <w:b w:val="false"/>
          <w:color w:val="000000"/>
          <w:sz w:val="24"/>
        </w:rPr>
        <w:t>c.</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d.</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333"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tbl>
      <w:tblPr>
        <w:tblW w:w="561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87"/>
        <w:gridCol w:w="187"/>
        <w:gridCol w:w="190"/>
        <w:gridCol w:w="755"/>
        <w:gridCol w:w="755"/>
        <w:gridCol w:w="10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53" w:after="30"/>
              <w:jc w:val="left"/>
              <w:rPr/>
            </w:pPr>
            <w:r>
              <w:rPr>
                <w:rFonts w:ascii="Times New Roman;sans-serif" w:hAnsi="Times New Roman;sans-serif"/>
                <w:b w:val="false"/>
                <w:color w:val="000000"/>
                <w:sz w:val="24"/>
              </w:rPr>
              <w:t xml:space="preserve">/s/ </w:t>
            </w:r>
            <w:r>
              <w:rPr>
                <w:rFonts w:ascii="Times New Roman;sans-serif" w:hAnsi="Times New Roman;sans-serif"/>
                <w:b w:val="false"/>
                <w:color w:val="201F1E"/>
                <w:sz w:val="24"/>
              </w:rPr>
              <w:t>Matt Anderson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01F1E"/>
                <w:sz w:val="20"/>
              </w:rPr>
            </w:pPr>
            <w:r>
              <w:rPr>
                <w:rFonts w:ascii="Times New Roman;sans-serif" w:hAnsi="Times New Roman;sans-serif"/>
                <w:b w:val="false"/>
                <w:color w:val="201F1E"/>
                <w:sz w:val="20"/>
              </w:rPr>
              <w:t>Matt Anderson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AS ADOPTED PURSUANT TO SECTION 906 </w:t>
        <w:br/>
        <w:t>OF THE SARBANES-OXLEY ACT OF 2002</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33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Nextdoor Holdings, Inc. (the “Company”) on Form 10-K for the year ended December 31, 2023,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pStyle w:val="TextBody"/>
        <w:bidi w:val="0"/>
        <w:spacing w:lineRule="auto" w:line="333"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333"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879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471"/>
        <w:gridCol w:w="471"/>
        <w:gridCol w:w="478"/>
        <w:gridCol w:w="1435"/>
        <w:gridCol w:w="1435"/>
        <w:gridCol w:w="20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4"/>
              </w:rPr>
              <w:t>/s/</w:t>
            </w:r>
            <w:r>
              <w:rPr>
                <w:color w:val="000000"/>
              </w:rPr>
              <w:t xml:space="preserve"> </w:t>
            </w:r>
            <w:r>
              <w:rPr>
                <w:rFonts w:ascii="Times New Roman;sans-serif" w:hAnsi="Times New Roman;sans-serif"/>
                <w:b w:val="false"/>
                <w:i/>
                <w:color w:val="000000"/>
                <w:sz w:val="20"/>
              </w:rPr>
              <w:t>Sarah Friar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Friar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Chairperson of the Board of Directors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AS ADOPTED PURSUANT TO SECTION 906 </w:t>
        <w:br/>
        <w:t>OF THE SARBANES-OXLEY ACT OF 2002</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386"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Nextdoor Holdings, Inc. (the “Company”) on Form 10-K for the year ended December 31, 2023,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pStyle w:val="TextBody"/>
        <w:bidi w:val="0"/>
        <w:spacing w:lineRule="auto" w:line="386"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bidi w:val="0"/>
        <w:spacing w:lineRule="auto" w:line="38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62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210"/>
        <w:gridCol w:w="210"/>
        <w:gridCol w:w="213"/>
        <w:gridCol w:w="735"/>
        <w:gridCol w:w="735"/>
        <w:gridCol w:w="10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Matt Anderson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 Anderson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Nextdoor Holdings, Inc.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Compensation Recovery Policy</w:t>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(Adopted November 2, 2023)</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Board has determined that it is in the best interests of the Company and its stockholders to adopt this Policy enabling the Company to recover from specified current and former Company executives certain incentive-based compensation in the event of an accounting restatement resulting from material noncompliance with any financial reporting requirements under the federal securities laws. Capitalized terms are defined in Section 14.</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is designed to comply with Rule 10D-1 of the Exchange Act and shall become effective on the Effective Date and shall apply to Incentive-Based Compensation Received by Covered Persons on or after the Listing Rule Effective Date. </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1.Administration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shall be administered by the Administrator. The Administrator is authorized to interpret and construe this Policy and to make all determinations necessary, appropriate, or advisable for the administration of this Policy. The Administrator may retain, at the Company’s expense, outside legal counsel and such compensation, tax or other consultants as it may determine are advisable for the purposes of administering this Policy. </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 xml:space="preserve">2.Covered Persons and Applicable Compensation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applies to any Incentive-Based Compensation Received by a person (a) after beginning service as a Covered Person; (b) who served as a Covered Person at any time during the performance period for that Incentive-Based Compensation; and (c) was a Covered Person during the Clawback Period. </w:t>
      </w:r>
    </w:p>
    <w:p>
      <w:pPr>
        <w:pStyle w:val="TextBody"/>
        <w:bidi w:val="0"/>
        <w:spacing w:lineRule="auto" w:line="240"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However, recovery is not required with respect to:</w:t>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i.Incentive-Based Compensation Received prior to an individual becoming a Covered Person, even if the individual served as a Covered Person during the Clawback Period.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ii.Incentive-Based Compensation Received prior to the Listing Rule Effective Date. </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iii.Incentive-Based Compensation Received prior to the Clawback Period.</w:t>
      </w:r>
    </w:p>
    <w:p>
      <w:pPr>
        <w:pStyle w:val="TextBody"/>
        <w:bidi w:val="0"/>
        <w:spacing w:before="0" w:after="0"/>
        <w:jc w:val="left"/>
        <w:rPr/>
      </w:pPr>
      <w:r>
        <w:rPr/>
      </w:r>
    </w:p>
    <w:p>
      <w:pPr>
        <w:pStyle w:val="TextBody"/>
        <w:bidi w:val="0"/>
        <w:spacing w:lineRule="auto" w:line="240" w:before="0" w:after="20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iv.Incentive-Based Compensation Received while the Company did not have a class of listed securities on a national securities exchange or a national securities association, including the Exchange. </w:t>
      </w:r>
    </w:p>
    <w:p>
      <w:pPr>
        <w:pStyle w:val="TextBody"/>
        <w:bidi w:val="0"/>
        <w:spacing w:lineRule="auto" w:line="240"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Administrator will not consider the Covered Person’s responsibility or fault or lack thereof in enforcing this Policy with respect to recoupment under the Final Rules. </w:t>
      </w:r>
    </w:p>
    <w:p>
      <w:pPr>
        <w:pStyle w:val="TextBody"/>
        <w:bidi w:val="0"/>
        <w:spacing w:lineRule="auto" w:line="319" w:before="0" w:after="200"/>
        <w:ind w:left="0" w:right="0" w:hanging="720"/>
        <w:jc w:val="left"/>
        <w:rPr/>
      </w:pPr>
      <w:r>
        <w:rPr>
          <w:rFonts w:ascii="Times New Roman;sans-serif" w:hAnsi="Times New Roman;sans-serif"/>
          <w:b/>
          <w:color w:val="000000"/>
          <w:sz w:val="22"/>
        </w:rPr>
        <w:t>3.</w:t>
      </w:r>
      <w:r>
        <w:rPr>
          <w:rFonts w:ascii="Times New Roman;sans-serif" w:hAnsi="Times New Roman;sans-serif"/>
          <w:b/>
          <w:color w:val="000000"/>
          <w:sz w:val="24"/>
        </w:rPr>
        <w:t>Triggering Event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and in accordance with the provisions of this Policy, if there is a Triggering Event, the Administrator shall require a Covered Person to reimburse or forfeit to the Company the Recoupment Amount applicable to such Covered Person. A Company’s obligation to recover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Recoupment Amount is not dependent on if or when the restated financial statements are filed. </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 xml:space="preserve">4.Calculation of Recoupment Amount </w:t>
      </w:r>
    </w:p>
    <w:p>
      <w:pPr>
        <w:pStyle w:val="TextBody"/>
        <w:bidi w:val="0"/>
        <w:spacing w:lineRule="auto" w:line="240" w:before="0" w:after="240"/>
        <w:jc w:val="both"/>
        <w:rPr/>
      </w:pPr>
      <w:r>
        <w:rPr>
          <w:rFonts w:ascii="Times New Roman;sans-serif" w:hAnsi="Times New Roman;sans-serif"/>
          <w:b w:val="false"/>
          <w:color w:val="000000"/>
          <w:sz w:val="24"/>
        </w:rPr>
        <w:t xml:space="preserve">The Recoupment Amount will be calculated in accordance with the Final Rules, as provided in the Calculation Guidelines attached hereto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5.Method of Recoupment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compliance with the Final Rules and applicable law, the Administrator will determine, in its sole discretion, the method for recouping the Recoupment Amount hereunder which may include, without limitation:</w:t>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i.Requiring reimbursement or forfeiture of the pre-tax amount of cash Incentive-Based Compensation previously paid;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ii.Offsetting the Recoupment Amount from any compensation otherwise owed by the Company to the Covered Person, including without limitation, any prior cash incentive payments, executive retirement benefits, wages, equity grants or other amounts payable by the Company to the Covered Person in the future;</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iii.Seeking recovery of any gain realized on the vesting, exercise, settlement, cash sale, transfer, or other disposition of any equity-based awards; and/or</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iv.Taking any other remedial and recovery action permitted by law, as determined by the Administrator.</w:t>
      </w:r>
    </w:p>
    <w:p>
      <w:pPr>
        <w:pStyle w:val="TextBody"/>
        <w:bidi w:val="0"/>
        <w:spacing w:before="0" w:after="0"/>
        <w:jc w:val="both"/>
        <w:rPr/>
      </w:pPr>
      <w:r>
        <w:rPr/>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6.Arbitration</w:t>
      </w:r>
    </w:p>
    <w:p>
      <w:pPr>
        <w:pStyle w:val="TextBody"/>
        <w:bidi w:val="0"/>
        <w:spacing w:lineRule="auto" w:line="240" w:before="0" w:after="240"/>
        <w:jc w:val="both"/>
        <w:rPr/>
      </w:pPr>
      <w:r>
        <w:rPr>
          <w:rFonts w:ascii="Times New Roman;sans-serif" w:hAnsi="Times New Roman;sans-serif"/>
          <w:b w:val="false"/>
          <w:color w:val="000000"/>
          <w:sz w:val="24"/>
        </w:rPr>
        <w:t>To the fullest extent permitted by law, any disputes under this Policy shall be submitted to mandatory binding arbitration (the “</w:t>
      </w:r>
      <w:r>
        <w:rPr>
          <w:rFonts w:ascii="Times New Roman;sans-serif" w:hAnsi="Times New Roman;sans-serif"/>
          <w:b/>
          <w:i/>
          <w:color w:val="000000"/>
          <w:sz w:val="24"/>
        </w:rPr>
        <w:t>Arbitrable Claims</w:t>
      </w:r>
      <w:r>
        <w:rPr>
          <w:color w:val="000000"/>
        </w:rPr>
        <w:t>”</w:t>
      </w:r>
      <w:r>
        <w:rPr>
          <w:rFonts w:ascii="Times New Roman;sans-serif" w:hAnsi="Times New Roman;sans-serif"/>
          <w:b w:val="false"/>
          <w:color w:val="000000"/>
          <w:sz w:val="24"/>
        </w:rPr>
        <w:t>), governed by the Federal Arbitration Act (the “</w:t>
      </w:r>
      <w:r>
        <w:rPr>
          <w:rFonts w:ascii="Times New Roman;sans-serif" w:hAnsi="Times New Roman;sans-serif"/>
          <w:b/>
          <w:i/>
          <w:color w:val="000000"/>
          <w:sz w:val="24"/>
        </w:rPr>
        <w:t>FAA</w:t>
      </w:r>
      <w:r>
        <w:rPr>
          <w:color w:val="000000"/>
        </w:rPr>
        <w:t>”</w:t>
      </w:r>
      <w:r>
        <w:rPr>
          <w:rFonts w:ascii="Times New Roman;sans-serif" w:hAnsi="Times New Roman;sans-serif"/>
          <w:b w:val="false"/>
          <w:color w:val="000000"/>
          <w:sz w:val="24"/>
        </w:rPr>
        <w:t xml:space="preserve">). Further, to the fullest extent permitted by law, no class or collective actions can be asserted in arbitration or otherwise. All claims, whether in arbitration or otherwise, must be brought solely in the Covered Person’s individual capacity, and not as a plaintiff or class member in any purported class or collective proceeding.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ABOVE PROVISO, ANY RIGHTS THAT A COVERED PERSON MAY HAVE TO TRIAL BY JURY IN REGARD TO ARBITRABLE CLAIMS ARE WAIVED. ANY RIGHTS THAT A COVERED PERSON MAY HAVE TO PURSUE OR PARTICIPATE IN A CLASS OR COLLECTIVE ACTION PERTAINING TO ANY CLAIMS BETWEEN A COVERED PERSON AND THE COMPANY ARE WAIVED.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Covered Person is not restricted from filing administrative claims that may be brought before any government agency where, as a matter of law, the Covered Person’s ability to file such claims may not be restricted. However, to the fullest extent permitted by law, arbitration shall be the exclusive remedy for the subject matter of such administrative claims. The arbitration shall be conducted in San Francisco, California through JAMS before a single neutral arbitrator, in accordance with the JAMS Comprehensive Arbitration Rules and Procedures then in effect, provided however, that the FAA, including its procedural provisions for compelling arbitration, shall govern and apply to this Arbitration provision. The arbitrator shall issue a written decision that contains the essential findings and conclusions on which the decision is based. If, for any reason, any term of this Arbitration provision is held to be invalid or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21945"/>
                <wp:effectExtent l="0" t="0" r="0" b="0"/>
                <wp:wrapNone/>
                <wp:docPr id="158" name="Frame1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lineRule="auto" w:line="240" w:before="0" w:after="0"/>
                              <w:jc w:val="righ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lineRule="auto" w:line="240" w:before="0" w:after="0"/>
                        <w:jc w:val="righ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unenforceable, all other valid terms and conditions herein shall be severable in nature and remain fully enforceable.</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7.Recovery Process; Impracticability</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Actions by the Administrator to recover the Recoupment Amount will be reasonably prompt.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Administrator must cause the Company to recover the Recoupment Amount unless the Administrator shall have previously determined that recovery is impracticable and one of the following conditions is met:</w:t>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i.The direct expense paid to a third party to assist in enforcing this Policy would exceed the amount to be recovered; before concluding that it would be impracticable to recover any amount of erroneously awarded Incentive-Based Compensation based on expense of enforcement, the Company must make a reasonable attempt to recover such erroneously awarded Incentive-Based Compensation, document such reasonable attempt(s) to recover, and provide that documentation to the Exchange;</w: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ii.Recovery would violate home country law where that law was adopted prior to November 28, 2022; before concluding that it would be impracticable to recover any amount of erroneously awarded Incentive-Based Compensation based on violation of home country law, the Company must obtain an opinion of home country counsel, acceptable to the Exchange, that recovery would result in such a violation, and must provide such opinion to the Exchange; or </w: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iii.Recovery would likely cause an otherwise tax-qualified retirement plan, under which benefits are broadly available to employees of the Company, to fail to meet the requirements of 26 U.S.C. 401(a)(13) or 26 U.S.C. 411(a) and regulations thereunder. </w:t>
      </w:r>
    </w:p>
    <w:p>
      <w:pPr>
        <w:pStyle w:val="TextBody"/>
        <w:bidi w:val="0"/>
        <w:spacing w:before="0" w:after="0"/>
        <w:jc w:val="both"/>
        <w:rPr/>
      </w:pPr>
      <w:r>
        <w:rPr/>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8.Non-Exclusivity</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Administrator intends that this Policy will be applied to the fullest extent of the law. Without limitation to any broader or alternate clawback authorized in any written document with a Covered Person, (i) the Administrator may require that any employment agreement, equity award agreement, or similar agreement entered into on or after the Effective Date shall, as a condition to the grant of any benefit thereunder, require a Covered Person to agree to abide by the terms of this Policy, and (ii) this Policy will nonetheless apply to Incentive-Based Compensation as required by the Final Rules, whether or not specifically referenced in those arrangements. Any right of recoupment under this Policy is in addition to, and not in lieu of, any other remedies or rights of recoupment that may be available to the Company pursuant to the terms of any other clawback policy of the Company as then in effect, or any similar policy in any employment agreement, equity award agreement, or similar agreement and any other legal remedies or regulations available or applicable to the Company (including SOX 304). If recovery is required under both SOX 304 and this Policy, any amounts recovered pursuant to SOX 304 may, in the Administrator’s discretion, be credited toward the amount recovered under this Policy, or vice versa. </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9.No Indemnification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shall not indemnify any Covered Persons against (i) the loss of erroneously awarded Incentive-Based Compensation or any adverse tax consequences associated with any incorrectly awarded Incentive-Based Compensation or any recoupment hereunder, or (ii) any claims relating to the Company enforcement of its rights under this Policy. For the avoidance of doubt, this prohibition on indemnification will also prohibit the Company from reimbursing or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21945"/>
                <wp:effectExtent l="0" t="0" r="0" b="0"/>
                <wp:wrapNone/>
                <wp:docPr id="159" name="Frame1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lineRule="auto" w:line="240" w:before="0" w:after="0"/>
                              <w:jc w:val="righ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lineRule="auto" w:line="240" w:before="0" w:after="0"/>
                        <w:jc w:val="righ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paying any premium or payment of any third-party insurance policy to fund potential recovery obligations obtained by the Covered Person directly. No Covered Person will seek or retain any such prohibited indemnification or reimbursement.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Further, the Company shall not enter into any agreement that exempts any Incentive-Based Compensation from the application of this Policy or that waives the Company’s right to recovery of any erroneously awarded Incentive-Based Compensation and this Policy shall supersede any such agreement (whether entered into before, on or after the Effective Date).</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10.Covered Person Acknowledgement and Agreement</w:t>
      </w:r>
    </w:p>
    <w:p>
      <w:pPr>
        <w:pStyle w:val="TextBody"/>
        <w:bidi w:val="0"/>
        <w:spacing w:lineRule="auto" w:line="240" w:before="0" w:after="240"/>
        <w:jc w:val="both"/>
        <w:rPr/>
      </w:pPr>
      <w:r>
        <w:rPr>
          <w:rFonts w:ascii="Times New Roman;sans-serif" w:hAnsi="Times New Roman;sans-serif"/>
          <w:b w:val="false"/>
          <w:color w:val="000000"/>
          <w:sz w:val="24"/>
        </w:rPr>
        <w:t xml:space="preserve">All Covered Persons subject to this Policy must acknowledge their understanding of, and agreement to comply with, the Policy by executing the certification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w:t>
      </w:r>
      <w:r>
        <w:rPr>
          <w:rFonts w:ascii="Times New Roman;sans-serif" w:hAnsi="Times New Roman;sans-serif"/>
          <w:b/>
          <w:color w:val="000000"/>
          <w:sz w:val="24"/>
          <w:u w:val="single"/>
        </w:rPr>
        <w:t>Notwithstanding the foregoing, this Policy will apply to Covered Persons whether or not they execute such certification.</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11.Successors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shall be binding and enforceable against all Covered Persons and their beneficiaries, heirs, executors, administrators or other legal representatives and shall inure to the benefit of any successor to the Company. </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12.Interpretation of Policy</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the extent there is any ambiguity between this Policy and the Final Rules, this Policy shall be interpreted so that it complies with the Final Rules. If any provision of this Policy, or the application of such provision to any Covered Person or circumstance, shall be held invalid, the remainder of this Policy, or the application of such provision to Covered Persons or circumstances other than those as to which it is held invalid, shall not be affected thereby.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any provision of this Policy is inconsistent with any requirement of any Final Rules, the Administrator, in its sole discretion, shall amend and administer this Policy and bring it into compliance with such rules.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determination under this Policy by the Administrator shall be conclusive and binding on the applicable Covered Person. Determinations of the Administrator need not be uniform with respect to Covered Persons or from one payment or grant to another. </w:t>
      </w:r>
    </w:p>
    <w:p>
      <w:pPr>
        <w:pStyle w:val="TextBody"/>
        <w:bidi w:val="0"/>
        <w:spacing w:lineRule="auto" w:line="240" w:before="0" w:after="24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 xml:space="preserve">13.Amendments; Termination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Administrator may make any amendments to this Policy as required under applicable law, rules and regulations, or as otherwise determined by the Administrator in its sole discretion.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Administrator may terminate this Policy at any time. </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14.Definitions</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Administrator</w:t>
      </w:r>
      <w:r>
        <w:rPr>
          <w:color w:val="000000"/>
        </w:rPr>
        <w:t xml:space="preserve">” </w:t>
      </w:r>
      <w:r>
        <w:rPr>
          <w:rFonts w:ascii="Times New Roman;sans-serif" w:hAnsi="Times New Roman;sans-serif"/>
          <w:b w:val="false"/>
          <w:color w:val="000000"/>
          <w:sz w:val="24"/>
        </w:rPr>
        <w:t xml:space="preserve">means the Compensation and People Development Committee of the Board, or in the absence of a committee of independent directors responsible for executive compensation decisions, a majority of the independent directors serving on the Board. </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Clawback Measurement Date</w:t>
      </w:r>
      <w:r>
        <w:rPr>
          <w:color w:val="000000"/>
        </w:rPr>
        <w:t xml:space="preserve">” </w:t>
      </w:r>
      <w:r>
        <w:rPr>
          <w:rFonts w:ascii="Times New Roman;sans-serif" w:hAnsi="Times New Roman;sans-serif"/>
          <w:b w:val="false"/>
          <w:color w:val="000000"/>
          <w:sz w:val="24"/>
        </w:rPr>
        <w:t xml:space="preserve">is the earlier to occur of: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21945"/>
                <wp:effectExtent l="0" t="0" r="0" b="0"/>
                <wp:wrapNone/>
                <wp:docPr id="160" name="Frame1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lineRule="auto" w:line="240" w:before="0" w:after="0"/>
                              <w:jc w:val="righ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lineRule="auto" w:line="240" w:before="0" w:after="0"/>
                        <w:jc w:val="right"/>
                        <w:rPr>
                          <w:color w:val="000000"/>
                        </w:rPr>
                      </w:pPr>
                      <w:r>
                        <w:rPr>
                          <w:color w:val="000000"/>
                        </w:rPr>
                        <w:t>        </w:t>
                      </w:r>
                    </w:p>
                  </w:txbxContent>
                </v:textbox>
                <w10:wrap type="none"/>
              </v:rect>
            </w:pict>
          </mc:Fallback>
        </mc:AlternateContent>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i.The date the Board, a committee of the Board, or the officer or officers of the Company authorized to take such action if Board action is not required, concludes, or reasonably should have concluded, that the Company is required to prepare an accounting restatement as described in this Policy; or</w:t>
      </w:r>
    </w:p>
    <w:p>
      <w:pPr>
        <w:pStyle w:val="TextBody"/>
        <w:bidi w:val="0"/>
        <w:spacing w:before="0" w:after="0"/>
        <w:jc w:val="both"/>
        <w:rPr/>
      </w:pPr>
      <w:r>
        <w:rPr/>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ii.The date a court, regulator, or other legally authorized body directs the Company to prepare an accounting restatement as described in this Policy.</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Clawback Period</w:t>
      </w:r>
      <w:r>
        <w:rPr>
          <w:color w:val="000000"/>
        </w:rPr>
        <w:t xml:space="preserve">” </w:t>
      </w:r>
      <w:r>
        <w:rPr>
          <w:rFonts w:ascii="Times New Roman;sans-serif" w:hAnsi="Times New Roman;sans-serif"/>
          <w:b w:val="false"/>
          <w:color w:val="000000"/>
          <w:sz w:val="24"/>
        </w:rPr>
        <w:t xml:space="preserve">means the three (3) completed fiscal years immediately prior to the Clawback Measurement Date and any transition period between the last day of the Company’s previous fiscal year end and the first day of its new fiscal year (that results from a change in the Company’s fiscal year) within or immediately following such three (3)-year period; provided that any transition period between the last day of the Company’s previous fiscal year end and the first day of its new fiscal year that comprises a period of 9 to 12 months will be deemed a completed fiscal year. </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Company</w:t>
      </w:r>
      <w:r>
        <w:rPr>
          <w:color w:val="000000"/>
        </w:rPr>
        <w:t xml:space="preserve">” </w:t>
      </w:r>
      <w:r>
        <w:rPr>
          <w:rFonts w:ascii="Times New Roman;sans-serif" w:hAnsi="Times New Roman;sans-serif"/>
          <w:b w:val="false"/>
          <w:color w:val="000000"/>
          <w:sz w:val="24"/>
        </w:rPr>
        <w:t>means Nextdoor Holdings, Inc., a Delaware corporation, or any successor corporation.</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Covered Person</w:t>
      </w:r>
      <w:r>
        <w:rPr>
          <w:color w:val="000000"/>
        </w:rPr>
        <w:t xml:space="preserve">” </w:t>
      </w:r>
      <w:r>
        <w:rPr>
          <w:rFonts w:ascii="Times New Roman;sans-serif" w:hAnsi="Times New Roman;sans-serif"/>
          <w:b w:val="false"/>
          <w:color w:val="000000"/>
          <w:sz w:val="24"/>
        </w:rPr>
        <w:t>means any Executive Officer (as defined in the Final Rules), including, but not limited to, those persons who are or have been determined to be “officers” of the Company within the meaning of Section 16 of Rule 16a-1(f) of the rules promulgated under the Exchange Act, and “executive officers” of the Company within the meaning of Item 401(b) of Regulation S-K, Rule 3b-7 promulgated under the Exchange Act, and Rule 405 promulgated under the Securities Act of 1933, as amended; provided that the Administrator may identify additional employees who shall be treated as Covered Persons for the purposes of this Policy with prospective effect, in accordance with the Final Rules.</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Effective Date</w:t>
      </w:r>
      <w:r>
        <w:rPr>
          <w:color w:val="000000"/>
        </w:rPr>
        <w:t xml:space="preserve">” </w:t>
      </w:r>
      <w:r>
        <w:rPr>
          <w:rFonts w:ascii="Times New Roman;sans-serif" w:hAnsi="Times New Roman;sans-serif"/>
          <w:b w:val="false"/>
          <w:color w:val="000000"/>
          <w:sz w:val="24"/>
        </w:rPr>
        <w:t>means November 2, 2023, the date the Policy was adopted by the Board.</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Exchange</w:t>
      </w:r>
      <w:r>
        <w:rPr>
          <w:color w:val="000000"/>
        </w:rPr>
        <w:t xml:space="preserve">” </w:t>
      </w:r>
      <w:r>
        <w:rPr>
          <w:rFonts w:ascii="Times New Roman;sans-serif" w:hAnsi="Times New Roman;sans-serif"/>
          <w:b w:val="false"/>
          <w:color w:val="000000"/>
          <w:sz w:val="24"/>
        </w:rPr>
        <w:t xml:space="preserve">means the New York Stock Exchange or any other national securities exchange or national securities association in the United States on which the Company has listed its securities for trading. </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Exchange Act</w:t>
      </w:r>
      <w:r>
        <w:rPr>
          <w:color w:val="000000"/>
        </w:rPr>
        <w:t xml:space="preserve">” </w:t>
      </w:r>
      <w:r>
        <w:rPr>
          <w:rFonts w:ascii="Times New Roman;sans-serif" w:hAnsi="Times New Roman;sans-serif"/>
          <w:b w:val="false"/>
          <w:color w:val="000000"/>
          <w:sz w:val="24"/>
        </w:rPr>
        <w:t>means the Securities Exchange Act of 1934, as amended.</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Final Rules</w:t>
      </w:r>
      <w:r>
        <w:rPr>
          <w:color w:val="000000"/>
        </w:rPr>
        <w:t xml:space="preserve">” </w:t>
      </w:r>
      <w:r>
        <w:rPr>
          <w:rFonts w:ascii="Times New Roman;sans-serif" w:hAnsi="Times New Roman;sans-serif"/>
          <w:b w:val="false"/>
          <w:color w:val="000000"/>
          <w:sz w:val="24"/>
        </w:rPr>
        <w:t>means the final rules promulgated by the SEC under Section 954 of the Dodd-Frank Act, Rule 10D-1 and Exchange listing standards, as may be amended from time to time.</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Financial Reporting Measure</w:t>
      </w:r>
      <w:r>
        <w:rPr>
          <w:color w:val="000000"/>
        </w:rPr>
        <w:t xml:space="preserve">” </w:t>
      </w:r>
      <w:r>
        <w:rPr>
          <w:rFonts w:ascii="Times New Roman;sans-serif" w:hAnsi="Times New Roman;sans-serif"/>
          <w:b w:val="false"/>
          <w:color w:val="000000"/>
          <w:sz w:val="24"/>
        </w:rPr>
        <w:t xml:space="preserve">are measures that are determined and presented in accordance with the accounting principles used in preparing the Company’s financial statements, and any measures that are derived wholly or in part from such measures. Stock price and TSR are also financial reporting measures. A financial reporting measure need not be presented within the financial statements or included in a filing with the SEC. </w:t>
      </w:r>
    </w:p>
    <w:p>
      <w:pPr>
        <w:pStyle w:val="TextBody"/>
        <w:bidi w:val="0"/>
        <w:spacing w:lineRule="auto" w:line="240" w:before="0" w:after="200"/>
        <w:jc w:val="both"/>
        <w:rPr/>
      </w:pP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 xml:space="preserve">means compensation that is granted, earned or vested based wholly or in part on the attainment of any Financial Reporting Measure. [Examples of “Incentive-Based Compensation” include, but are not limited to: non-equity incentive plan awards that are earned based wholly or in part on satisfying a Financial Reporting Measure performance goal; bonuses paid from a “bonus pool,” the size of which is determined based wholly or in part on satisfying a Financial Reporting Measure performance goal; other cash awards based on satisfaction of a Financial Reporting Measure performance goal; restricted stock, restricted stock units, performance share units, stock options, and SARs that are granted or become vested based wholly or in part on satisfying a Financial Reporting Measure goal; and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21945"/>
                <wp:effectExtent l="0" t="0" r="0" b="0"/>
                <wp:wrapNone/>
                <wp:docPr id="161" name="Frame1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lineRule="auto" w:line="240" w:before="0" w:after="0"/>
                              <w:jc w:val="righ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lineRule="auto" w:line="240" w:before="0" w:after="0"/>
                        <w:jc w:val="right"/>
                        <w:rPr>
                          <w:color w:val="000000"/>
                        </w:rPr>
                      </w:pPr>
                      <w:r>
                        <w:rPr>
                          <w:color w:val="000000"/>
                        </w:rPr>
                        <w:t>        </w:t>
                      </w:r>
                    </w:p>
                  </w:txbxContent>
                </v:textbox>
                <w10:wrap type="none"/>
              </v:rect>
            </w:pict>
          </mc:Fallback>
        </mc:AlternateContent>
      </w:r>
    </w:p>
    <w:p>
      <w:pPr>
        <w:pStyle w:val="TextBody"/>
        <w:bidi w:val="0"/>
        <w:spacing w:lineRule="auto" w:line="240" w:before="0" w:after="200"/>
        <w:jc w:val="both"/>
        <w:rPr/>
      </w:pPr>
      <w:r>
        <w:rPr>
          <w:rFonts w:ascii="Times New Roman;sans-serif" w:hAnsi="Times New Roman;sans-serif"/>
          <w:b w:val="false"/>
          <w:color w:val="000000"/>
          <w:sz w:val="24"/>
        </w:rPr>
        <w:t>proceeds received upon the sale of shares acquired through an incentive plan that were granted or vested based wholly or in part on satisfying a Financial Reporting Measure goal. “Incentive-Based Compensation” excludes, for example, time-based awards such as stock options or restricted stock units that are granted or vest </w:t>
      </w:r>
      <w:r>
        <w:rPr>
          <w:rFonts w:ascii="Times New Roman;sans-serif" w:hAnsi="Times New Roman;sans-serif"/>
          <w:b w:val="false"/>
          <w:i/>
          <w:color w:val="000000"/>
          <w:sz w:val="24"/>
        </w:rPr>
        <w:t>solely</w:t>
      </w:r>
      <w:r>
        <w:rPr>
          <w:color w:val="000000"/>
        </w:rPr>
        <w:t> </w:t>
      </w:r>
      <w:r>
        <w:rPr>
          <w:rFonts w:ascii="Times New Roman;sans-serif" w:hAnsi="Times New Roman;sans-serif"/>
          <w:b w:val="false"/>
          <w:color w:val="000000"/>
          <w:sz w:val="24"/>
        </w:rPr>
        <w:t>upon completion of a service period; awards based on non-financial strategic or operating metrics such as the consummation of a merger or achievement of non-financial business goals; service-based retention bonuses; discretionary compensation; and salary.]</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Listing Rule Effective Date</w:t>
      </w:r>
      <w:r>
        <w:rPr>
          <w:color w:val="000000"/>
        </w:rPr>
        <w:t xml:space="preserve">” </w:t>
      </w:r>
      <w:r>
        <w:rPr>
          <w:rFonts w:ascii="Times New Roman;sans-serif" w:hAnsi="Times New Roman;sans-serif"/>
          <w:b w:val="false"/>
          <w:color w:val="000000"/>
          <w:sz w:val="24"/>
        </w:rPr>
        <w:t>means the effective date of the listing standards of the Exchange on which the Company’s securities are listed.</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Policy</w:t>
      </w:r>
      <w:r>
        <w:rPr>
          <w:color w:val="000000"/>
        </w:rPr>
        <w:t xml:space="preserve">” </w:t>
      </w:r>
      <w:r>
        <w:rPr>
          <w:rFonts w:ascii="Times New Roman;sans-serif" w:hAnsi="Times New Roman;sans-serif"/>
          <w:b w:val="false"/>
          <w:color w:val="000000"/>
          <w:sz w:val="24"/>
        </w:rPr>
        <w:t xml:space="preserve">means this Compensation Recovery Policy. </w:t>
      </w:r>
    </w:p>
    <w:p>
      <w:pPr>
        <w:pStyle w:val="TextBody"/>
        <w:bidi w:val="0"/>
        <w:spacing w:lineRule="auto" w:line="240" w:before="0" w:after="240"/>
        <w:jc w:val="both"/>
        <w:rPr/>
      </w:pPr>
      <w:r>
        <w:rPr>
          <w:rFonts w:ascii="Times New Roman;sans-serif" w:hAnsi="Times New Roman;sans-serif"/>
          <w:b w:val="false"/>
          <w:color w:val="000000"/>
          <w:sz w:val="24"/>
        </w:rPr>
        <w:t>Incentive-Based Compensation is deemed “</w:t>
      </w:r>
      <w:r>
        <w:rPr>
          <w:rFonts w:ascii="Times New Roman;sans-serif" w:hAnsi="Times New Roman;sans-serif"/>
          <w:b/>
          <w:i/>
          <w:color w:val="000000"/>
          <w:sz w:val="24"/>
        </w:rPr>
        <w:t>Received</w:t>
      </w:r>
      <w:r>
        <w:rPr>
          <w:color w:val="000000"/>
        </w:rPr>
        <w:t xml:space="preserve">” </w:t>
      </w:r>
      <w:r>
        <w:rPr>
          <w:rFonts w:ascii="Times New Roman;sans-serif" w:hAnsi="Times New Roman;sans-serif"/>
          <w:b w:val="false"/>
          <w:color w:val="000000"/>
          <w:sz w:val="24"/>
        </w:rPr>
        <w:t>in the Company’s fiscal period during which the relevant Financial Reporting Measure specified in the Incentive-Based Compensation award is attained, irrespective of whether the payment or grant occurs on a later date or if there are additional vesting or payment requirements, such as time-based vesting or certification or approval by the Compensation and People Development Committee or Board, that have not yet been satisfied.</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Recoupment Amount</w:t>
      </w:r>
      <w:r>
        <w:rPr>
          <w:color w:val="000000"/>
        </w:rPr>
        <w:t xml:space="preserve">” </w:t>
      </w:r>
      <w:r>
        <w:rPr>
          <w:rFonts w:ascii="Times New Roman;sans-serif" w:hAnsi="Times New Roman;sans-serif"/>
          <w:b w:val="false"/>
          <w:color w:val="000000"/>
          <w:sz w:val="24"/>
        </w:rPr>
        <w:t>means the amount of Incentive-Based Compensation Received by the Covered Person based on the financial statements prior to the restatement that exceeds the amount such Covered Person would have received had the Incentive-Based Compensation been determined based on the financial restatement, computed without regard to any taxes paid (</w:t>
      </w:r>
      <w:r>
        <w:rPr>
          <w:rFonts w:ascii="Times New Roman;sans-serif" w:hAnsi="Times New Roman;sans-serif"/>
          <w:b w:val="false"/>
          <w:i/>
          <w:color w:val="000000"/>
          <w:sz w:val="24"/>
        </w:rPr>
        <w:t>i.e</w:t>
      </w:r>
      <w:r>
        <w:rPr>
          <w:rFonts w:ascii="Times New Roman;sans-serif" w:hAnsi="Times New Roman;sans-serif"/>
          <w:b w:val="false"/>
          <w:color w:val="000000"/>
          <w:sz w:val="24"/>
        </w:rPr>
        <w:t>., gross of taxes withheld).</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SARs</w:t>
      </w:r>
      <w:r>
        <w:rPr>
          <w:color w:val="000000"/>
        </w:rPr>
        <w:t xml:space="preserve">” </w:t>
      </w:r>
      <w:r>
        <w:rPr>
          <w:rFonts w:ascii="Times New Roman;sans-serif" w:hAnsi="Times New Roman;sans-serif"/>
          <w:b w:val="false"/>
          <w:color w:val="000000"/>
          <w:sz w:val="24"/>
        </w:rPr>
        <w:t>means stock appreciation rights.</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SEC</w:t>
      </w:r>
      <w:r>
        <w:rPr>
          <w:color w:val="000000"/>
        </w:rPr>
        <w:t xml:space="preserve">” </w:t>
      </w:r>
      <w:r>
        <w:rPr>
          <w:rFonts w:ascii="Times New Roman;sans-serif" w:hAnsi="Times New Roman;sans-serif"/>
          <w:b w:val="false"/>
          <w:color w:val="000000"/>
          <w:sz w:val="24"/>
        </w:rPr>
        <w:t>means the U.S. Securities and Exchange Commission.</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SOX 304</w:t>
      </w:r>
      <w:r>
        <w:rPr>
          <w:color w:val="000000"/>
        </w:rPr>
        <w:t xml:space="preserve">” </w:t>
      </w:r>
      <w:r>
        <w:rPr>
          <w:rFonts w:ascii="Times New Roman;sans-serif" w:hAnsi="Times New Roman;sans-serif"/>
          <w:b w:val="false"/>
          <w:color w:val="000000"/>
          <w:sz w:val="24"/>
        </w:rPr>
        <w:t>means Section 304 of the Sarbanes-Oxley Act of 2002.</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Triggering Event</w:t>
      </w:r>
      <w:r>
        <w:rPr>
          <w:color w:val="000000"/>
        </w:rPr>
        <w:t xml:space="preserve">” </w:t>
      </w:r>
      <w:r>
        <w:rPr>
          <w:rFonts w:ascii="Times New Roman;sans-serif" w:hAnsi="Times New Roman;sans-serif"/>
          <w:b w:val="false"/>
          <w:color w:val="000000"/>
          <w:sz w:val="24"/>
        </w:rPr>
        <w:t xml:space="preserve">means any event in which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TSR</w:t>
      </w:r>
      <w:r>
        <w:rPr>
          <w:color w:val="000000"/>
        </w:rPr>
        <w:t xml:space="preserve">” </w:t>
      </w:r>
      <w:r>
        <w:rPr>
          <w:rFonts w:ascii="Times New Roman;sans-serif" w:hAnsi="Times New Roman;sans-serif"/>
          <w:b w:val="false"/>
          <w:color w:val="000000"/>
          <w:sz w:val="24"/>
        </w:rPr>
        <w:t>means total stockholder return.</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21945"/>
                <wp:effectExtent l="0" t="0" r="0" b="0"/>
                <wp:wrapNone/>
                <wp:docPr id="162" name="Frame1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lineRule="auto" w:line="240" w:before="0" w:after="0"/>
                              <w:jc w:val="righ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lineRule="auto" w:line="240" w:before="0" w:after="0"/>
                        <w:jc w:val="right"/>
                        <w:rPr>
                          <w:color w:val="000000"/>
                        </w:rPr>
                      </w:pPr>
                      <w:r>
                        <w:rPr>
                          <w:color w:val="000000"/>
                        </w:rPr>
                        <w:t>        </w:t>
                      </w:r>
                    </w:p>
                  </w:txbxContent>
                </v:textbox>
                <w10:wrap type="none"/>
              </v:rect>
            </w:pict>
          </mc:Fallback>
        </mc:AlternateContent>
      </w:r>
    </w:p>
    <w:p>
      <w:pPr>
        <w:pStyle w:val="TextBody"/>
        <w:bidi w:val="0"/>
        <w:spacing w:lineRule="auto" w:line="319" w:before="0" w:after="20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319" w:before="0" w:after="200"/>
        <w:jc w:val="center"/>
        <w:rPr>
          <w:rFonts w:ascii="Times New Roman;sans-serif" w:hAnsi="Times New Roman;sans-serif"/>
          <w:b/>
          <w:color w:val="000000"/>
          <w:sz w:val="24"/>
        </w:rPr>
      </w:pPr>
      <w:r>
        <w:rPr>
          <w:rFonts w:ascii="Times New Roman;sans-serif" w:hAnsi="Times New Roman;sans-serif"/>
          <w:b/>
          <w:color w:val="000000"/>
          <w:sz w:val="24"/>
        </w:rPr>
        <w:t>Certification</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 certify that:</w:t>
      </w:r>
    </w:p>
    <w:p>
      <w:pPr>
        <w:pStyle w:val="TextBody"/>
        <w:bidi w:val="0"/>
        <w:spacing w:lineRule="auto" w:line="240" w:before="0" w:after="240"/>
        <w:ind w:left="0" w:right="0" w:hanging="360"/>
        <w:jc w:val="both"/>
        <w:rPr/>
      </w:pPr>
      <w:r>
        <w:rPr>
          <w:rFonts w:ascii="Calibri;sans-serif" w:hAnsi="Calibri;sans-serif"/>
          <w:b w:val="false"/>
          <w:color w:val="000000"/>
          <w:sz w:val="22"/>
        </w:rPr>
        <w:t>1.</w:t>
      </w:r>
      <w:r>
        <w:rPr>
          <w:rFonts w:ascii="Times New Roman;sans-serif" w:hAnsi="Times New Roman;sans-serif"/>
          <w:b w:val="false"/>
          <w:color w:val="000000"/>
          <w:sz w:val="24"/>
        </w:rPr>
        <w:t>I have read and understand the Company’s Compensation Recovery Policy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I understand that Nextdoor Holdings,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is available to answer any questions I have regarding the Policy.</w:t>
      </w:r>
    </w:p>
    <w:p>
      <w:pPr>
        <w:pStyle w:val="TextBody"/>
        <w:bidi w:val="0"/>
        <w:spacing w:lineRule="auto" w:line="240" w:before="0" w:after="240"/>
        <w:ind w:left="0" w:right="0" w:hanging="360"/>
        <w:jc w:val="both"/>
        <w:rPr/>
      </w:pPr>
      <w:r>
        <w:rPr>
          <w:rFonts w:ascii="Calibri;sans-serif" w:hAnsi="Calibri;sans-serif"/>
          <w:b w:val="false"/>
          <w:color w:val="000000"/>
          <w:sz w:val="22"/>
        </w:rPr>
        <w:t>2.</w:t>
      </w:r>
      <w:r>
        <w:rPr>
          <w:rFonts w:ascii="Times New Roman;sans-serif" w:hAnsi="Times New Roman;sans-serif"/>
          <w:b w:val="false"/>
          <w:color w:val="000000"/>
          <w:sz w:val="24"/>
        </w:rPr>
        <w:t xml:space="preserve">I understand that the Policy applies to all of my existing and future compensation-related agreements with the Company, whether or not explicitly stated therein. </w:t>
      </w:r>
    </w:p>
    <w:p>
      <w:pPr>
        <w:pStyle w:val="TextBody"/>
        <w:bidi w:val="0"/>
        <w:spacing w:lineRule="auto" w:line="240" w:before="0" w:after="240"/>
        <w:ind w:left="0" w:right="0" w:hanging="360"/>
        <w:jc w:val="both"/>
        <w:rPr/>
      </w:pPr>
      <w:r>
        <w:rPr>
          <w:rFonts w:ascii="Calibri;sans-serif" w:hAnsi="Calibri;sans-serif"/>
          <w:b w:val="false"/>
          <w:color w:val="000000"/>
          <w:sz w:val="22"/>
        </w:rPr>
        <w:t>3.</w:t>
      </w:r>
      <w:r>
        <w:rPr>
          <w:rFonts w:ascii="Times New Roman;sans-serif" w:hAnsi="Times New Roman;sans-serif"/>
          <w:b w:val="false"/>
          <w:color w:val="000000"/>
          <w:sz w:val="24"/>
        </w:rPr>
        <w:t>I agree that notwithstanding the Company’s certificate of incorporation, bylaws, and any agreement I have with the Company, including any indemnity agreement I have with the Company, I will not be entitled to, and will not seek indemnification from the Company for, any amounts recovered or recoverable by the Company in accordance with the Policy.</w:t>
      </w:r>
    </w:p>
    <w:p>
      <w:pPr>
        <w:pStyle w:val="TextBody"/>
        <w:bidi w:val="0"/>
        <w:spacing w:lineRule="auto" w:line="240" w:before="0" w:after="240"/>
        <w:ind w:left="0" w:right="0" w:hanging="360"/>
        <w:jc w:val="both"/>
        <w:rPr/>
      </w:pPr>
      <w:r>
        <w:rPr>
          <w:rFonts w:ascii="Calibri;sans-serif" w:hAnsi="Calibri;sans-serif"/>
          <w:b w:val="false"/>
          <w:color w:val="000000"/>
          <w:sz w:val="22"/>
        </w:rPr>
        <w:t>4.</w:t>
      </w:r>
      <w:r>
        <w:rPr>
          <w:rFonts w:ascii="Times New Roman;sans-serif" w:hAnsi="Times New Roman;sans-serif"/>
          <w:b w:val="false"/>
          <w:color w:val="000000"/>
          <w:sz w:val="24"/>
        </w:rPr>
        <w:t xml:space="preserve">I understand and agree that in the event of a conflict between the Policy and the foregoing agreements and understandings on the one hand, and any prior, existing or future agreement, arrangement or understanding, whether oral or written, with respect to the subject matter of the Policy and this Certification, on the other hand, the terms of the Policy and this Certification shall control, and the terms of this Certification shall supersede any provision of such an agreement, arrangement or understanding to the extent of such conflict with respect to the subject matter of the Policy and this Certification; provided that, in accordance with Section 8 of the Policy, nothing herein limits any other remedies or rights of recoupment that may be available to the Company. </w:t>
      </w:r>
    </w:p>
    <w:p>
      <w:pPr>
        <w:pStyle w:val="TextBody"/>
        <w:bidi w:val="0"/>
        <w:spacing w:lineRule="auto" w:line="240" w:before="0" w:after="240"/>
        <w:ind w:left="0" w:right="0" w:hanging="360"/>
        <w:jc w:val="both"/>
        <w:rPr/>
      </w:pPr>
      <w:r>
        <w:rPr>
          <w:rFonts w:ascii="Calibri;sans-serif" w:hAnsi="Calibri;sans-serif"/>
          <w:b w:val="false"/>
          <w:color w:val="000000"/>
          <w:sz w:val="22"/>
        </w:rPr>
        <w:t>5.</w:t>
      </w:r>
      <w:r>
        <w:rPr>
          <w:rFonts w:ascii="Times New Roman;sans-serif" w:hAnsi="Times New Roman;sans-serif"/>
          <w:b w:val="false"/>
          <w:color w:val="000000"/>
          <w:sz w:val="24"/>
        </w:rPr>
        <w:t>I agree to abide by the terms of the Policy, including, without limitation, by returning any erroneously awarded Incentive-Based Compensation to the Company to the extent required by, and in a manner permitted by, the Policy.</w:t>
      </w:r>
    </w:p>
    <w:p>
      <w:pPr>
        <w:pStyle w:val="TextBody"/>
        <w:bidi w:val="0"/>
        <w:spacing w:before="0" w:after="240"/>
        <w:ind w:left="0" w:right="0" w:firstLine="720"/>
        <w:jc w:val="left"/>
        <w:rPr/>
      </w:pPr>
      <w:r>
        <w:rPr/>
      </w:r>
    </w:p>
    <w:p>
      <w:pPr>
        <w:pStyle w:val="TextBody"/>
        <w:bidi w:val="0"/>
        <w:spacing w:lineRule="auto" w:line="319" w:before="0" w:after="200"/>
        <w:jc w:val="both"/>
        <w:rPr/>
      </w:pPr>
      <w:r>
        <w:rPr>
          <w:rFonts w:ascii="Times New Roman;sans-serif" w:hAnsi="Times New Roman;sans-serif"/>
          <w:b w:val="false"/>
          <w:color w:val="000000"/>
          <w:sz w:val="24"/>
        </w:rPr>
        <w:t xml:space="preserve">Signature: </w:t>
      </w:r>
      <w:r>
        <w:rPr>
          <w:color w:val="000000"/>
          <w:u w:val="single"/>
        </w:rPr>
        <w:t>                </w:t>
      </w:r>
    </w:p>
    <w:p>
      <w:pPr>
        <w:pStyle w:val="TextBody"/>
        <w:bidi w:val="0"/>
        <w:spacing w:before="0" w:after="200"/>
        <w:jc w:val="both"/>
        <w:rPr/>
      </w:pPr>
      <w:r>
        <w:rPr/>
      </w:r>
    </w:p>
    <w:p>
      <w:pPr>
        <w:pStyle w:val="TextBody"/>
        <w:bidi w:val="0"/>
        <w:spacing w:lineRule="auto" w:line="319" w:before="0" w:after="200"/>
        <w:jc w:val="both"/>
        <w:rPr/>
      </w:pPr>
      <w:r>
        <w:rPr>
          <w:rFonts w:ascii="Times New Roman;sans-serif" w:hAnsi="Times New Roman;sans-serif"/>
          <w:b w:val="false"/>
          <w:color w:val="000000"/>
          <w:sz w:val="24"/>
        </w:rPr>
        <w:t xml:space="preserve">Name: </w:t>
      </w:r>
      <w:r>
        <w:rPr>
          <w:color w:val="000000"/>
          <w:u w:val="single"/>
        </w:rPr>
        <w:t>                    </w:t>
      </w:r>
    </w:p>
    <w:p>
      <w:pPr>
        <w:pStyle w:val="TextBody"/>
        <w:bidi w:val="0"/>
        <w:spacing w:before="0" w:after="200"/>
        <w:jc w:val="both"/>
        <w:rPr/>
      </w:pPr>
      <w:r>
        <w:rPr/>
      </w:r>
    </w:p>
    <w:p>
      <w:pPr>
        <w:pStyle w:val="TextBody"/>
        <w:bidi w:val="0"/>
        <w:spacing w:lineRule="auto" w:line="319" w:before="0" w:after="200"/>
        <w:jc w:val="both"/>
        <w:rPr/>
      </w:pPr>
      <w:r>
        <w:rPr>
          <w:rFonts w:ascii="Times New Roman;sans-serif" w:hAnsi="Times New Roman;sans-serif"/>
          <w:b w:val="false"/>
          <w:color w:val="000000"/>
          <w:sz w:val="24"/>
        </w:rPr>
        <w:t xml:space="preserve">Title: </w:t>
      </w:r>
      <w:r>
        <w:rPr>
          <w:color w:val="000000"/>
          <w:u w:val="single"/>
        </w:rPr>
        <w:t>                    </w:t>
      </w:r>
    </w:p>
    <w:p>
      <w:pPr>
        <w:pStyle w:val="TextBody"/>
        <w:bidi w:val="0"/>
        <w:spacing w:before="0" w:after="200"/>
        <w:jc w:val="both"/>
        <w:rPr/>
      </w:pPr>
      <w:r>
        <w:rPr/>
      </w:r>
    </w:p>
    <w:p>
      <w:pPr>
        <w:pStyle w:val="TextBody"/>
        <w:bidi w:val="0"/>
        <w:spacing w:lineRule="auto" w:line="319" w:before="0" w:after="200"/>
        <w:jc w:val="both"/>
        <w:rPr/>
      </w:pPr>
      <w:r>
        <w:rPr>
          <w:rFonts w:ascii="Times New Roman;sans-serif" w:hAnsi="Times New Roman;sans-serif"/>
          <w:b w:val="false"/>
          <w:color w:val="000000"/>
          <w:sz w:val="24"/>
        </w:rPr>
        <w:t xml:space="preserve">Date: </w:t>
      </w:r>
      <w:r>
        <w:rPr>
          <w:color w:val="000000"/>
          <w:u w:val="single"/>
        </w:rPr>
        <w:t>                    </w:t>
      </w:r>
    </w:p>
    <w:p>
      <w:pPr>
        <w:pStyle w:val="TextBody"/>
        <w:bidi w:val="0"/>
        <w:spacing w:before="0" w:after="2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21945"/>
                <wp:effectExtent l="0" t="0" r="0" b="0"/>
                <wp:wrapNone/>
                <wp:docPr id="163" name="Frame1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lineRule="auto" w:line="240" w:before="0" w:after="0"/>
                              <w:jc w:val="righ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lineRule="auto" w:line="240" w:before="0" w:after="0"/>
                        <w:jc w:val="right"/>
                        <w:rPr>
                          <w:color w:val="000000"/>
                        </w:rPr>
                      </w:pPr>
                      <w:r>
                        <w:rPr>
                          <w:color w:val="000000"/>
                        </w:rPr>
                        <w:t>        </w:t>
                      </w:r>
                    </w:p>
                  </w:txbxContent>
                </v:textbox>
                <w10:wrap type="none"/>
              </v:rect>
            </w:pict>
          </mc:Fallback>
        </mc:AlternateContent>
      </w:r>
    </w:p>
    <w:p>
      <w:pPr>
        <w:pStyle w:val="TextBody"/>
        <w:bidi w:val="0"/>
        <w:spacing w:lineRule="auto" w:line="319" w:before="0" w:after="200"/>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lineRule="auto" w:line="319" w:before="0" w:after="200"/>
        <w:jc w:val="center"/>
        <w:rPr>
          <w:rFonts w:ascii="Times New Roman;sans-serif" w:hAnsi="Times New Roman;sans-serif"/>
          <w:b/>
          <w:color w:val="000000"/>
          <w:sz w:val="24"/>
        </w:rPr>
      </w:pPr>
      <w:r>
        <w:rPr>
          <w:rFonts w:ascii="Times New Roman;sans-serif" w:hAnsi="Times New Roman;sans-serif"/>
          <w:b/>
          <w:color w:val="000000"/>
          <w:sz w:val="24"/>
        </w:rPr>
        <w:t>Calculation Guidelines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purposes of calculating the Recoupment Amount: </w:t>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i.For cash awards not paid from bonus pools, the erroneously awarded compensation is the difference between the amount of the cash award (whether payable as a lump sum or over time) that was received and the amount that should have been received applying the restated Financial Reporting Measure.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ii.For cash awards paid from bonus pools, the erroneously awarded compensation is the pro rata portion of any deficiency that results from the aggregate bonus pool that is reduced based on applying the restated Financial Reporting Measure.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iii.For equity awards, if the shares, options, restricted stock units, or SARs are still held at the time of recovery, the erroneously awarded compensation is the number of such securities received in excess of the number that should have been received applying the restated Financial Reporting Measure (or the value of that excess number). If the options or SARs have been exercised, but the underlying shares have not been sold, the erroneously awarded compensation is the number of shares underlying the excess options or SARs (or the value thereof). If the underlying shares have been sold, the Company may recoup proceeds received from the sale of shares.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iv.For Incentive-Based Compensation based on stock price or TSR, where the amount of erroneously awarded compensation is not subject to mathematical recalculation directly from the information in an accounting restatement: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a.The amount must be based on a reasonable estimate of the effect of the accounting restatement on the stock price or TSR upon which the Incentive-Based Compensation was Received; and</w:t>
      </w:r>
    </w:p>
    <w:p>
      <w:pPr>
        <w:pStyle w:val="TextBody"/>
        <w:bidi w:val="0"/>
        <w:spacing w:before="0" w:after="0"/>
        <w:jc w:val="both"/>
        <w:rPr/>
      </w:pPr>
      <w:r>
        <w:rPr/>
      </w:r>
    </w:p>
    <w:p>
      <w:pPr>
        <w:pStyle w:val="TextBody"/>
        <w:bidi w:val="0"/>
        <w:spacing w:lineRule="auto" w:line="240" w:before="0" w:after="240"/>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4"/>
        </w:rPr>
        <w:t>The Company must maintain documentation of the determination of that reasonable estimate and the Company must provide such documentation to the Exchange in all cases.</w:t>
      </w:r>
    </w:p>
    <w:p>
      <w:pPr>
        <w:pStyle w:val="TextBody"/>
        <w:bidi w:val="0"/>
        <w:spacing w:before="0" w:after="20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21945"/>
                <wp:effectExtent l="0" t="0" r="0" b="0"/>
                <wp:wrapNone/>
                <wp:docPr id="164" name="Frame1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p>
                            <w:pPr>
                              <w:pStyle w:val="TextBody"/>
                              <w:bidi w:val="0"/>
                              <w:spacing w:lineRule="auto" w:line="240" w:before="0" w:after="0"/>
                              <w:jc w:val="righ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lineRule="auto" w:line="240" w:before="0" w:after="0"/>
                        <w:jc w:val="righ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Lato">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s://www.sec.gov/Archives/edgar/data/0001846069/000162828021023197/exhibit31-super8xk.htm" TargetMode="External"/><Relationship Id="rId12" Type="http://schemas.openxmlformats.org/officeDocument/2006/relationships/hyperlink" Target="https://www.sec.gov/Archives/edgar/data/1846069/000184606922000061/kind-amendedandrestatedb.htm" TargetMode="External"/><Relationship Id="rId13" Type="http://schemas.openxmlformats.org/officeDocument/2006/relationships/hyperlink" Target="https://www.sec.gov/Archives/edgar/data/0001846069/000162828021023197/exhibit41-super8xk.htm" TargetMode="External"/><Relationship Id="rId14" Type="http://schemas.openxmlformats.org/officeDocument/2006/relationships/hyperlink" Target="https://www.sec.gov/Archives/edgar/data/0001846069/000162828021023197/exhibit105-super8xk.htm" TargetMode="External"/><Relationship Id="rId15" Type="http://schemas.openxmlformats.org/officeDocument/2006/relationships/hyperlink" Target="https://www.sec.gov/Archives/edgar/data/0001846069/000162828021014051/exhibit1024-sx4.htm" TargetMode="External"/><Relationship Id="rId16" Type="http://schemas.openxmlformats.org/officeDocument/2006/relationships/hyperlink" Target="https://www.sec.gov/Archives/edgar/data/0001846069/000162828021014051/exhibit1026-sx4.htm" TargetMode="External"/><Relationship Id="rId17" Type="http://schemas.openxmlformats.org/officeDocument/2006/relationships/hyperlink" Target="https://www.sec.gov/Archives/edgar/data/0001846069/000162828021014051/exhibit1027-sx4.htm" TargetMode="External"/><Relationship Id="rId18" Type="http://schemas.openxmlformats.org/officeDocument/2006/relationships/hyperlink" Target="https://www.sec.gov/Archives/edgar/data/0001846069/000162828021014051/exhibit1025-sx4.htm" TargetMode="External"/><Relationship Id="rId19" Type="http://schemas.openxmlformats.org/officeDocument/2006/relationships/hyperlink" Target="https://www.sec.gov/Archives/edgar/data/0001846069/000162828021014051/exhibit1028-sx4.htm" TargetMode="External"/><Relationship Id="rId20" Type="http://schemas.openxmlformats.org/officeDocument/2006/relationships/hyperlink" Target="https://www.sec.gov/Archives/edgar/data/1846069/000162828021014051/exhibit1029-sx4.htm" TargetMode="External"/><Relationship Id="rId21" Type="http://schemas.openxmlformats.org/officeDocument/2006/relationships/hyperlink" Target="https://www.sec.gov/Archives/edgar/data/0001846069/000162828021023197/exhibit1018-super8xk.htm" TargetMode="External"/><Relationship Id="rId22" Type="http://schemas.openxmlformats.org/officeDocument/2006/relationships/hyperlink" Target="https://www.sec.gov/Archives/edgar/data/0001846069/000162828021023197/exhibit107-super8xk.htm" TargetMode="External"/><Relationship Id="rId23" Type="http://schemas.openxmlformats.org/officeDocument/2006/relationships/hyperlink" Target="https://www.sec.gov/Archives/edgar/data/1846069/000162828021014051/exhibit1015-sx4.htm" TargetMode="External"/><Relationship Id="rId24" Type="http://schemas.openxmlformats.org/officeDocument/2006/relationships/hyperlink" Target="https://www.sec.gov/Archives/edgar/data/0001846069/000162828021014051/exhibit1016-sx4.htm" TargetMode="External"/><Relationship Id="rId25" Type="http://schemas.openxmlformats.org/officeDocument/2006/relationships/hyperlink" Target="https://www.sec.gov/Archives/edgar/data/0001846069/000162828021023197/exhibit1010-super8xk.htm" TargetMode="External"/><Relationship Id="rId26" Type="http://schemas.openxmlformats.org/officeDocument/2006/relationships/hyperlink" Target="https://www.sec.gov/Archives/edgar/data/0001846069/000162828021014051/exhibit1018-sx4.htm" TargetMode="External"/><Relationship Id="rId27" Type="http://schemas.openxmlformats.org/officeDocument/2006/relationships/hyperlink" Target="https://www.sec.gov/Archives/edgar/data/0001846069/000162828021014051/exhibit1020-sx4.htm" TargetMode="External"/><Relationship Id="rId28" Type="http://schemas.openxmlformats.org/officeDocument/2006/relationships/hyperlink" Target="https://www.sec.gov/Archives/edgar/data/0001846069/000162828021014051/exhibit1020-sx4.htm" TargetMode="External"/><Relationship Id="rId29" Type="http://schemas.openxmlformats.org/officeDocument/2006/relationships/hyperlink" Target="https://www.sec.gov/Archives/edgar/data/0001846069/000162828021014051/exhibit1020-sx4.htm" TargetMode="External"/><Relationship Id="rId30" Type="http://schemas.openxmlformats.org/officeDocument/2006/relationships/hyperlink" Target="https://www.sec.gov/Archives/edgar/data/1846069/000162828021014051/exhibit1022-sx4.htm" TargetMode="External"/><Relationship Id="rId31" Type="http://schemas.openxmlformats.org/officeDocument/2006/relationships/hyperlink" Target="https://www.sec.gov/Archives/edgar/data/0001846069/000162828021014051/exhibit1021-sx4.htm" TargetMode="External"/><Relationship Id="rId32" Type="http://schemas.openxmlformats.org/officeDocument/2006/relationships/hyperlink" Target="https://www.sec.gov/Archives/edgar/data/0001846069/000162828021023197/exhibit106-super8xk.htm" TargetMode="External"/><Relationship Id="rId33" Type="http://schemas.openxmlformats.org/officeDocument/2006/relationships/hyperlink" Target="https://www.sec.gov/Archives/edgar/data/1846069/000162828021014051/exhibit1023-sx4.htm" TargetMode="External"/><Relationship Id="rId34" Type="http://schemas.openxmlformats.org/officeDocument/2006/relationships/hyperlink" Target="https://www.sec.gov/Archives/edgar/data/1846069/000162828021014051/exhibit1019-sx4.htm" TargetMode="External"/><Relationship Id="rId35" Type="http://schemas.openxmlformats.org/officeDocument/2006/relationships/hyperlink" Target="https://www.sec.gov/Archives/edgar/data/0001846069/000162828021023197/exhibit211-super8k.htm" TargetMode="External"/><Relationship Id="rId36" Type="http://schemas.openxmlformats.org/officeDocument/2006/relationships/image" Target="media/image10.png"/><Relationship Id="rId37" Type="http://schemas.openxmlformats.org/officeDocument/2006/relationships/image" Target="media/image10.png"/><Relationship Id="rId38" Type="http://schemas.openxmlformats.org/officeDocument/2006/relationships/image" Target="media/image10.png"/><Relationship Id="rId39" Type="http://schemas.openxmlformats.org/officeDocument/2006/relationships/image" Target="media/image10.png"/><Relationship Id="rId40" Type="http://schemas.openxmlformats.org/officeDocument/2006/relationships/image" Target="media/image10.png"/><Relationship Id="rId41" Type="http://schemas.openxmlformats.org/officeDocument/2006/relationships/image" Target="media/image10.png"/><Relationship Id="rId42" Type="http://schemas.openxmlformats.org/officeDocument/2006/relationships/image" Target="media/image10.png"/><Relationship Id="rId43" Type="http://schemas.openxmlformats.org/officeDocument/2006/relationships/image" Target="media/image10.png"/><Relationship Id="rId44" Type="http://schemas.openxmlformats.org/officeDocument/2006/relationships/image" Target="media/image10.png"/><Relationship Id="rId45" Type="http://schemas.openxmlformats.org/officeDocument/2006/relationships/image" Target="media/image11.png"/><Relationship Id="rId46" Type="http://schemas.openxmlformats.org/officeDocument/2006/relationships/image" Target="media/image10.pn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76606</Words>
  <Characters>426149</Characters>
  <CharactersWithSpaces>500574</CharactersWithSpaces>
  <Paragraphs>4483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