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0006.xml.htm"/>
      <w:bookmarkStart w:id="1" w:name="kswkform4_17924400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Kiernan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NEXTDOOR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 TAYLOR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Nextdoor Holdings, Inc.</w:t>
              </w:r>
            </w:hyperlink>
            <w:r>
              <w:rPr/>
              <w:t xml:space="preserve"> [ </w:t>
            </w:r>
            <w:r>
              <w:rPr>
                <w:rFonts w:ascii="Times;serif" w:hAnsi="Times;serif"/>
                <w:color w:val="0000FF"/>
                <w:sz w:val="24"/>
                <w:shd w:fill="FFFFFF" w:val="clear"/>
              </w:rPr>
              <w:t>NXDR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523,602</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30,036</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493,566</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27,631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521,197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15,280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505,917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27,631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359,195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 award vests in eight equal quarterly installments on January 15, April 15, July 15 and October 15 of each calendar year, with the first such vesting event on April 15,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do not expire; they either vest or are cancelled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 award vests in equal quarterly installments over four years on January 15, April 15, July 15 and October 15 of each calendar year, with the first such vesting date on April 15, 2026,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Sophia Contreras Schwartz,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765" TargetMode="External"/><Relationship Id="rId5" Type="http://schemas.openxmlformats.org/officeDocument/2006/relationships/hyperlink" Target="http://www.sec.gov/cgi-bin/browse-edgar?action=getcompany&amp;CIK=00018460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779</Words>
  <Characters>4081</Characters>
  <CharactersWithSpaces>4740</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