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880" w:hanging="368"/>
        <w:spacing w:after="0"/>
        <w:tabs>
          <w:tab w:leader="none" w:pos="8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40" w:lineRule="exact"/>
        <w:rPr>
          <w:sz w:val="24"/>
          <w:szCs w:val="24"/>
          <w:color w:val="auto"/>
        </w:rPr>
      </w:pPr>
    </w:p>
    <w:p>
      <w:pPr>
        <w:ind w:left="880" w:hanging="386"/>
        <w:spacing w:after="0"/>
        <w:tabs>
          <w:tab w:leader="none" w:pos="8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001-40246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144145</wp:posOffset>
            </wp:positionV>
            <wp:extent cx="1311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Nextdoor Holdings, Inc.</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133350</wp:posOffset>
            </wp:positionV>
            <wp:extent cx="1311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80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60" w:type="dxa"/>
            <w:vAlign w:val="bottom"/>
          </w:tcPr>
          <w:p>
            <w:pPr>
              <w:jc w:val="right"/>
              <w:ind w:right="1968"/>
              <w:spacing w:after="0"/>
              <w:rPr>
                <w:sz w:val="20"/>
                <w:szCs w:val="20"/>
                <w:color w:val="auto"/>
              </w:rPr>
            </w:pPr>
            <w:r>
              <w:rPr>
                <w:rFonts w:ascii="Times New Roman" w:cs="Times New Roman" w:eastAsia="Times New Roman" w:hAnsi="Times New Roman"/>
                <w:sz w:val="14"/>
                <w:szCs w:val="14"/>
                <w:b w:val="1"/>
                <w:bCs w:val="1"/>
                <w:color w:val="auto"/>
              </w:rPr>
              <w:t>86-1776836</w:t>
            </w:r>
          </w:p>
        </w:tc>
        <w:tc>
          <w:tcPr>
            <w:tcW w:w="0" w:type="dxa"/>
            <w:vAlign w:val="bottom"/>
          </w:tcPr>
          <w:p>
            <w:pPr>
              <w:spacing w:after="0"/>
              <w:rPr>
                <w:sz w:val="1"/>
                <w:szCs w:val="1"/>
                <w:color w:val="auto"/>
              </w:rPr>
            </w:pPr>
          </w:p>
        </w:tc>
      </w:tr>
      <w:tr>
        <w:trPr>
          <w:trHeight w:val="158"/>
        </w:trPr>
        <w:tc>
          <w:tcPr>
            <w:tcW w:w="3800" w:type="dxa"/>
            <w:vAlign w:val="bottom"/>
          </w:tcPr>
          <w:p>
            <w:pPr>
              <w:jc w:val="center"/>
              <w:ind w:left="868"/>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560" w:type="dxa"/>
            <w:vAlign w:val="bottom"/>
          </w:tcPr>
          <w:p>
            <w:pPr>
              <w:jc w:val="center"/>
              <w:ind w:right="1168"/>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0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60" w:type="dxa"/>
            <w:vAlign w:val="bottom"/>
          </w:tcPr>
          <w:p>
            <w:pPr>
              <w:jc w:val="center"/>
              <w:ind w:right="114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512"/>
        </w:trPr>
        <w:tc>
          <w:tcPr>
            <w:tcW w:w="380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420 Taylor Street</w:t>
            </w:r>
          </w:p>
        </w:tc>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60" w:type="dxa"/>
            <w:vAlign w:val="bottom"/>
            <w:vMerge w:val="restart"/>
          </w:tcPr>
          <w:p>
            <w:pPr>
              <w:jc w:val="right"/>
              <w:ind w:right="2148"/>
              <w:spacing w:after="0"/>
              <w:rPr>
                <w:sz w:val="20"/>
                <w:szCs w:val="20"/>
                <w:color w:val="auto"/>
              </w:rPr>
            </w:pPr>
            <w:r>
              <w:rPr>
                <w:rFonts w:ascii="Times New Roman" w:cs="Times New Roman" w:eastAsia="Times New Roman" w:hAnsi="Times New Roman"/>
                <w:sz w:val="14"/>
                <w:szCs w:val="14"/>
                <w:b w:val="1"/>
                <w:bCs w:val="1"/>
                <w:color w:val="auto"/>
              </w:rPr>
              <w:t>94102</w:t>
            </w:r>
          </w:p>
        </w:tc>
        <w:tc>
          <w:tcPr>
            <w:tcW w:w="0" w:type="dxa"/>
            <w:vAlign w:val="bottom"/>
          </w:tcPr>
          <w:p>
            <w:pPr>
              <w:spacing w:after="0"/>
              <w:rPr>
                <w:sz w:val="1"/>
                <w:szCs w:val="1"/>
                <w:color w:val="auto"/>
              </w:rPr>
            </w:pPr>
          </w:p>
        </w:tc>
      </w:tr>
      <w:tr>
        <w:trPr>
          <w:trHeight w:val="148"/>
        </w:trPr>
        <w:tc>
          <w:tcPr>
            <w:tcW w:w="380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San Francisco, California</w:t>
            </w:r>
          </w:p>
        </w:tc>
        <w:tc>
          <w:tcPr>
            <w:tcW w:w="7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60" w:type="dxa"/>
            <w:vAlign w:val="bottom"/>
          </w:tcPr>
          <w:p>
            <w:pPr>
              <w:jc w:val="center"/>
              <w:ind w:right="114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05"/>
        </w:trPr>
        <w:tc>
          <w:tcPr>
            <w:tcW w:w="7700" w:type="dxa"/>
            <w:vAlign w:val="bottom"/>
            <w:gridSpan w:val="4"/>
          </w:tcPr>
          <w:p>
            <w:pPr>
              <w:jc w:val="center"/>
              <w:ind w:left="348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(415) 344-0333</w:t>
            </w:r>
          </w:p>
        </w:tc>
        <w:tc>
          <w:tcPr>
            <w:tcW w:w="3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39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3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Borders>
              <w:left w:val="single" w:sz="8" w:color="auto"/>
              <w:bottom w:val="single" w:sz="8" w:color="auto"/>
            </w:tcBorders>
          </w:tcPr>
          <w:p>
            <w:pPr>
              <w:jc w:val="center"/>
              <w:ind w:left="648"/>
              <w:spacing w:after="0"/>
              <w:rPr>
                <w:sz w:val="20"/>
                <w:szCs w:val="20"/>
                <w:color w:val="auto"/>
              </w:rPr>
            </w:pPr>
            <w:r>
              <w:rPr>
                <w:rFonts w:ascii="Times New Roman" w:cs="Times New Roman" w:eastAsia="Times New Roman" w:hAnsi="Times New Roman"/>
                <w:sz w:val="14"/>
                <w:szCs w:val="14"/>
                <w:color w:val="auto"/>
              </w:rPr>
              <w:t>Title of each class</w:t>
            </w:r>
          </w:p>
        </w:tc>
        <w:tc>
          <w:tcPr>
            <w:tcW w:w="700" w:type="dxa"/>
            <w:vAlign w:val="bottom"/>
            <w:tcBorders>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940" w:type="dxa"/>
            <w:vAlign w:val="bottom"/>
            <w:tcBorders>
              <w:bottom w:val="single" w:sz="8" w:color="auto"/>
            </w:tcBorders>
          </w:tcPr>
          <w:p>
            <w:pPr>
              <w:spacing w:after="0"/>
              <w:rPr>
                <w:sz w:val="16"/>
                <w:szCs w:val="16"/>
                <w:color w:val="auto"/>
              </w:rPr>
            </w:pPr>
          </w:p>
        </w:tc>
        <w:tc>
          <w:tcPr>
            <w:tcW w:w="3560" w:type="dxa"/>
            <w:vAlign w:val="bottom"/>
            <w:tcBorders>
              <w:bottom w:val="single" w:sz="8" w:color="auto"/>
              <w:right w:val="single" w:sz="8" w:color="auto"/>
            </w:tcBorders>
          </w:tcPr>
          <w:p>
            <w:pPr>
              <w:jc w:val="center"/>
              <w:ind w:right="88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3800" w:type="dxa"/>
            <w:vAlign w:val="bottom"/>
            <w:tcBorders>
              <w:left w:val="single" w:sz="8" w:color="auto"/>
              <w:bottom w:val="single" w:sz="8" w:color="auto"/>
            </w:tcBorders>
          </w:tcPr>
          <w:p>
            <w:pPr>
              <w:jc w:val="center"/>
              <w:ind w:left="648"/>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70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KIND</w:t>
            </w:r>
          </w:p>
        </w:tc>
        <w:tc>
          <w:tcPr>
            <w:tcW w:w="940" w:type="dxa"/>
            <w:vAlign w:val="bottom"/>
            <w:tcBorders>
              <w:bottom w:val="single" w:sz="8" w:color="auto"/>
            </w:tcBorders>
          </w:tcPr>
          <w:p>
            <w:pPr>
              <w:spacing w:after="0"/>
              <w:rPr>
                <w:sz w:val="17"/>
                <w:szCs w:val="17"/>
                <w:color w:val="auto"/>
              </w:rPr>
            </w:pPr>
          </w:p>
        </w:tc>
        <w:tc>
          <w:tcPr>
            <w:tcW w:w="3560" w:type="dxa"/>
            <w:vAlign w:val="bottom"/>
            <w:tcBorders>
              <w:bottom w:val="single" w:sz="8" w:color="auto"/>
              <w:right w:val="single" w:sz="8" w:color="auto"/>
            </w:tcBorders>
          </w:tcPr>
          <w:p>
            <w:pPr>
              <w:jc w:val="center"/>
              <w:ind w:right="88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261" w:lineRule="exact"/>
        <w:rPr>
          <w:sz w:val="24"/>
          <w:szCs w:val="24"/>
          <w:color w:val="auto"/>
        </w:rPr>
      </w:pPr>
    </w:p>
    <w:p>
      <w:pPr>
        <w:ind w:right="200"/>
        <w:spacing w:after="0" w:line="20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2" w:lineRule="exact"/>
        <w:rPr>
          <w:sz w:val="24"/>
          <w:szCs w:val="24"/>
          <w:color w:val="auto"/>
        </w:rPr>
      </w:pPr>
    </w:p>
    <w:p>
      <w:pPr>
        <w:ind w:right="2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ind w:right="46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Accelerated filer</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4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3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right="58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61" w:lineRule="exact"/>
        <w:tabs>
          <w:tab w:leader="none" w:pos="6700" w:val="left"/>
          <w:tab w:leader="none" w:pos="73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August 5, 2024, there were 187,941,328 shares of the registrant’s Class A common stock outstanding and 191,967,084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979805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67722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ectPr>
          <w:pgSz w:w="11900" w:h="16838" w:orient="portrait"/>
          <w:cols w:equalWidth="0" w:num="1">
            <w:col w:w="11260"/>
          </w:cols>
          <w:pgMar w:left="320" w:top="84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100" w:type="dxa"/>
            <w:vAlign w:val="bottom"/>
            <w:gridSpan w:val="11"/>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20" w:type="dxa"/>
            <w:vAlign w:val="bottom"/>
          </w:tcPr>
          <w:p>
            <w:pPr>
              <w:spacing w:after="0"/>
              <w:rPr>
                <w:sz w:val="15"/>
                <w:szCs w:val="15"/>
                <w:color w:val="auto"/>
              </w:rPr>
            </w:pPr>
          </w:p>
        </w:tc>
        <w:tc>
          <w:tcPr>
            <w:tcW w:w="1036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480" w:type="dxa"/>
            <w:vAlign w:val="bottom"/>
            <w:tcBorders>
              <w:top w:val="single" w:sz="8" w:color="auto"/>
            </w:tcBorders>
            <w:gridSpan w:val="3"/>
          </w:tcPr>
          <w:p>
            <w:pPr>
              <w:jc w:val="center"/>
              <w:ind w:left="230"/>
              <w:spacing w:after="0" w:line="182" w:lineRule="exact"/>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6480" w:type="dxa"/>
            <w:vAlign w:val="bottom"/>
            <w:gridSpan w:val="12"/>
          </w:tcPr>
          <w:p>
            <w:pPr>
              <w:spacing w:after="0"/>
              <w:rPr>
                <w:sz w:val="18"/>
                <w:szCs w:val="18"/>
                <w:color w:val="auto"/>
              </w:rPr>
            </w:pP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18"/>
                <w:szCs w:val="18"/>
                <w:color w:val="0000FF"/>
                <w:w w:val="99"/>
              </w:rPr>
              <w:t>Part I - Financial Information</w:t>
            </w:r>
          </w:p>
        </w:tc>
        <w:tc>
          <w:tcPr>
            <w:tcW w:w="3460" w:type="dxa"/>
            <w:vAlign w:val="bottom"/>
            <w:gridSpan w:val="3"/>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Comprehensive Loss</w:t>
            </w:r>
          </w:p>
        </w:tc>
        <w:tc>
          <w:tcPr>
            <w:tcW w:w="4680" w:type="dxa"/>
            <w:vAlign w:val="bottom"/>
            <w:gridSpan w:val="5"/>
          </w:tcPr>
          <w:p>
            <w:pPr>
              <w:spacing w:after="0"/>
              <w:rPr>
                <w:sz w:val="18"/>
                <w:szCs w:val="18"/>
                <w:color w:val="auto"/>
              </w:rPr>
            </w:pP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8</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9</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680" w:type="dxa"/>
            <w:vAlign w:val="bottom"/>
            <w:gridSpan w:val="5"/>
          </w:tcPr>
          <w:p>
            <w:pPr>
              <w:spacing w:after="0"/>
              <w:rPr>
                <w:sz w:val="18"/>
                <w:szCs w:val="18"/>
                <w:color w:val="auto"/>
              </w:rPr>
            </w:pP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11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11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24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580" w:type="dxa"/>
            <w:vAlign w:val="bottom"/>
            <w:gridSpan w:val="2"/>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80" w:type="dxa"/>
            <w:vAlign w:val="bottom"/>
            <w:gridSpan w:val="5"/>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Part II - Other Information</w:t>
            </w:r>
          </w:p>
        </w:tc>
        <w:tc>
          <w:tcPr>
            <w:tcW w:w="3560" w:type="dxa"/>
            <w:vAlign w:val="bottom"/>
            <w:gridSpan w:val="4"/>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00" w:type="dxa"/>
            <w:vAlign w:val="bottom"/>
          </w:tcPr>
          <w:p>
            <w:pPr>
              <w:spacing w:after="0"/>
              <w:rPr>
                <w:sz w:val="18"/>
                <w:szCs w:val="18"/>
                <w:color w:val="auto"/>
              </w:rPr>
            </w:pPr>
          </w:p>
        </w:tc>
        <w:tc>
          <w:tcPr>
            <w:tcW w:w="7720" w:type="dxa"/>
            <w:vAlign w:val="bottom"/>
            <w:gridSpan w:val="16"/>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20" w:type="dxa"/>
            <w:vAlign w:val="bottom"/>
            <w:gridSpan w:val="1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Use of Proceeds, and Issuer Purchases of Equity Securities</w:t>
            </w:r>
          </w:p>
        </w:tc>
        <w:tc>
          <w:tcPr>
            <w:tcW w:w="1880" w:type="dxa"/>
            <w:vAlign w:val="bottom"/>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4820" w:type="dxa"/>
            <w:vAlign w:val="bottom"/>
            <w:gridSpan w:val="13"/>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4820" w:type="dxa"/>
            <w:vAlign w:val="bottom"/>
            <w:gridSpan w:val="13"/>
          </w:tcPr>
          <w:p>
            <w:pPr>
              <w:spacing w:after="0"/>
              <w:rPr>
                <w:sz w:val="18"/>
                <w:szCs w:val="18"/>
                <w:color w:val="auto"/>
              </w:rPr>
            </w:pPr>
          </w:p>
        </w:tc>
        <w:tc>
          <w:tcPr>
            <w:tcW w:w="1880" w:type="dxa"/>
            <w:vAlign w:val="bottom"/>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60" w:type="dxa"/>
            <w:vAlign w:val="bottom"/>
          </w:tcPr>
          <w:p>
            <w:pPr>
              <w:spacing w:after="0"/>
              <w:rPr>
                <w:sz w:val="18"/>
                <w:szCs w:val="18"/>
                <w:color w:val="auto"/>
              </w:rPr>
            </w:pPr>
          </w:p>
        </w:tc>
        <w:tc>
          <w:tcPr>
            <w:tcW w:w="6700" w:type="dxa"/>
            <w:vAlign w:val="bottom"/>
            <w:gridSpan w:val="14"/>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60" w:type="dxa"/>
            <w:vAlign w:val="bottom"/>
            <w:gridSpan w:val="15"/>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720" w:type="dxa"/>
            <w:vAlign w:val="bottom"/>
            <w:gridSpan w:val="16"/>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720" w:type="dxa"/>
            <w:vAlign w:val="bottom"/>
            <w:gridSpan w:val="16"/>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68</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69</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92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480" w:type="dxa"/>
            <w:vAlign w:val="bottom"/>
            <w:gridSpan w:val="16"/>
          </w:tcPr>
          <w:p>
            <w:pPr>
              <w:ind w:left="44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within the meaning of the federal securities laws. All statements contained in this Quarterly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“projects,” “plans,” “targets,” and variations of such words and similar expressions are intended to identify forward-looking statements. Forward-looking statements in this Quarterly Report may include, for example, statements about:</w:t>
      </w:r>
    </w:p>
    <w:p>
      <w:pPr>
        <w:spacing w:after="0" w:line="189"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including our ability to scale new neighbor growth, our ability to grow engagement by our existing neighbor base and our ability to increase monetization of our platform;</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monetization efforts;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economic, and macroeconomic climate, whether in the advertising industry in general, or among specific types of advertisers or within particular geographies, including but not limited to the impacts related to the upcoming U.S. election, turmoil in the global banking system, labor shortages, supply chain disruptions, a potential recession, a potential temporary federal government shutdown, inflation, and changing interest rates;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operations abroad by opening new and expanding within existing neighborhoods outside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general economic conditions;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invest in, and the ultimate success of, technologies aimed at enhancing our business solutions and delivering additional value to our platform;</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effectively;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profitability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sources of capital to finance operations and growth;</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strategic relationships with third parties;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on the New York Stock Exchange;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both within and outside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and complexities with compliance related to such environment;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as a result of interruptions, delays, or failures resulting from earthquakes, fires, floods, adverse weather conditions, other natural disasters, power loss, terrorism, pandemics, geopolitical conflict (including the war in Ukraine and war in the Middle East), other physical security threats, cyber-attacks, or other catastrophic events;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in Part II, Item 1A, “Risk Factors” in this Quarterly Report.</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 risks, uncertainties and assumptions, including those described in Part II, Item 1A, “Risk Factors” in this Quarterly Report. Readers are urged to carefully review and consider the various disclosures made in this Quarterly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herein and have filed with the SEC as exhibits to this Quarterly Report with the understanding that our actual future results, performance, and events and circumstances may be materially different from what we expect.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used in this Quarterly Report, the terms “Nextdoor,” “we,” “us,” “Registrant,” and “our” mean Nextdoor Holdings, Inc. and its subsidiaries unless the context indicates otherwise. The term “Business Combination” refers to the transactions contemplated by the that certain Agreement and Plan of Merger, dated as of July 6, 2021, by and among Khosla Ventures Acquisition Co. II, Nextdoor, Inc., and Lorelei Merger Sub Inc., as amended by Amendment No. 1 to the Agreement and Plan of Merger, dated as of September 30, 2021, including (i) the merger contemplated by the Agreement and Plan of Merger, whereby Lorelei Merger Sub Inc. merged with and into Nextdoor, Inc., with Nextdoor, Inc. surviving the merger as a wholly-owned subsidiary of Khosla Ventures Acquisition Co. II, and (ii) the private placement pursuant to which investors collectively subscribed for 27,000,000 shares of our Class A common stock at $10.00 per share, for an aggregate purchase price of $270,000,000.</w:t>
      </w:r>
    </w:p>
    <w:p>
      <w:pPr>
        <w:spacing w:after="0" w:line="200" w:lineRule="exact"/>
        <w:rPr>
          <w:sz w:val="20"/>
          <w:szCs w:val="20"/>
          <w:color w:val="auto"/>
        </w:rPr>
      </w:pPr>
    </w:p>
    <w:p>
      <w:pPr>
        <w:spacing w:after="0" w:line="38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You should carefully consider these risks and uncertainties when investing in our Class A common stock. Some of the principal risks and uncertainties include the following:</w:t>
      </w:r>
    </w:p>
    <w:p>
      <w:pPr>
        <w:spacing w:after="0" w:line="108" w:lineRule="exact"/>
        <w:rPr>
          <w:sz w:val="20"/>
          <w:szCs w:val="20"/>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global economic and financial conditions could harm our business and financial condition.</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generate substantially all of our revenue from advertising. If advertisers reduce or eliminate their spending with us, our business, operating results, and financial condition would be adversely impacted.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competitive. Competition presents an ongoing threat to the success of our business.</w:t>
      </w:r>
    </w:p>
    <w:p>
      <w:pPr>
        <w:spacing w:after="0" w:line="238" w:lineRule="exact"/>
        <w:rPr>
          <w:rFonts w:ascii="Times New Roman" w:cs="Times New Roman" w:eastAsia="Times New Roman" w:hAnsi="Times New Roman"/>
          <w:sz w:val="18"/>
          <w:szCs w:val="18"/>
          <w:color w:val="auto"/>
        </w:rPr>
      </w:pPr>
    </w:p>
    <w:p>
      <w:pPr>
        <w:jc w:val="both"/>
        <w:ind w:left="660" w:right="20" w:hanging="328"/>
        <w:spacing w:after="0" w:line="24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scale our business effectively, our business, operating results, and financial condition would be adversely affected.</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efforts to build strong brand identity and reputation are not successful, we may not be able to attract or retain neighbors, and our business, operating results, and financial condition will be adversely affected.</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expand our international operations where we have limited operating experience and may be subject to increased business, regulatory, and economic risks that could seriously harm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need additional capital in the future, it may not be available on favorable terms, if at all.</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third-party software and service providers, including the Google Ad Manager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software and service providers, including Amazon Web Services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Technologies have been developed that can block the display of advertisements on the Nextdoor platform, which could adversely impact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including improper access to or disclosure of our data or our neighbors’ data, or other hacking and phishing attacks on our or third-party systems, could harm our reputation and adversely affect our business.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20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market opportunities and key metric estimates could prove to be inaccurate, and any real or perceived inaccuracies may harm our reputation and negatively affect our business.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greater than anticipated tax liabilities, which could harm our business, revenue and financial results.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our Share Repurchase Program will be fully consummated or that it will enhance long-term stockholder value. Share repurchases could also increase the volatility of the trading price of our stock and diminish our cash reserves.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liable as a result of content or information that is published or made available on our platform.</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U.S. and foreign laws, regulations, and industry standards, many of which are subject to change and uncertain interpretations, which uncertainty could harm our business, operating results, and financial conditions.</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involved in legal disputes that are expensive and time consuming, and, if resolved adversely, could harm our business, operating results, and financial condition.</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systems of internal controls and disclosure controls could have a material adverse effect on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the value of our brands and other intangible assets may be diminished, and our business, operating results, and financial condition may be adversely affected.</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claim that our platform infringes their intellectual property rights and this may create liability for us or otherwise adversely affect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could subject us to possible litigation or could prevent us from offering products that include open source software or require us to obtain licenses on unfavorable terms.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license technology from third parties, and our inability to maintain those licenses could harm our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Class A common stock has been and may continue to be volatile.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may adversely affect the trading market for our Class A common stock.</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cash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16"/>
                <w:szCs w:val="16"/>
                <w:color w:val="auto"/>
              </w:rPr>
            </w:pPr>
          </w:p>
        </w:tc>
        <w:tc>
          <w:tcPr>
            <w:tcW w:w="15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60,233</w:t>
            </w: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470,868</w:t>
            </w:r>
          </w:p>
        </w:tc>
      </w:tr>
      <w:tr>
        <w:trPr>
          <w:trHeight w:val="176"/>
        </w:trPr>
        <w:tc>
          <w:tcPr>
            <w:tcW w:w="77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of $459 and $385 as of June 30, 2024 and December 31, 2023,</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26,233</w:t>
            </w:r>
          </w:p>
        </w:tc>
      </w:tr>
      <w:tr>
        <w:trPr>
          <w:trHeight w:val="229"/>
        </w:trPr>
        <w:tc>
          <w:tcPr>
            <w:tcW w:w="7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9,606</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566,940</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56,968</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654,564</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6"/>
        </w:trPr>
        <w:tc>
          <w:tcPr>
            <w:tcW w:w="7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27,308</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35,411</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60,378</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96,007</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175"/>
        </w:trPr>
        <w:tc>
          <w:tcPr>
            <w:tcW w:w="77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2,500,000 shares authorized, 187,107 and 186,415 shares</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43"/>
        </w:trPr>
        <w:tc>
          <w:tcPr>
            <w:tcW w:w="7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issued and outstanding as of June 30, 2024 and December 31, 2023, respectively</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175"/>
        </w:trPr>
        <w:tc>
          <w:tcPr>
            <w:tcW w:w="77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common stock, $0.0001 par value; 500,000 shares authorized, 192,098 and 201,960 shares</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issued and outstanding as of June 30, 2024 and December 31, 2023, respectively</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1,309,594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1,323,595</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30"/>
        </w:trPr>
        <w:tc>
          <w:tcPr>
            <w:tcW w:w="7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(766,020)</w:t>
            </w:r>
          </w:p>
        </w:tc>
      </w:tr>
      <w:tr>
        <w:trPr>
          <w:trHeight w:val="223"/>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558,557</w:t>
            </w:r>
          </w:p>
        </w:tc>
      </w:tr>
      <w:tr>
        <w:trPr>
          <w:trHeight w:val="223"/>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654,564</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106,660</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20,351</w:t>
            </w:r>
          </w:p>
        </w:tc>
        <w:tc>
          <w:tcPr>
            <w:tcW w:w="0" w:type="dxa"/>
            <w:vAlign w:val="bottom"/>
          </w:tcPr>
          <w:p>
            <w:pPr>
              <w:spacing w:after="0"/>
              <w:rPr>
                <w:sz w:val="1"/>
                <w:szCs w:val="1"/>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70,099</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60,595</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35,869</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200,203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186,914</w:t>
            </w:r>
          </w:p>
        </w:tc>
        <w:tc>
          <w:tcPr>
            <w:tcW w:w="0" w:type="dxa"/>
            <w:vAlign w:val="bottom"/>
          </w:tcPr>
          <w:p>
            <w:pPr>
              <w:spacing w:after="0"/>
              <w:rPr>
                <w:sz w:val="1"/>
                <w:szCs w:val="1"/>
                <w:color w:val="auto"/>
              </w:rPr>
            </w:pPr>
          </w:p>
        </w:tc>
      </w:tr>
      <w:tr>
        <w:trPr>
          <w:trHeight w:val="223"/>
        </w:trPr>
        <w:tc>
          <w:tcPr>
            <w:tcW w:w="5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(80,254)</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(68,694)</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(69,119)</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Class A and Class B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40" w:type="dxa"/>
            <w:vAlign w:val="bottom"/>
            <w:vMerge w:val="continue"/>
          </w:tcPr>
          <w:p>
            <w:pPr>
              <w:spacing w:after="0"/>
              <w:rPr>
                <w:sz w:val="10"/>
                <w:szCs w:val="10"/>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21"/>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shares used in computing net loss per share attributable to</w:t>
            </w: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388,090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375,896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390,154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374,469</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and Class B common stockholders, basic and diluted</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6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(69,119)</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unrealized loss on available-for-sale marketable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5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(69,185)</w:t>
            </w:r>
          </w:p>
        </w:tc>
      </w:tr>
      <w:tr>
        <w:trPr>
          <w:trHeight w:val="21"/>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2"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20" w:type="dxa"/>
            <w:vAlign w:val="bottom"/>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9"/>
                <w:szCs w:val="9"/>
                <w:color w:val="auto"/>
              </w:rPr>
            </w:pPr>
          </w:p>
        </w:tc>
        <w:tc>
          <w:tcPr>
            <w:tcW w:w="1020" w:type="dxa"/>
            <w:vAlign w:val="bottom"/>
            <w:vMerge w:val="restart"/>
          </w:tcPr>
          <w:p>
            <w:pPr>
              <w:jc w:val="right"/>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Stockholders’Equity</w:t>
            </w:r>
          </w:p>
        </w:tc>
        <w:tc>
          <w:tcPr>
            <w:tcW w:w="0" w:type="dxa"/>
            <w:vAlign w:val="bottom"/>
          </w:tcPr>
          <w:p>
            <w:pPr>
              <w:spacing w:after="0"/>
              <w:rPr>
                <w:sz w:val="1"/>
                <w:szCs w:val="1"/>
                <w:color w:val="auto"/>
              </w:rPr>
            </w:pPr>
          </w:p>
        </w:tc>
      </w:tr>
      <w:tr>
        <w:trPr>
          <w:trHeight w:val="216"/>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March 31, 2024</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189,631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201,251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$1,335,525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(794,281)</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541,442</w:t>
            </w:r>
          </w:p>
        </w:tc>
        <w:tc>
          <w:tcPr>
            <w:tcW w:w="0" w:type="dxa"/>
            <w:vAlign w:val="bottom"/>
          </w:tcPr>
          <w:p>
            <w:pPr>
              <w:spacing w:after="0"/>
              <w:rPr>
                <w:sz w:val="1"/>
                <w:szCs w:val="1"/>
                <w:color w:val="auto"/>
              </w:rPr>
            </w:pPr>
          </w:p>
        </w:tc>
      </w:tr>
      <w:tr>
        <w:trPr>
          <w:trHeight w:val="213"/>
        </w:trPr>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2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Tax withholdings on release of restricted</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 units</w:t>
            </w: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(18,069)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(43,734)</w:t>
            </w:r>
          </w:p>
        </w:tc>
        <w:tc>
          <w:tcPr>
            <w:tcW w:w="0" w:type="dxa"/>
            <w:vAlign w:val="bottom"/>
          </w:tcPr>
          <w:p>
            <w:pPr>
              <w:spacing w:after="0"/>
              <w:rPr>
                <w:sz w:val="1"/>
                <w:szCs w:val="1"/>
                <w:color w:val="auto"/>
              </w:rPr>
            </w:pPr>
          </w:p>
        </w:tc>
      </w:tr>
      <w:tr>
        <w:trPr>
          <w:trHeight w:val="165"/>
        </w:trPr>
        <w:tc>
          <w:tcPr>
            <w:tcW w:w="32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7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w:t>
            </w: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7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2,750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0" w:type="dxa"/>
            <w:vAlign w:val="bottom"/>
          </w:tcPr>
          <w:p>
            <w:pPr>
              <w:spacing w:after="0"/>
              <w:rPr>
                <w:sz w:val="1"/>
                <w:szCs w:val="1"/>
                <w:color w:val="auto"/>
              </w:rPr>
            </w:pPr>
          </w:p>
        </w:tc>
      </w:tr>
      <w:tr>
        <w:trPr>
          <w:trHeight w:val="213"/>
        </w:trPr>
        <w:tc>
          <w:tcPr>
            <w:tcW w:w="3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 options</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16,235</w:t>
            </w:r>
          </w:p>
        </w:tc>
        <w:tc>
          <w:tcPr>
            <w:tcW w:w="0" w:type="dxa"/>
            <w:vAlign w:val="bottom"/>
          </w:tcPr>
          <w:p>
            <w:pPr>
              <w:spacing w:after="0"/>
              <w:rPr>
                <w:sz w:val="1"/>
                <w:szCs w:val="1"/>
                <w:color w:val="auto"/>
              </w:rPr>
            </w:pPr>
          </w:p>
        </w:tc>
      </w:tr>
      <w:tr>
        <w:trPr>
          <w:trHeight w:val="213"/>
        </w:trPr>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(42,781)</w:t>
            </w:r>
          </w:p>
        </w:tc>
        <w:tc>
          <w:tcPr>
            <w:tcW w:w="0" w:type="dxa"/>
            <w:vAlign w:val="bottom"/>
          </w:tcPr>
          <w:p>
            <w:pPr>
              <w:spacing w:after="0"/>
              <w:rPr>
                <w:sz w:val="1"/>
                <w:szCs w:val="1"/>
                <w:color w:val="auto"/>
              </w:rPr>
            </w:pPr>
          </w:p>
        </w:tc>
      </w:tr>
      <w:tr>
        <w:trPr>
          <w:trHeight w:val="212"/>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Balances as of June 30, 2024</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187,107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192,098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1,309,594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(837,062)</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472,314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3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20" w:type="dxa"/>
            <w:vAlign w:val="bottom"/>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9"/>
                <w:szCs w:val="9"/>
                <w:color w:val="auto"/>
              </w:rPr>
            </w:pPr>
          </w:p>
        </w:tc>
        <w:tc>
          <w:tcPr>
            <w:tcW w:w="1020" w:type="dxa"/>
            <w:vAlign w:val="bottom"/>
            <w:vMerge w:val="restart"/>
          </w:tcPr>
          <w:p>
            <w:pPr>
              <w:jc w:val="right"/>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Stockholders’Equity</w:t>
            </w:r>
          </w:p>
        </w:tc>
        <w:tc>
          <w:tcPr>
            <w:tcW w:w="0" w:type="dxa"/>
            <w:vAlign w:val="bottom"/>
          </w:tcPr>
          <w:p>
            <w:pPr>
              <w:spacing w:after="0"/>
              <w:rPr>
                <w:sz w:val="1"/>
                <w:szCs w:val="1"/>
                <w:color w:val="auto"/>
              </w:rPr>
            </w:pPr>
          </w:p>
        </w:tc>
      </w:tr>
      <w:tr>
        <w:trPr>
          <w:trHeight w:val="216"/>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March 31, 2023</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158,918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215,596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$1,249,043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(651,971)</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596,424</w:t>
            </w:r>
          </w:p>
        </w:tc>
        <w:tc>
          <w:tcPr>
            <w:tcW w:w="0" w:type="dxa"/>
            <w:vAlign w:val="bottom"/>
          </w:tcPr>
          <w:p>
            <w:pPr>
              <w:spacing w:after="0"/>
              <w:rPr>
                <w:sz w:val="1"/>
                <w:szCs w:val="1"/>
                <w:color w:val="auto"/>
              </w:rPr>
            </w:pPr>
          </w:p>
        </w:tc>
      </w:tr>
      <w:tr>
        <w:trPr>
          <w:trHeight w:val="230"/>
        </w:trPr>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7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w:t>
            </w: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7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984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0" w:type="dxa"/>
            <w:vAlign w:val="bottom"/>
          </w:tcPr>
          <w:p>
            <w:pPr>
              <w:spacing w:after="0"/>
              <w:rPr>
                <w:sz w:val="1"/>
                <w:szCs w:val="1"/>
                <w:color w:val="auto"/>
              </w:rPr>
            </w:pPr>
          </w:p>
        </w:tc>
      </w:tr>
      <w:tr>
        <w:trPr>
          <w:trHeight w:val="213"/>
        </w:trPr>
        <w:tc>
          <w:tcPr>
            <w:tcW w:w="3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 options</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21,576</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0" w:type="dxa"/>
            <w:vAlign w:val="bottom"/>
          </w:tcPr>
          <w:p>
            <w:pPr>
              <w:spacing w:after="0"/>
              <w:rPr>
                <w:sz w:val="1"/>
                <w:szCs w:val="1"/>
                <w:color w:val="auto"/>
              </w:rPr>
            </w:pPr>
          </w:p>
        </w:tc>
      </w:tr>
      <w:tr>
        <w:trPr>
          <w:trHeight w:val="213"/>
        </w:trPr>
        <w:tc>
          <w:tcPr>
            <w:tcW w:w="3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(35,403)</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(35,403)</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June 30, 2023</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168,422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209,194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1,272,676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(687,374)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583,078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94"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17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8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9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560" w:type="dxa"/>
            <w:vAlign w:val="bottom"/>
          </w:tcPr>
          <w:p>
            <w:pPr>
              <w:spacing w:after="0"/>
              <w:rPr>
                <w:sz w:val="8"/>
                <w:szCs w:val="8"/>
                <w:color w:val="auto"/>
              </w:rPr>
            </w:pPr>
          </w:p>
        </w:tc>
        <w:tc>
          <w:tcPr>
            <w:tcW w:w="1720" w:type="dxa"/>
            <w:vAlign w:val="bottom"/>
            <w:gridSpan w:val="5"/>
            <w:vMerge w:val="continue"/>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90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restart"/>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20" w:type="dxa"/>
            <w:vAlign w:val="bottom"/>
          </w:tcPr>
          <w:p>
            <w:pPr>
              <w:spacing w:after="0"/>
              <w:rPr>
                <w:sz w:val="17"/>
                <w:szCs w:val="17"/>
                <w:color w:val="auto"/>
              </w:rPr>
            </w:pPr>
          </w:p>
        </w:tc>
        <w:tc>
          <w:tcPr>
            <w:tcW w:w="7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7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186,415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201,960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$1,323,595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(766,020)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558,557</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Tax withholdings on release of restricted stock</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units</w:t>
            </w: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(22,518)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(53,484)</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8,834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8,835</w:t>
            </w:r>
          </w:p>
        </w:tc>
        <w:tc>
          <w:tcPr>
            <w:tcW w:w="0" w:type="dxa"/>
            <w:vAlign w:val="bottom"/>
          </w:tcPr>
          <w:p>
            <w:pPr>
              <w:spacing w:after="0"/>
              <w:rPr>
                <w:sz w:val="1"/>
                <w:szCs w:val="1"/>
                <w:color w:val="auto"/>
              </w:rPr>
            </w:pPr>
          </w:p>
        </w:tc>
      </w:tr>
      <w:tr>
        <w:trPr>
          <w:trHeight w:val="213"/>
        </w:trPr>
        <w:tc>
          <w:tcPr>
            <w:tcW w:w="3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options</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acquisition</w:t>
            </w: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0" w:type="dxa"/>
            <w:vAlign w:val="bottom"/>
          </w:tcPr>
          <w:p>
            <w:pPr>
              <w:spacing w:after="0"/>
              <w:rPr>
                <w:sz w:val="1"/>
                <w:szCs w:val="1"/>
                <w:color w:val="auto"/>
              </w:rPr>
            </w:pPr>
          </w:p>
        </w:tc>
      </w:tr>
      <w:tr>
        <w:trPr>
          <w:trHeight w:val="213"/>
        </w:trPr>
        <w:tc>
          <w:tcPr>
            <w:tcW w:w="3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plan</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35,741</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(71,042)</w:t>
            </w:r>
          </w:p>
        </w:tc>
        <w:tc>
          <w:tcPr>
            <w:tcW w:w="0" w:type="dxa"/>
            <w:vAlign w:val="bottom"/>
          </w:tcPr>
          <w:p>
            <w:pPr>
              <w:spacing w:after="0"/>
              <w:rPr>
                <w:sz w:val="1"/>
                <w:szCs w:val="1"/>
                <w:color w:val="auto"/>
              </w:rPr>
            </w:pPr>
          </w:p>
        </w:tc>
      </w:tr>
      <w:tr>
        <w:trPr>
          <w:trHeight w:val="212"/>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Balances as of June 30,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187,107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192,098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1,309,594</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(837,062)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472,314</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17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8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9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560" w:type="dxa"/>
            <w:vAlign w:val="bottom"/>
          </w:tcPr>
          <w:p>
            <w:pPr>
              <w:spacing w:after="0"/>
              <w:rPr>
                <w:sz w:val="9"/>
                <w:szCs w:val="9"/>
                <w:color w:val="auto"/>
              </w:rPr>
            </w:pPr>
          </w:p>
        </w:tc>
        <w:tc>
          <w:tcPr>
            <w:tcW w:w="1720" w:type="dxa"/>
            <w:vAlign w:val="bottom"/>
            <w:gridSpan w:val="5"/>
            <w:vMerge w:val="continue"/>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restart"/>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560" w:type="dxa"/>
            <w:vAlign w:val="bottom"/>
          </w:tcPr>
          <w:p>
            <w:pPr>
              <w:spacing w:after="0"/>
              <w:rPr>
                <w:sz w:val="16"/>
                <w:szCs w:val="16"/>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20" w:type="dxa"/>
            <w:vAlign w:val="bottom"/>
          </w:tcPr>
          <w:p>
            <w:pPr>
              <w:spacing w:after="0"/>
              <w:rPr>
                <w:sz w:val="16"/>
                <w:szCs w:val="16"/>
                <w:color w:val="auto"/>
              </w:rPr>
            </w:pPr>
          </w:p>
        </w:tc>
        <w:tc>
          <w:tcPr>
            <w:tcW w:w="7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7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December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153,693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218,029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$1,231,482</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(618,255)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611,068</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0" w:type="dxa"/>
            <w:vAlign w:val="bottom"/>
          </w:tcPr>
          <w:p>
            <w:pPr>
              <w:spacing w:after="0"/>
              <w:rPr>
                <w:sz w:val="1"/>
                <w:szCs w:val="1"/>
                <w:color w:val="auto"/>
              </w:rPr>
            </w:pPr>
          </w:p>
        </w:tc>
      </w:tr>
      <w:tr>
        <w:trPr>
          <w:trHeight w:val="213"/>
        </w:trPr>
        <w:tc>
          <w:tcPr>
            <w:tcW w:w="3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options</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 plan</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37,392</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(69,119)</w:t>
            </w:r>
          </w:p>
        </w:tc>
        <w:tc>
          <w:tcPr>
            <w:tcW w:w="0" w:type="dxa"/>
            <w:vAlign w:val="bottom"/>
          </w:tcPr>
          <w:p>
            <w:pPr>
              <w:spacing w:after="0"/>
              <w:rPr>
                <w:sz w:val="1"/>
                <w:szCs w:val="1"/>
                <w:color w:val="auto"/>
              </w:rPr>
            </w:pPr>
          </w:p>
        </w:tc>
      </w:tr>
      <w:tr>
        <w:trPr>
          <w:trHeight w:val="212"/>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Balances as of June 30, 2023</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168,422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209,194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1,272,676</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(687,374)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583,078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(71,042)</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(69,119)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37,392</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impairment charges related to lease abandonment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Accretion of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(18,987)</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(26,049)</w:t>
            </w: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(303,206)</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51,635</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306,835</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Loan to Opportunity Finance Network</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61,399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52,625</w:t>
            </w:r>
          </w:p>
        </w:tc>
        <w:tc>
          <w:tcPr>
            <w:tcW w:w="0" w:type="dxa"/>
            <w:vAlign w:val="bottom"/>
          </w:tcPr>
          <w:p>
            <w:pPr>
              <w:spacing w:after="0"/>
              <w:rPr>
                <w:sz w:val="1"/>
                <w:szCs w:val="1"/>
                <w:color w:val="auto"/>
              </w:rPr>
            </w:pPr>
          </w:p>
        </w:tc>
      </w:tr>
      <w:tr>
        <w:trPr>
          <w:trHeight w:val="194"/>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withholdings on release of restricted stock units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(53,484)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(49,743)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30,258</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71,404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55,236</w:t>
            </w:r>
          </w:p>
        </w:tc>
        <w:tc>
          <w:tcPr>
            <w:tcW w:w="0" w:type="dxa"/>
            <w:vAlign w:val="bottom"/>
          </w:tcPr>
          <w:p>
            <w:pPr>
              <w:spacing w:after="0"/>
              <w:rPr>
                <w:sz w:val="1"/>
                <w:szCs w:val="1"/>
                <w:color w:val="auto"/>
              </w:rPr>
            </w:pPr>
          </w:p>
        </w:tc>
      </w:tr>
      <w:tr>
        <w:trPr>
          <w:trHeight w:val="23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64,131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85,494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 consolidated balance sheets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74,268</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11,226</w:t>
            </w:r>
          </w:p>
        </w:tc>
        <w:tc>
          <w:tcPr>
            <w:tcW w:w="0" w:type="dxa"/>
            <w:vAlign w:val="bottom"/>
          </w:tcPr>
          <w:p>
            <w:pPr>
              <w:spacing w:after="0"/>
              <w:rPr>
                <w:sz w:val="1"/>
                <w:szCs w:val="1"/>
                <w:color w:val="auto"/>
              </w:rPr>
            </w:pPr>
          </w:p>
        </w:tc>
      </w:tr>
      <w:tr>
        <w:trPr>
          <w:trHeight w:val="23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64,131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85,494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Vesting of restricted stock and early exercised stock options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10,665</w:t>
            </w:r>
          </w:p>
        </w:tc>
        <w:tc>
          <w:tcPr>
            <w:tcW w:w="0" w:type="dxa"/>
            <w:vAlign w:val="bottom"/>
          </w:tcPr>
          <w:p>
            <w:pPr>
              <w:spacing w:after="0"/>
              <w:rPr>
                <w:sz w:val="1"/>
                <w:szCs w:val="1"/>
                <w:color w:val="auto"/>
              </w:rPr>
            </w:pPr>
          </w:p>
        </w:tc>
      </w:tr>
      <w:tr>
        <w:trPr>
          <w:trHeight w:val="210"/>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Remeasurement of operating lease liability and right-of-use asset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(18,915)</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Nextdoor Holdings, Inc. (“Nextdoor” or the “Company”) is headquartered in San Francisco, California. Nextdoor is the essential neighborhood network, connecting users, businesses, and public agencies to the neighborhoods that matter to them. As a purpose-driven company, Nextdoor leverages technology to cultivate a kinder world where everyone has a neighborhood they can rely on — both online and in the real world.</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5, 2021 (the “Closing”), the Company consummated the transactions contemplated by the Agreement and Plan of Merger, dated July 6, 2021, as amended on September 30, 2021, by and among Khosla Ventures Acquisition Co. II (“KVSB”), a special purpose acquisition company, Lorelei Merger Sub Inc., and Nextdoor, Inc. (“Legacy Nextdoor”), with Legacy Nextdoor surviving as a wholly owned subsidiary of KVSB (the “Merger” and, collectively with the other transactions that occurred in connection with the Merger, the “Reverse Recapitalization”). In connection with the Closing, KVSB was renamed to Nextdoor Holdings,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included herein was derived from the audited financial statements as of that date. The Company has condensed or omitted certain information and note disclosures normally included in financial statements prepared in accordance with GAAP pursuant to the applicable required disclosures and regulations of the U.S. Securities and Exchange Commission (“SEC”). As such, these unaudited condensed consolidated financial statements should be read in conjunction with the audited consolidated financial statements and the related notes thereto included in the Company’s Annual Report on Form 10-K for the year ended December 31, 2023.</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management’s opinion, the unaudited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and cash flows. The results for the interim periods presented are not necessarily indicative of the results to be expected for the full year ending December 31, 2024 or any other future interim or annual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unaudited condensed consolidated financial statements and accompanying notes. Estimates include, but are not limited to, valuation of financial instruments, valuation of common stock through the date of the Reverse Recapitalization, valuation of stock-based awards, revenue recognition, collectability of accounts receivable, valuation of acquired intangible assets and goodwill, useful 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disclosed in Note 2 to the consolidated financial statements described in the Company’s Annual Report on Form 10-K as of and for the year ended December 31, 2023 that have had a material impact on the Company’s condensed consolidated financial statements and related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which expands annual and interim disclosure requirements for reportable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through enhanced disclosures about significant segment expenses. The ASU is effective for fiscal years beginning after December 15, 2023, and interim periods within fiscal years beginning after December 15,</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2024, with early adoption permitted. The Company is currently evaluating the impact of this standard on its consolidated financial statements and related disclosures.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expands income tax disclosures primarily related to an entity’s rate reconciliation and information on income taxes paid. The ASU is effective for fiscal years beginning after December 15, 2024 with early adoption permitted. The Company is currently evaluating the impact of this standard on its consolidated financial statements and related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Deferred Revenue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certain advertising arrangements the Company requires payment upfront from its customers. The Company records deferred revenue when it collects cash from customers in advance of revenue recognition. As of June 30, 2024 and December 31, 2023, deferred revenue was $8.1 million and $8.3 million, respectively, and included within accrued expenses and other current liabilities on the condensed consolidated balance sheets. For the three months ended June 30, 2024 and 2023, revenue recognized from deferred revenue at the beginning of each period was $4.1 million and $2.8 million, respectively. For the six months ended June 30, 2024 and 2023, revenue recognized from deferred revenue at the beginning of each period was $4.0 million and $2.8 million,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Cash Equivalents and Marketable Securities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costs, unrealized gains and losses, and estimated fair values of the Company’s cash equivalents and marketable securities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140" w:type="dxa"/>
            <w:vAlign w:val="bottom"/>
          </w:tcPr>
          <w:p>
            <w:pPr>
              <w:jc w:val="right"/>
              <w:ind w:right="293"/>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31,147</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31,147</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31,147</w:t>
            </w:r>
          </w:p>
        </w:tc>
      </w:tr>
      <w:tr>
        <w:trPr>
          <w:trHeight w:val="20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w:t>
            </w: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32,429</w:t>
            </w: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253,895</w:t>
            </w: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56,981</w:t>
            </w: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Agency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30"/>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40,808</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404,141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403,581</w:t>
            </w:r>
          </w:p>
        </w:tc>
      </w:tr>
      <w:tr>
        <w:trPr>
          <w:trHeight w:val="223"/>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435,288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434,728</w:t>
            </w: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140" w:type="dxa"/>
            <w:vAlign w:val="bottom"/>
          </w:tcPr>
          <w:p>
            <w:pPr>
              <w:jc w:val="right"/>
              <w:ind w:right="293"/>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32,572</w:t>
            </w: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39,481</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38,351</w:t>
            </w: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71,365</w:t>
            </w: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227,146</w:t>
            </w: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64,704</w:t>
            </w: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Agency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r>
      <w:tr>
        <w:trPr>
          <w:trHeight w:val="229"/>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39,434</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470,171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470,868</w:t>
            </w:r>
          </w:p>
        </w:tc>
      </w:tr>
      <w:tr>
        <w:trPr>
          <w:trHeight w:val="223"/>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509,655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510,349</w:t>
            </w:r>
          </w:p>
        </w:tc>
      </w:tr>
      <w:tr>
        <w:trPr>
          <w:trHeight w:val="21"/>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marketable securities are designated as available-for-sale securities as of June 30, 2024 and December 31, 2023.</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gross unrealized losses aggregated by category and the length of time that individual securities have been in a continuous unrealized loss position.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5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5"/>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5"/>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Agency bonds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164,300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215,414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6"/>
        </w:trPr>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5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5"/>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5"/>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5"/>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Agency bonds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160,547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179,547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contractual maturities of the Company’s marketable securities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gridSpan w:val="4"/>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rPr>
              <w:t>As of June 30, 2024</w:t>
            </w:r>
          </w:p>
        </w:tc>
      </w:tr>
      <w:tr>
        <w:trPr>
          <w:trHeight w:val="23"/>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6"/>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219,893</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to four years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184,138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183,688</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404,141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403,581</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4"/>
        </w:trPr>
        <w:tc>
          <w:tcPr>
            <w:tcW w:w="7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60" w:type="dxa"/>
            <w:vAlign w:val="bottom"/>
            <w:gridSpan w:val="4"/>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7"/>
        </w:trPr>
        <w:tc>
          <w:tcPr>
            <w:tcW w:w="7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9"/>
                <w:szCs w:val="19"/>
                <w:color w:val="auto"/>
              </w:rPr>
            </w:pPr>
          </w:p>
        </w:tc>
        <w:tc>
          <w:tcPr>
            <w:tcW w:w="1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250,738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250,927</w:t>
            </w:r>
          </w:p>
        </w:tc>
      </w:tr>
      <w:tr>
        <w:trPr>
          <w:trHeight w:val="23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to four years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219,433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219,941</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470,171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are classified by level within the fair value hierarchy. There were no financial assets or liabilities measured using Level 3 inputs as of June 30, 2024 and December 31, 2023. The following table presents information about the Company’s financial assets that are measured at fair value on a recurring basis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31,147</w:t>
            </w:r>
          </w:p>
        </w:tc>
        <w:tc>
          <w:tcPr>
            <w:tcW w:w="8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31,147</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31,147</w:t>
            </w: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w:t>
            </w: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32,429</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253,895</w:t>
            </w: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56,981</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Agency bonds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40,808</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403,581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403,581</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403,581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434,728</w:t>
            </w:r>
          </w:p>
        </w:tc>
      </w:tr>
      <w:tr>
        <w:trPr>
          <w:trHeight w:val="21"/>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32,572</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30"/>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39,481</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38,351</w:t>
            </w: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71,365</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227,146</w:t>
            </w: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64,704</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Agency bonds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r>
      <w:tr>
        <w:trPr>
          <w:trHeight w:val="230"/>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39,434</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470,868</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477,777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510,349</w:t>
            </w:r>
          </w:p>
        </w:tc>
      </w:tr>
      <w:tr>
        <w:trPr>
          <w:trHeight w:val="21"/>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cash equivalents and marketable securities within Level 1 or Level 2 because it determines their fair values using quoted market prices or alternative pricing sources and models utilizing market observable inputs. There were no transfers between levels of the fair value hierarchy during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Assets, and Liabilities Not Recorded at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assets not recorded at fair value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3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60" w:type="dxa"/>
            <w:vAlign w:val="bottom"/>
          </w:tcPr>
          <w:p>
            <w:pPr>
              <w:spacing w:after="0"/>
              <w:rPr>
                <w:sz w:val="16"/>
                <w:szCs w:val="16"/>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3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4"/>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 receivable</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15,000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14,023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r>
      <w:tr>
        <w:trPr>
          <w:trHeight w:val="444"/>
        </w:trPr>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
        </w:trPr>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60" w:type="dxa"/>
            <w:vAlign w:val="bottom"/>
          </w:tcPr>
          <w:p>
            <w:pPr>
              <w:spacing w:after="0"/>
              <w:rPr>
                <w:sz w:val="16"/>
                <w:szCs w:val="16"/>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3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4"/>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 receivable</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there were no other financial instruments or liabilities that were not recorded at fair value.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non-cancellable office facility leases in various locations with original lease periods expiring between 2020 and 2029, with its primary office location in San Francisco, California. The Company entered into a lease consisting of multiple floors for its San Francisco headquarters in 2019, with a lease term through 2029. During the second quarter of 2024, the Company reassessed the lease term and elected to not utilize the optional extension period of the lease resulting in a reduction of the lease term and a decrease to its right-of-use assets and operating lease liabilities. In addition, as part of a restructuring plan, the Company decided to vacate and abandon certain floors of its leased headquarters in San Francisco in order to streamline operations and optimize its office space. The Company ceased occupying the floors in June 2024 and, as a result, the Company recorded impairment charges for the related operating lease right-of-use assets, leasehold improvements and furniture and fixtures in the second quarter of 2024. See Note 12 - Restructuring for further details. The Company's lease agreements generally do not contain 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residual value guarantees or material restrictive covenants.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580" w:type="dxa"/>
            <w:vAlign w:val="bottom"/>
            <w:gridSpan w:val="6"/>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5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7,215</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w:t>
            </w:r>
          </w:p>
        </w:tc>
      </w:tr>
      <w:tr>
        <w:trPr>
          <w:trHeight w:val="21"/>
        </w:trPr>
        <w:tc>
          <w:tcPr>
            <w:tcW w:w="55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66"/>
        </w:trPr>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leases was as follows (in thousands):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6"/>
        </w:trPr>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6"/>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55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w:t>
            </w: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operating lease liability and right-of-use asset</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(18,915)</w:t>
            </w:r>
          </w:p>
        </w:tc>
        <w:tc>
          <w:tcPr>
            <w:tcW w:w="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Lease terms and discount rates for operating leases were as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6"/>
        </w:trPr>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000" w:type="dxa"/>
            <w:vAlign w:val="bottom"/>
          </w:tcPr>
          <w:p>
            <w:pPr>
              <w:spacing w:after="0"/>
              <w:rPr>
                <w:sz w:val="17"/>
                <w:szCs w:val="17"/>
                <w:color w:val="auto"/>
              </w:rPr>
            </w:pPr>
          </w:p>
        </w:tc>
      </w:tr>
      <w:tr>
        <w:trPr>
          <w:trHeight w:val="23"/>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55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468"/>
        </w:trPr>
        <w:tc>
          <w:tcPr>
            <w:tcW w:w="8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As of June 30, 2024, future minimum lease payments under operating leases were as follows (in thousands):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9"/>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w:t>
            </w: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52,387</w:t>
            </w: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(7,686)</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44,701</w:t>
            </w: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operating lease liabilities</w:t>
            </w: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(8,048)</w:t>
            </w: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36,653</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above does not include lease payments that were not fixed at commencement or lease modification.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June 2024, the Company entered into a three-year renewal contract with a third party hosting service provider resulting in a significant increase to its purchase commitments as of June 30, 2024.</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non-cancellable purchase commitments with certain service providers primarily related to the provision of cloud computing services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18,761</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33,608</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32,798</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15,139</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to the litigation discussed below, 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such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 discussed below summarizes the Company’s current significant ongoing pending legal proceedings.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and Derivative Litigation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2024, a securities class action complaint was filed against the Company and certain of its current and former executive officers (collectively, the “Defendants”) in the U.S. District Court for the Northern District of California. The lawsuit alleges that Defendants violated the Securities Exchange Act of 1934, as amended, by making materially false and misleading statements about the Company’s business and prospects for future growth in the period between July 6, 2021 and November 8, 2022. Motions for lead plaintiff were filed on April 29, 2024 and the court appointed a lead plaintiff on July 12, 2024. The Company expects to receive an amended complaint on September 10, 2024.</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26, 2024, a purported shareholder derivative complaint was filed in the U.S. District Court for the Northern District of California. The complaint names as defendants certain of the Company’s former and current officers and directors, as well as the Company as nominal defendant, and asserts state and federal claims based on some of the same alleged misstatements as the securities class action complaint described above. The complaint seeks unspecified damages, attorneys’ fees, and other costs. The Company and individual defendants have not yet been served.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vigorously defend against the claims in these actions. Given the procedural posture and the nature of such litigation matters, the Company is currently unable to estimate the reasonably possible loss or range of loss, if any, that may result from these matters. Any litigation is inherently uncertain, and any judgment or injunctive relief entered against the Company or any adverse settlement could materially and adversely impact its business, results of operations, financial condition, and prospects.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For the three and six months ended June 30, 2024 and 2023, the Company did not incur material costs to defend lawsuits or settle claims related to these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indemnifications. The Company believes the fair value of these liabilities is not material and accordingly has no liabilities recorded for these agreements as of June 30, 2024 and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Opportunity Finance Network Loan Agreement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29, 2022, the Company entered into a credit agreement with Opportunity Finance Network (“OFN”) to lend up to an aggregate of $15.0 million, unsecured, over the course of 24 months. OFN is a national network of community development financial institutions (“CDFIs”). OFN will use the loan proceeds to make low-cost, fixed-rate loans to OFN-member CDFIs that on-lend those loan proceeds to fund affordable housing, community facilities, small businesses, nonprofit organizations, consumer finance, and other eligible financing extended by such CDFIs. Each disbursement made by the Company will bear interest at a rate of 0.75% per annum and will be due quarterly from OFN. The outstanding principal, plus any accrued and unpaid interest, for each disbursement becomes due and payable 10 years following the disbursement date. During the six months ended June 30, 2024, the Company made one loan disbursement of $7.5 million. During the year ended December 31, 2023, the Company made one loan disbursement of $2.5 million. As of June 30, 2024, the note receivable from OFN totaled $15.0 million and is recorded under other assets on the condensed consolidated balance sheets.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Common Stock and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restricted stock units (“RSUs”).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 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 of shares issued over the term of the 2021 ESPP, subject to adjustments for stock-splits, recapitalizations, or similar events, may not exceed 89,011,590 shares. In February 2022, the Company commenced its first offering period under the 2021 ESPP. During the three months ended June 30, 2024 and 2023, no shares of Class A common stock were purchased under the 2021 ESPP. During the six months ended June 30, 2024 and 2023, 407,298 and 559,707 shares of Class A common stock were purchased under the 2021 ESPP,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31, 2022, the Company’s Board of Directors authorized and approved a share repurchase program (the “Share Repurchase Program”) to repurchase up to $100.0 million in aggregate of the Company’s Class A common stock, with the authorization to expire on June 30, 2024. Repurchases of Class A common stock under the Share Repurchase Program may be made from time to time, on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open market, in privately negotiated transactions or by other methods, and in accordance with the limitations set forth in Rule 10b-18 promulgated under the Securities Exchange Act of 1934, as amended, and other applicable legal requirements. The timing of any repurchases will depend on market conditions and other investment opportunities, and will be made at the Company’s discretion. The Share Repurchase Program does not obligate the Company to repurchase any dollar amount or number of shares, and the program may be extended, modified, suspended, or discontinued at any time. On February 21, 2024, the Company’s Board of Directors authorized and approved an increase of $150.0 million to the Share Repurchase Program and extended the expiration date to March 31, 2026.</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Company repurchases shares under the Share Repurchase Program, it reduces the common stock component of stockholders’ equity by the par value of the repurchased shares. The excess of the repurchase price over par value is recorded to additional paid-in capital. All repurchased shares are retired and become authorized and unissued shares.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repurchased and retired 18,069,172 and 22,517,595 shares of Class A common stock at an average purchase price of $2.42 and $2.38 per share for an aggregate repurchase price of $43.7 million and $53.5 million, respectively. During the three and six months ended June 30, 2023, the Company did not repurchase or retire any shares of its Class A common stock. As of June 30, 2024, the Company had $119.3 million available for future share repurchases under the Share Repurchase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RSUs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two to three years. RSUs granted for Class A common stock generally vest on a quarterly basis over two to three years.</w:t>
      </w:r>
    </w:p>
    <w:p>
      <w:pPr>
        <w:spacing w:after="0" w:line="1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 summary of the Company’s stock option activity for the six months ended June 30, 2024 and related information is as follows (in thousands, except per share data):</w:t>
      </w:r>
    </w:p>
    <w:tbl>
      <w:tblPr>
        <w:tblLayout w:type="fixed"/>
        <w:tblInd w:w="0" w:type="dxa"/>
        <w:tblCellMar>
          <w:top w:w="0" w:type="dxa"/>
          <w:left w:w="0" w:type="dxa"/>
          <w:bottom w:w="0" w:type="dxa"/>
          <w:right w:w="0" w:type="dxa"/>
        </w:tblCellMar>
      </w:tblPr>
      <w:tr>
        <w:trPr>
          <w:trHeight w:val="149"/>
        </w:trPr>
        <w:tc>
          <w:tcPr>
            <w:tcW w:w="5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5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7"/>
                <w:szCs w:val="17"/>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0" w:type="dxa"/>
            <w:vAlign w:val="bottom"/>
          </w:tcPr>
          <w:p>
            <w:pPr>
              <w:spacing w:after="0"/>
              <w:rPr>
                <w:sz w:val="1"/>
                <w:szCs w:val="1"/>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19,096</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expected to vest at June 30,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exercise price of the underlying common stock option award and the fair value of the Company’s common stock as of the respective balance sheet date. The weighted average grant date fair value of options granted was $1.23 per share and $1.32 per share during the six months ended June 30, 2024 and 2023,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intrinsic value of the options exercised was $2.3 million and $0.9 million for the six months ended June 30, 2024 and 2023, respectively.</w:t>
      </w:r>
    </w:p>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 summary of the Company’s RSU activity for the six months ended June 30, 2024 and related information is as follows (in thousands, except per share data):</w:t>
      </w:r>
    </w:p>
    <w:tbl>
      <w:tblPr>
        <w:tblLayout w:type="fixed"/>
        <w:tblInd w:w="0" w:type="dxa"/>
        <w:tblCellMar>
          <w:top w:w="0" w:type="dxa"/>
          <w:left w:w="0" w:type="dxa"/>
          <w:bottom w:w="0" w:type="dxa"/>
          <w:right w:w="0" w:type="dxa"/>
        </w:tblCellMar>
      </w:tblPr>
      <w:tr>
        <w:trPr>
          <w:trHeight w:val="147"/>
        </w:trPr>
        <w:tc>
          <w:tcPr>
            <w:tcW w:w="39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88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jc w:val="right"/>
              <w:ind w:right="95"/>
              <w:spacing w:after="0" w:line="147"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34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RSUs granted</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RSUs vested</w:t>
            </w:r>
          </w:p>
        </w:tc>
        <w:tc>
          <w:tcPr>
            <w:tcW w:w="5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9"/>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RSUs forfeited</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2024</w:t>
            </w:r>
          </w:p>
        </w:tc>
        <w:tc>
          <w:tcPr>
            <w:tcW w:w="346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41,941</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20</w:t>
            </w: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9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94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Market-based PSUs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3, 2024, the Company granted its Chief Executive Officer a market-based performance stock unit (“PSU”) award of approximately 5.0 million shares of the Company’s Class A common stock. The PSUs will vest based on stock price targets achieved over a four-year period. PSUs that have not vested at the end of the applicable performance period will be forfeited. The vesting of the award is subject to the grantee’s continuous employment with the Company as Chief Executive Officer or Executive Chair and other customary provisions pursuant to the Company’s 2021 Plan. The award had a grant date fair value of approximately $9.3 million, calculated using a Monte Carlo simulation model and recognized over the derived service period using the graded-vesting method. Compensation cost is not adjusted in future periods for subsequent changes in the expected outcome of market related conditions. For the three and six months ended June 30, 2024, the Company recognized approximately $1.2 million of stock-based compensation expense in connection with this award.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stock option grants and market-based PSUs made during the following periods: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2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67.7% - 68.0%</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65.4% -66.8%</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5.9</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 - 4.6%</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of common stock per 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$1.61 - $2.53</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$1.91 - $2.73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Market-based PSUs</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66.8%</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in the condensed consolidated statements of operations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70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6"/>
                <w:szCs w:val="16"/>
                <w:color w:val="auto"/>
              </w:rPr>
            </w:pPr>
          </w:p>
        </w:tc>
      </w:tr>
      <w:tr>
        <w:trPr>
          <w:trHeight w:val="23"/>
        </w:trPr>
        <w:tc>
          <w:tcPr>
            <w:tcW w:w="4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6"/>
        </w:trPr>
        <w:tc>
          <w:tcPr>
            <w:tcW w:w="4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r>
      <w:tr>
        <w:trPr>
          <w:trHeight w:val="23"/>
        </w:trPr>
        <w:tc>
          <w:tcPr>
            <w:tcW w:w="4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19,697</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10,662</w:t>
            </w: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37,392</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there was $94.9 million of unrecognized stock-based compensation expense, which is expected to be recognized over a weighted average period of 1.8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Net Loss Per Share Attributable to Common Stockholders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per share data):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2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2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r>
      <w:tr>
        <w:trPr>
          <w:trHeight w:val="196"/>
        </w:trPr>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Class A</w:t>
            </w:r>
          </w:p>
        </w:tc>
        <w:tc>
          <w:tcPr>
            <w:tcW w:w="200" w:type="dxa"/>
            <w:vAlign w:val="bottom"/>
          </w:tcPr>
          <w:p>
            <w:pPr>
              <w:spacing w:after="0"/>
              <w:rPr>
                <w:sz w:val="17"/>
                <w:szCs w:val="17"/>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Class B</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Class A</w:t>
            </w:r>
          </w:p>
        </w:tc>
        <w:tc>
          <w:tcPr>
            <w:tcW w:w="200" w:type="dxa"/>
            <w:vAlign w:val="bottom"/>
          </w:tcPr>
          <w:p>
            <w:pPr>
              <w:spacing w:after="0"/>
              <w:rPr>
                <w:sz w:val="17"/>
                <w:szCs w:val="17"/>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Class B</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Class A</w:t>
            </w:r>
          </w:p>
        </w:tc>
        <w:tc>
          <w:tcPr>
            <w:tcW w:w="160" w:type="dxa"/>
            <w:vAlign w:val="bottom"/>
          </w:tcPr>
          <w:p>
            <w:pPr>
              <w:spacing w:after="0"/>
              <w:rPr>
                <w:sz w:val="17"/>
                <w:szCs w:val="17"/>
                <w:color w:val="auto"/>
              </w:rPr>
            </w:pP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4"/>
                <w:szCs w:val="14"/>
                <w:color w:val="auto"/>
              </w:rPr>
              <w:t>Class B</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Class A</w:t>
            </w:r>
          </w:p>
        </w:tc>
        <w:tc>
          <w:tcPr>
            <w:tcW w:w="200" w:type="dxa"/>
            <w:vAlign w:val="bottom"/>
          </w:tcPr>
          <w:p>
            <w:pPr>
              <w:spacing w:after="0"/>
              <w:rPr>
                <w:sz w:val="17"/>
                <w:szCs w:val="17"/>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Class B</w:t>
            </w:r>
          </w:p>
        </w:tc>
      </w:tr>
      <w:tr>
        <w:trPr>
          <w:trHeight w:val="162"/>
        </w:trPr>
        <w:tc>
          <w:tcPr>
            <w:tcW w:w="27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Net loss attributable to common</w:t>
            </w: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(39,900)</w:t>
            </w:r>
          </w:p>
        </w:tc>
      </w:tr>
      <w:tr>
        <w:trPr>
          <w:trHeight w:val="176"/>
        </w:trPr>
        <w:tc>
          <w:tcPr>
            <w:tcW w:w="2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used in</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4"/>
        </w:trPr>
        <w:tc>
          <w:tcPr>
            <w:tcW w:w="27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computing net loss per share</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0"/>
        </w:trPr>
        <w:tc>
          <w:tcPr>
            <w:tcW w:w="27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attributable to Class A and Class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6"/>
        </w:trPr>
        <w:tc>
          <w:tcPr>
            <w:tcW w:w="27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B common stockholders, basic and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189,763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198,327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215,133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190,163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216,170</w:t>
            </w:r>
          </w:p>
        </w:tc>
      </w:tr>
      <w:tr>
        <w:trPr>
          <w:trHeight w:val="176"/>
        </w:trPr>
        <w:tc>
          <w:tcPr>
            <w:tcW w:w="2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share attributable to</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4"/>
        </w:trPr>
        <w:tc>
          <w:tcPr>
            <w:tcW w:w="27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Class A and Class B common</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4"/>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bl>
    <w:p>
      <w:pPr>
        <w:spacing w:after="0" w:line="23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computations of diluted net loss per share because such securities have an anti-dilutive impact due to losses reported (in thousands):</w:t>
      </w: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90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0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53,384</w:t>
            </w: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41,941</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34,282</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early exercised stock options subject to repurchase</w:t>
            </w:r>
          </w:p>
        </w:tc>
        <w:tc>
          <w:tcPr>
            <w:tcW w:w="19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provision for income taxes for interim periods was determined using an estimate of its annual effective tax rate, adjusted for discrete items, if any, that arose during the period. Each quarter, the Company updates its estimate of the annual effective tax rate, and if the estimated annual effective tax rate changes, the Company makes a cumulative adjustment in such period.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quarterly tax provision, and estimate of its annual effective tax rate, is subject to variation due to several factors, including variability in pretax income or loss, the mix of jurisdictions to which such income or loss relates, tax law developments and changes in how the Company does business, such as acquisitions, intercompany transactions, or the Company’s corporate structure.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an income tax expense for the three months ended June 30, 2024 and 2023 of $0.3 million and $0.1 million, respectively, both of which were primarily related to foreign taxes. The Company recorded an income tax expense for the six months ended June 30, 2024 and 2023 of $0.5 million and $0.4 million, respectively, both of which were primarily related to foreign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Geographical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geography based on the customers’ location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7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4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4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4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101,275</w:t>
            </w:r>
          </w:p>
        </w:tc>
      </w:tr>
      <w:tr>
        <w:trPr>
          <w:trHeight w:val="22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5,385</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106,660</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long-lived assets are located in the United States.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Restructuring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24, 2024, the Company performed a restructuring intended to refocus the Company for future growth. The plan impacted 38 of the Company’s full-time employees. The Company incurred one-time charges of approximately $2.8 million in connection with the plan, consisting primarily of cash expenditures for severance payments, employee benefits, and related costs. The execution of the plan was substantially complete by the end of the second quarter of 2024. In addition, in June 2024 the Company ceased occupying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abandoned certain floors of its leased headquarters in San Francisco in order to adjust its office space footprint to better align with the needs of its work model. As a result, the Company recorded impairment charges of $22.7 million for the related operating lease right-of-use assets, leasehold improvements and furniture and fixtures.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restructuring charges in the consolidated statements of operations for the three and six months ended June 30, 2024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Office Space Reductions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8"/>
                <w:szCs w:val="18"/>
                <w:color w:val="auto"/>
              </w:rPr>
            </w:pPr>
          </w:p>
        </w:tc>
        <w:tc>
          <w:tcPr>
            <w:tcW w:w="2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Severance and Related Charges</w:t>
            </w:r>
          </w:p>
        </w:tc>
        <w:tc>
          <w:tcPr>
            <w:tcW w:w="580" w:type="dxa"/>
            <w:vAlign w:val="bottom"/>
          </w:tcPr>
          <w:p>
            <w:pPr>
              <w:spacing w:after="0"/>
              <w:rPr>
                <w:sz w:val="18"/>
                <w:szCs w:val="18"/>
                <w:color w:val="auto"/>
              </w:rPr>
            </w:pPr>
          </w:p>
        </w:tc>
        <w:tc>
          <w:tcPr>
            <w:tcW w:w="1800" w:type="dxa"/>
            <w:vAlign w:val="bottom"/>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23,311</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25,517</w:t>
            </w:r>
          </w:p>
        </w:tc>
      </w:tr>
      <w:tr>
        <w:trPr>
          <w:trHeight w:val="21"/>
        </w:trPr>
        <w:tc>
          <w:tcPr>
            <w:tcW w:w="3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Office space reductions are primarily non-cash and include impairment charges related to operating lease right-of-use assets, leasehold improvements and furniture and fixtures.</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Liabilities and remaining charges under the plan were $0.2 million as of June 30, 2024, included in accrued expenses and other current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which our management believes is relevant to an assessment and understanding of our consolidated results of operations and financial condition. The discussion should be read together with our unaudited condensed consolidated financial statements and related notes that are included elsewhere in this Quarterly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Quarterly Report.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Nextdoor is the essential neighborhood network, connecting users, businesses, and public agencies to the neighborhoods that matter to them. As a purpose-driven company, Nextdoor leverages technology to cultivate a kinder world where everyone has a neighborhood they can rely on — both online and in the real world. As of June 30, 2024, Nextdoor was in more than 335,000 neighborhoods around the world and in 1 in 3 households in the United States.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business metrics for the three months ended June 30, 2024 are as follows:</w:t>
      </w:r>
    </w:p>
    <w:p>
      <w:pPr>
        <w:spacing w:after="0" w:line="17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Weekly Active Users (“WAUs”) were 45.1 million, an increase of 8% compared to the three months ended June 30,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weekly active user (“ARPU”) was $1.40, an increase of 3% compared to the three months ended June 30,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Results as of and for the three and six months ended June 30, 2024 are as follows:</w:t>
      </w:r>
    </w:p>
    <w:p>
      <w:pPr>
        <w:spacing w:after="0" w:line="173"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three months ended June 30, 2024 was $63.3 million, an increase of 11% compared to the three months ended June 30, 2023. Revenue for the six months ended June 30, 2024 was $116.4 million, an increase of 9% compared to the six months ended June 30, 2023.</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costs and expenses for the three months ended June 30, 2024 were $112.3 million, an increase of 14% compared to the three months ended June 30, 2023. Total costs and expenses for the six months ended June 30, 2024 were $200.2 million, an increase of 7% compared to the six months ended June 30, 2023.</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three months ended June 30, 2024 increased 21% to $42.8 million, compared to $35.4 million for the three months ended June 30, 2023. Net loss for the six months ended June 30, 2024 increased 3% to $71.0 million, compared to $69.1 million for the six months ended June 30, 2023.</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for the three months ended June 30, 2024 decreased 68% to $6.0 million, compared to $18.6 million for the three months ended June 30, 2023. Adjusted EBITDA loss for the six months ended June 30, 2024 decreased 50% to $20.0 million, compared to $40.3 million for the six months ended June 30, 2023.</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marketable securities were $456.5 million as of June 30, 2024.</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Non-GAAP Financial Measure</w:t>
      </w:r>
      <w:r>
        <w:rPr>
          <w:rFonts w:ascii="Times New Roman" w:cs="Times New Roman" w:eastAsia="Times New Roman" w:hAnsi="Times New Roman"/>
          <w:sz w:val="18"/>
          <w:szCs w:val="18"/>
          <w:color w:val="auto"/>
        </w:rPr>
        <w:t>” below for more information and for a reconciliation of net loss, the most directly comparable financial measure calculated and presented in accordance with U.S. generally accepted accounting principles (“GAAP”), to Adjusted EBITDA.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measures presented in our unaudited condensed consolidated financial statements, we use the following key business metrics to evaluate our business, measure our performance, develop financial forecasts, and make strategic decisions: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Weekly Active Users (WAU)</w:t>
      </w:r>
    </w:p>
    <w:p>
      <w:pPr>
        <w:spacing w:after="0" w:line="17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We define a WAU as a Nextdoor user who opens our application, logs on to our website, or engages with an email with monetizable content at least once during a defined 7-day period.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We calculate average WAUs for a particular period by calculating the count of unique users, on a rolling basis for the past seven days, for each day of that period, and dividing that sum by the number of days in that period.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14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4" w:lineRule="exact"/>
        <w:rPr>
          <w:sz w:val="20"/>
          <w:szCs w:val="20"/>
          <w:color w:val="auto"/>
        </w:rPr>
      </w:pPr>
    </w:p>
    <w:p>
      <w:pPr>
        <w:jc w:val="both"/>
        <w:ind w:firstLine="8"/>
        <w:spacing w:after="0" w:line="225" w:lineRule="auto"/>
        <w:tabs>
          <w:tab w:leader="none" w:pos="103"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Emails with monetizable content are emails with a primary purpose to regularly inform users about topics that are relevant to them, and are therefore appropriate for delivering ads to users. These emails comprise almost all of the emails that we send our users and include, but are not limited to, new, trending and top posts, weekly and anytime digests, welcome emails and urgent and emergency alerts. We earn revenue from delivery of ad impressions in emails with monetizable content on either a cost per thousand (“CPM”) basis, a cost per click (“CPC”) basis or on a fixed-fee basis. While we have the ability to serve ads in all emails with monetizable content, we currently only do so on a portion of the total.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 assess the health of our business by measuring WAUs because we believe that weekly usage best captures the cadence at which we expect a healthy user base to engage with, and derive the most utility from our platform, and by extension their neighborhood. We also present WAUs by geography because we are more advanced in engagement and monetization in the United States than internationally.</w:t>
      </w:r>
    </w:p>
    <w:p>
      <w:pPr>
        <w:spacing w:after="0" w:line="1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September 2021, Apple released changes to the Apple email client available on its operating systems, including iOS 15 and iPadOS 15, which limit our ability to measure user engagement with emails containing monetizable content for users that use the Apple email client. The introduction of these changes impacts our ability to accurately calculate a portion of WAUs for periods following the adoption of the updated operating systems. Following this introduction, we use estimates for these user engagement numbers based on historical data sets, as well as data from users who engage with Nextdoor’s monetizable content on email clients other than Apple email.</w:t>
      </w:r>
    </w:p>
    <w:p>
      <w:pPr>
        <w:spacing w:after="0" w:line="1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WAU for the three months ended June 30, 2024 and 2023 were 45.1 million and 41.6 million, respectively, which represents 8% growth period over period.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Average Weekly Active Users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122555</wp:posOffset>
            </wp:positionV>
            <wp:extent cx="4543425" cy="2828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4342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600075</wp:posOffset>
            </wp:positionV>
            <wp:extent cx="5314950" cy="2743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495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Revenue per Weekly Active User (ARPU)</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revenue primarily from advertising. We measure monetization of our platform through our ARPU metric. We define ARPU as our total revenue in that geography during a period divided by the average of the number of WAUs in that geography during the same period. We present ARPU on a U.S. and international basis because we are more advanced in our monetization in the United States than internationally.</w:t>
      </w:r>
    </w:p>
    <w:p>
      <w:pPr>
        <w:spacing w:after="0" w:line="1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U.S. ARPU is higher primarily due to our decision to focus our earliest monetization efforts there, the size and maturity of our audience in the United States, as well the size of the U.S. advertising market. For purposes of calculating ARPU, revenue by user geography is apportioned to each region based on a determination of the location of the account where the revenue-generating activities occur. Our ARPU for the three months ended June 30, 2024 and 2023 was $1.40 and $1.37, respectively, with the increase due to stronger revenue growth relative to WAU growth.</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ARPU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122555</wp:posOffset>
            </wp:positionV>
            <wp:extent cx="5314950" cy="5735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4950" cy="573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generate substantially all of our revenue from the delivery of advertisements on our platform which includes the delivery of advertising impressions sold on a CPM basis and CPC basis, as well as on a fixed-fee basis. The majority of our revenue is generated in the United States.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delivery of our revenue generating activities, including the third-party cost of hosting our platform and allocated personnel-related costs, which include salaries, benefits, and stock-based compensation for employees engaged in development of our revenue generating products. Cost of revenue also includes third-party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60"/>
        <w:spacing w:after="0" w:line="430" w:lineRule="auto"/>
        <w:rPr>
          <w:sz w:val="20"/>
          <w:szCs w:val="20"/>
          <w:color w:val="auto"/>
        </w:rPr>
      </w:pPr>
      <w:r>
        <w:rPr>
          <w:rFonts w:ascii="Times New Roman" w:cs="Times New Roman" w:eastAsia="Times New Roman" w:hAnsi="Times New Roman"/>
          <w:sz w:val="18"/>
          <w:szCs w:val="18"/>
          <w:color w:val="auto"/>
        </w:rPr>
        <w:t xml:space="preserve">costs associated with delivering and supporting our advertising products and credit card transaction fees related to processing customer transactions. </w:t>
      </w:r>
      <w:r>
        <w:rPr>
          <w:rFonts w:ascii="Times New Roman" w:cs="Times New Roman" w:eastAsia="Times New Roman" w:hAnsi="Times New Roman"/>
          <w:sz w:val="18"/>
          <w:szCs w:val="18"/>
          <w:b w:val="1"/>
          <w:bCs w:val="1"/>
          <w:i w:val="1"/>
          <w:iCs w:val="1"/>
          <w:color w:val="auto"/>
        </w:rPr>
        <w:t>Research and Development</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costs, including salaries, benefits, restructuring costs,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Sales and marketing expenses consist of personnel-related and other costs which include salaries, commissions, benefits, restructuring costs,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local business acquisition, and neighbor services, which includes personnel-related costs for our neighbor support team, our outsourced neighbor support function, and verification costs.</w:t>
      </w:r>
    </w:p>
    <w:p>
      <w:pPr>
        <w:spacing w:after="0" w:line="1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Performance marketing costs related to user acquisition largely consist of the distribution of mailed invitations and, to a lesser extent, digital advertising. Performance marketing costs related to small and mid-sized customer acquisition largely consists of digital advertising and, to a lesser extent, direct mail campaigns.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benefits, restructuring costs,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marketable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unrealized gains and losses from the re-measurement of monetary assets and liabilities denominated in non-functional currencies, and gains and losses on marketable securities and foreign currency transactions.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our unaudited condensed consolidated financial statements and related notes thereto included elsewhere in this Quarterly Report. The following table sets forth our unaudited condensed consolidated results of operations for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63,292</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56,889</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116,438</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and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40,488</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112,308</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98,331</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200,203</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508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11,241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18,441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19,697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5,557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6,364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11,154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10,662</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21,576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35,741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37,392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following table sets forth the components of our unaudited condensed consolidated statements of operations as a percentage of revenue for each of the periods presented:</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1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80" w:type="dxa"/>
            <w:vAlign w:val="bottom"/>
            <w:gridSpan w:val="3"/>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1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1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1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9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Certain figures may not sum due to rounding.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June 30, 2024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c>
          <w:tcPr>
            <w:tcW w:w="9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60" w:type="dxa"/>
            <w:vAlign w:val="bottom"/>
            <w:vMerge w:val="restart"/>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vMerge w:val="restart"/>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vMerge w:val="continue"/>
          </w:tcPr>
          <w:p>
            <w:pPr>
              <w:spacing w:after="0"/>
              <w:rPr>
                <w:sz w:val="17"/>
                <w:szCs w:val="17"/>
                <w:color w:val="auto"/>
              </w:rPr>
            </w:pPr>
          </w:p>
        </w:tc>
        <w:tc>
          <w:tcPr>
            <w:tcW w:w="82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56,889</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color w:val="auto"/>
              </w:rPr>
              <w:t>6,403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9,778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Revenue increased by $6.4 million, or 11%, for the three months ended June 30, 2024 compared to the three months ended June 30, 2023. The increase was primarily due to an increase in advertiser demand for our product offerings, which was driven by increased marketer spending as well as increased user engagement as measured by an 8% increase in Q2 WAUs. ARPU increased 3% in the three months ended June 30, 2024 compared to the three months ended June 30, 2023, reflecting stronger year-over-year revenue growth relative to WAU growth.</w:t>
      </w:r>
    </w:p>
    <w:p>
      <w:pPr>
        <w:spacing w:after="0" w:line="13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Revenue increased by $9.8 million, or 9%, for the six months ended June 30, 2024 compared to the six months ended June 30, 2023. The increase was primarily due to an increase in advertiser demand for our product offerings, which was driven by increased marketer spending as well as increased user engagement as measured by an 8% increase in Q2 WAUs. Year-to-date ARPU increased 4% in the six months ended June 30, 2024 compared to the six months ended June 30, 2023, reflecting stronger year-over-year revenue growth relative to WAU growth.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Pr>
          <w:p>
            <w:pPr>
              <w:spacing w:after="0"/>
              <w:rPr>
                <w:sz w:val="16"/>
                <w:szCs w:val="16"/>
                <w:color w:val="auto"/>
              </w:rPr>
            </w:pP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60" w:type="dxa"/>
            <w:vAlign w:val="bottom"/>
            <w:vMerge w:val="restart"/>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Cost of revenue decreased by $0.2 million, or 2%, for the three months ended June 30, 2024 compared to the three months ended June 30, 2023. The decrease was primarily due to a $0.7 million decrease in allocated personnel-related costs, partially offset by a $0.5 million increase in third-party hosting costs.</w:t>
      </w:r>
    </w:p>
    <w:p>
      <w:pPr>
        <w:spacing w:after="0" w:line="12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Cost of revenue decreased by $0.1 million, or less than 1%, for the six months ended June 30, 2024 compared to the six months ended June 30, 2023. The decrease was primarily due to a $1.0 million decrease in allocated personnel-related costs, partially offset by a $0.4 million increase in third-party hosting costs and a $0.3 million increase in third-party costs associated with delivering and supporting our advertising products.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12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vMerge w:val="restart"/>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8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Research and</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31,102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(6,015)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(7,678)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Research and development expenses decreased by $6.0 million, or 16%, for the three months ended June 30, 2024 compared to the three months ended June 30, 2023. The decrease was primarily due to a $6.5 million decrease in personnel-related costs, inclusive of restructuring costs, primarily driven by a decrease in headcount, partially offset by a $0.5 million increase in third-party software costs.</w:t>
      </w:r>
    </w:p>
    <w:p>
      <w:pPr>
        <w:spacing w:after="0" w:line="12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Research and development expenses decreased by $7.7 million, or 11%, for the six months ended June 30, 2024 compared to the six months ended June 30, 2023. The decrease was primarily due to a $8.5 million decrease in personnel-related costs, inclusive of restructuring costs, primarily driven by a decrease in headcount, partially offset by a $1.0 million increase in third-party software costs.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6"/>
                <w:szCs w:val="16"/>
                <w:color w:val="auto"/>
              </w:rPr>
            </w:pPr>
          </w:p>
        </w:tc>
        <w:tc>
          <w:tcPr>
            <w:tcW w:w="9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8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8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Personnel-related and</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43,937</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Brand and performance</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Neighbor services</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6"/>
        </w:trPr>
        <w:tc>
          <w:tcPr>
            <w:tcW w:w="18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sales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30,438</w:t>
            </w:r>
          </w:p>
        </w:tc>
        <w:tc>
          <w:tcPr>
            <w:tcW w:w="8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31,386</w:t>
            </w:r>
          </w:p>
        </w:tc>
        <w:tc>
          <w:tcPr>
            <w:tcW w:w="8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60,310</w:t>
            </w:r>
          </w:p>
        </w:tc>
        <w:tc>
          <w:tcPr>
            <w:tcW w:w="8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60,595</w:t>
            </w:r>
          </w:p>
        </w:tc>
        <w:tc>
          <w:tcPr>
            <w:tcW w:w="80" w:type="dxa"/>
            <w:vAlign w:val="bottom"/>
          </w:tcPr>
          <w:p>
            <w:pPr>
              <w:spacing w:after="0"/>
              <w:rPr>
                <w:sz w:val="13"/>
                <w:szCs w:val="13"/>
                <w:color w:val="auto"/>
              </w:rPr>
            </w:pPr>
          </w:p>
        </w:tc>
        <w:tc>
          <w:tcPr>
            <w:tcW w:w="600" w:type="dxa"/>
            <w:vAlign w:val="bottom"/>
            <w:vMerge w:val="restart"/>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$0.9 million, or 3%, for the three months ended June 30, 2024 compared to the three months ended June 30, 2023. The decrease was primarily due to a $0.5 million decrease in personnel-related costs, inclusive of restructuring costs, primarily driven by a decrease in headcount and a $0.4 million decrease in neighbor services.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by $0.3 million, or less than 1%, for the six months ended June 30, 2024 compared to the six months ended June 30, 2023. The decrease was primarily due to a $0.5 million decrease in personnel-related costs, inclusive of restructuring costs, primarily driven by a decrease in headcount and a $0.3 million decrease in neighbor services, partially offset by a $0.3 million increase in performance marketing costs for user acquisition and a $0.2 million increase in performance marketing costs to attract local businesses.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12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60" w:type="dxa"/>
            <w:vAlign w:val="bottom"/>
            <w:vMerge w:val="restart"/>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General and</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21,098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109 %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21,345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General and administrative expenses increased by $21.1 million, or 109%, for the three months ended June 30, 2024 compared to the three months ended June 30, 2023. The increase was primarily due to a $23.3 million increase in restructuring costs, inclusive of $22.7 million of impairment costs related to office space reductions, partially offset by a $0.5 million decrease in personnel-related costs primarily driven by a decrease in headcount, a $0.7 million decrease in professional fees, and a $0.4 million decrease in insurance expenses.</w:t>
      </w:r>
    </w:p>
    <w:p>
      <w:pPr>
        <w:spacing w:after="0" w:line="11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General and administrative expenses increased by $21.3 million, or 60%, for the six months ended June 30, 2024 compared to the six months ended June 30, 2023. The increase was primarily due to a $23.3 million increase in restructuring costs, inclusive of $22.7 million of impairment costs related to office space reductions, partially offset by a $0.9 million decrease in professional fees and a $0.7 million decrease in insurance expenses.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c>
          <w:tcPr>
            <w:tcW w:w="9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Pr>
          <w:p>
            <w:pPr>
              <w:spacing w:after="0"/>
              <w:rPr>
                <w:sz w:val="17"/>
                <w:szCs w:val="17"/>
                <w:color w:val="auto"/>
              </w:rPr>
            </w:pPr>
          </w:p>
        </w:tc>
        <w:tc>
          <w:tcPr>
            <w:tcW w:w="9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13,255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Interest income increased by $0.1 million, or 1%, for the three months ended June 30, 2024 compared to the three months ended June 30, 2023. The increase was primarily driven by higher interest rates.</w:t>
      </w:r>
    </w:p>
    <w:p>
      <w:pPr>
        <w:spacing w:after="0" w:line="12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Interest income increased by $1.4 million, or 12%, for the six months ended June 30, 2024 compared to the six months ended June 30, 2023. The increase was primarily driven by higher interest rates.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23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11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Pr>
          <w:p>
            <w:pPr>
              <w:spacing w:after="0"/>
              <w:rPr>
                <w:sz w:val="16"/>
                <w:szCs w:val="16"/>
                <w:color w:val="auto"/>
              </w:rPr>
            </w:pP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88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8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8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Other income (expense),</w:t>
            </w: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72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NM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Other income (expense), net increased by $0.3 million, for the three months ended June 30, 2024 compared to the three months ended June 30, 2023. The increase was primarily due to the periodic re-measurement of monetary assets and liabilities denominated in non-functional currencies and gains and losses on marketable securities and foreign currency transactions.</w:t>
      </w:r>
    </w:p>
    <w:p>
      <w:pPr>
        <w:spacing w:after="0" w:line="11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Other expense decreased by $0.3 million, or 94%, for the six months ended June 30, 2024 compared to the six months ended June 30, 2023. The decrease was primarily due to the periodic re-measurement of monetary assets and liabilities denominated in non-functional currencies and gains and losses on marketable securities and foreign currency transactions.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23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80" w:type="dxa"/>
            <w:vAlign w:val="bottom"/>
          </w:tcPr>
          <w:p>
            <w:pPr>
              <w:spacing w:after="0"/>
              <w:rPr>
                <w:sz w:val="16"/>
                <w:szCs w:val="16"/>
                <w:color w:val="auto"/>
              </w:rPr>
            </w:pPr>
          </w:p>
        </w:tc>
        <w:tc>
          <w:tcPr>
            <w:tcW w:w="8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8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8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8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Provision for income</w:t>
            </w: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70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Provision for income taxes increased by $0.2 million, or 155%, for the three months ended June 30, 2024 compared to the three months ended June 30, 2023. The increase was primarily due to an increase in foreign income tax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increased by $0.1 million, or 21%, for the six months ended June 30, 2024 compared to the six months ended June 30, 2023.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an increase in foreign income tax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inception, we have generated negative cash flows from operations and have primarily financed our operations from net proceeds received from the sale of equity securities, proceeds from the Business Combination, and payments received from our customers. We currently have no debt outstanding.</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generated losses from our operations, as reflected in our accumulated deficit of $837.1 million as of June 30, 2024. We incurred operating losses and cash outflows from operations by supporting the growth of our business. We expect these losses and operating cash outflows to continue for the foreseeable future. We also expect to incur significant research and development, sales and marketing, and general and administrative expenses over the next several years in connection with the continued development and strategic expansion of our business.</w:t>
      </w:r>
    </w:p>
    <w:p>
      <w:pPr>
        <w:spacing w:after="0" w:line="1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of June 30, 2024, we had $456.5 million in cash, cash equivalents, and marketable securities. We anticipate satisfying our short-term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any future equity or debt financings.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the continuing market adoption of our platform, the number of shares repurchased under our share repurchase program (the “Share Repurchase Program”), and our ability to obtain equity or debt financing. Moreover, any instability in the U.S. or international banking systems may impact liquidity both in the short term and long term.</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capital as and when required would have an adverse effect, which could be material, on our results of operations, financial condition, and ability to achieve our business objectives.</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May 31, 2022, our Board of Directors authorized and approved the Share Repurchase Program to repurchase up to $100.0 million in aggregate of our Class A common stock, with the authorization to expire on June 30, 2024. The timing of any repurchases will depend on market conditions and other investment opportunities, and will be made at our discretion. The Share Repurchase Program does not obligate us to repurchase any dollar amount or number of shares, and the program may be extended, modified, suspended, or discontinued at any time. On February 21, 2024, our Board of Directors authorized and approved an increase of $150.0 million to the Share Repurchase Program and extended the expiration date to March 31, 2026. During the three and six months ended June 30, 2024, we repurchased and retired 18.1 million and 22.5 million shares of Class A common stock at an average purchase price of $2.42 and $2.38 per share for an aggregate repurchase price of $43.7 million and $53.5 million, respectively. As of June 30, 2024, we had $119.3 million available for future share repurchases under the Share Repurchase Program.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297"/>
              <w:spacing w:after="0"/>
              <w:rPr>
                <w:sz w:val="20"/>
                <w:szCs w:val="20"/>
                <w:color w:val="auto"/>
              </w:rPr>
            </w:pPr>
            <w:r>
              <w:rPr>
                <w:rFonts w:ascii="Times New Roman" w:cs="Times New Roman" w:eastAsia="Times New Roman" w:hAnsi="Times New Roman"/>
                <w:sz w:val="18"/>
                <w:szCs w:val="18"/>
                <w:color w:val="auto"/>
              </w:rPr>
              <w:t>(18,987)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(26,049)</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rPr>
              <w:t>61,399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52,625</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297"/>
              <w:spacing w:after="0"/>
              <w:rPr>
                <w:sz w:val="20"/>
                <w:szCs w:val="20"/>
                <w:color w:val="auto"/>
              </w:rPr>
            </w:pPr>
            <w:r>
              <w:rPr>
                <w:rFonts w:ascii="Times New Roman" w:cs="Times New Roman" w:eastAsia="Times New Roman" w:hAnsi="Times New Roman"/>
                <w:sz w:val="18"/>
                <w:szCs w:val="18"/>
                <w:color w:val="auto"/>
              </w:rPr>
              <w:t>(49,743)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used in operating activities during the six months ended June 30, 2024 was $19.0 million which resulted from a net loss of $71.0 million, adjusted for non-cash charges of $58.1 million and net cash outflows of $6.0 million from changes in operating assets and liabilities. Non-cash charges primarily consisted of $35.7 million of stock-based compensation expense, $22.8 million of non-cash impairment charges related to lease abandonment, and $2.5 million of depreciation and amortization expense, partially offset by $3.3 million of accretion on investments. The net cash outflows from changes in operating assets and liabilities were primarily due to a $5.3 million decrease in accrued expenses and other liabilities, a $3.0 million decrease in operating lease liabilities due to lease payments, and a $1.9 million increase in accounts receivable. These amounts were partially offset by a $2.4 million decrease in operating lease right-of-use assets due to normal amortization, a $0.9 million increase in accounts payable, and a $0.8 million decrease in prepaid expenses and other assets.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during the six months ended June 30, 2023 was $26.0 million which resulted from a net loss of $69.1 million, adjusted for non-cash charges of $35.7 million and net cash inflows of $7.4 million from changes in operating assets and liabilities. Non-cash charges primarily consisted of $37.4 million of stock-based compensation expense and $2.9 million of depreciation and amortization expense. The net cash inflows from changes in operating assets and liabilities were primarily due to a $3.4 million increase in accrued expenses and other liabilities, a $2.4 million decrease in operating lease right-of-use assets due to normal amortization, a $1.7 million decrease in prepaid expenses and other assets, a $1.4 million decrease in accounts receivable, and a $1.4 million increase in accounts payable. These amounts were partially offset by a $2.8 million decrease in operating lease liabilities due to lease payments.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for the six months ended June 30, 2024 was $61.4 million, which consisted of proceeds from maturities of marketable securities of $106.1 million and proceeds from sales of marketable securities of $91.2 million. This was partially offset by purchases of marketable securities of $128.3 million and a loan to Opportunity Finance Network of $7.5 million.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for the six months ended June 30, 2023 was $52.6 million, which consisted of proceeds from maturities of marketable securities of $306.8 million and proceeds from sales of marketable securities of $51.6 million. This was partially offset by purchases of marketable securities of $303.2 million and a loan to Opportunity Finance Network of $2.5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June 30, 2024 was $49.7 million, which consisted of repurchases of common stock of $53.5 million and tax withholdings on release of restricted stock units (“RSUs”) of $5.7 million. This was partially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offset by proceeds from the exercise of stock options of $8.8 million and proceeds from the issuance of common stock under the employee stock purchase plan of $0.6 million.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six months ended June 30, 2023 was $3.6 million, which consisted of $2.6 million of proceeds from the exercise of stock options and $1.1 million of proceeds from the issuance of common stock under the employee stock purchase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that represents our net loss adjusted for depreciation and amortization, stock-based compensation, net interest income, provision for income taxes, and any restructuring charges or acquisition-related costs.</w:t>
      </w:r>
    </w:p>
    <w:p>
      <w:pPr>
        <w:spacing w:after="0" w:line="12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loss, the most comparable GAAP measure, to Adjusted EBITDA:</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(69,119)</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37,392</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(40,266)</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GAAP. Preparing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requiring estimates, assumptions, and judgments as compared to the critical accounting policies and estimates as described in our Annual Report on Form 10-K for the year ended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2 to our unaudited condensed consolidated financial statements included elsewhere in this Quarterly Report for more information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we had cash and cash equivalents of $53.0 million and marketable securities of $403.6 million. Our cash and cash equivalents consist of cash in bank accounts, demand deposits, money market funds, corporate bonds, and commercial paper. 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We do not believe a 10% change in the relative value of the U.S. Dollar would have materially affected our unaudited condensed consolidated financial statements for the periods presented. To date, we have not had a formal hedging program with respect to foreign currency, but we may do so in the future if our exposure to foreign currency should become more significant.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the end of the period covered by this Quarterly Report, and have concluded that, based on such evaluation, our disclosure controls and procedures were effective as of June 30, 2024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Disclosure Controls and Procedures</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more information regarding legal proceedings and other claims in which we are involved, see Note 7, Commitments and Contingencies, to our unaudited condensed consolidated financial statements included in Part I, Item 1 of this Quarterly Report on Form 10-Q, and is incorporated herein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risks. You should carefully consider the risks and uncertainties described below, together with all of the other information in this Quarterly Report, including the section titled “Management’s Discussion and Analysis of Financial Condition and Results of Operations” and our unaudited condensed consolidated financial statements and related notes, before deciding whether to purchase shares of our Class A common stock. You should also carefully consider the following risk factors in addition to the other information included in this Quarterly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commenced operating the Nextdoor platform in 2011 and began supporting the platform with advertising in 2016. Our limited operating history at the current scale of our business may make it difficult to evaluate our current business and future prospects. We have encountered, and will continue to encounter, risks and difficulties frequently experienced by growing companies in rapidly evolving industries, including challenges in accurate financial planning and forecasting, increasing competition and expenses as we effectively scale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a business with a limited operating history. We cannot ensure that we will be successful in addressing these and other challenges we may face in the future, and our business, operating results, and financial condition may be adversely affected if we do not manage these risks successfully. We may not be able to sustain or increase our current rate of growth, which is a risk characteristic often shared by companies with limited operating histories participating in rapidly evolving industries.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Given the current macroeconomic environment, it may be more difficult for us to capitalize on our growth strategies. There can be no assurance that we will successfully increase monetization on our platform or that we will sustain or increase the current growth rate of our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global economic and financial conditions could harm our business and financial condition.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Adverse global economic and financial events and the effects thereof, such as health epidemics or pandemics, the war in Ukraine and the Middle East, inflation, changing interest rates, potential recessions, the upcoming U.S. election, fluctuations in foreign exchange rates, actual or perceived instability in the global banking system, supply chain issues and inventory and labor shortages, have caused, and could in the future cause, disruptions and volatility in global financial markets. These conditions have in the past and may in the future translate to cost increases to us and advertisers and lead to decreased spending by our advertisers. In addition, since the majority of our revenue is derived from advertisers within the United States, economic conditions in the United States have a greater impact 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We may not perform well in adverse macroeconomic conditions, which could adversely affect our business, financial condition and operating results.</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generate substantially all of our revenue from advertising. If advertisers reduce or eliminate their spending with us, our business, operating results, and financial condition would be adversely impacted.</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our revenue is currently generated from the sales of advertising on our platform in the form of online display advertisements, which include sponsored posts and local deals. Our advertisers typically do not have long-term advertising spend commitments with us. Many of our advertisers spend only a relatively small portion of their overall advertising budget with us. In addition, advertisers may view some of the features on our platform as experimental and unproven. Advertisers will not continue to do business with us, or they will reduce the prices they are willing to pay to advertise with us, if we do not deliver advertisements in an effective manner, or if advertisers do not believe that their investment in advertising with us will generate a competitive return relative to alternatives. Our ability to attract and retain advertisers, and ultimately generate revenue, may be adversely affected by a number of factors, including but not limited to:</w:t>
      </w:r>
    </w:p>
    <w:p>
      <w:pPr>
        <w:spacing w:after="0" w:line="13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neighbor or advertiser engagement on the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growth in, or lack of growth or decreases in, the number of neighbors active on the platform;</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whether in the advertising industry in general, among specific types of advertisers or within particular geographies, including but not limited to the upcoming U.S. election, health epidemics or pandemics, actual or perceived instability in the global banking system, labor shortages, supply chain disruptions, a potential recession, inflation and changing interest rates;</w:t>
      </w:r>
    </w:p>
    <w:p>
      <w:pPr>
        <w:spacing w:after="0" w:line="12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changes (such as the migration to our proprietary ad server) or inventory management decisions that change the size, format, frequency, or relative prominence of advertisements displayed on the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offering more attractive pricing for advertisements that we are unable or unwilling to match;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quantity or quality of advertisements shown to neighbors;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laws, third-party policies or applications that limit our ability to deliver, target, or measure the effectiveness of advertising, including changes by mobile operating system and browser providers such as Apple and Google;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demographics of our neighbors that make us less attractive to advertisers;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neighbors who exercise opt-out rights under privacy laws to restrict the advertisements they receive;</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that upload content or take other actions that are deemed to be hostile, inappropriate, illicit, objectionable, illegal, or otherwise not consistent with the brand of our advertisers;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government actions or legislative, regulatory, or other legal developments;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or changes to the platform that may affect, among other things, the safety and security of other neighbors or the cultivation of a positive and inclusive online community;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media reports or other negative publicity involving us;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or enforcing policies, such as advertising policies, community guidelines, and other terms or service that are perceived negatively by advertisers;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improve our products for advertisers;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or reductions to, the availability, accuracy, utility, and security of analytics and measurement solutions offered by us or third parties that are intended to demonstrate the value of our advertisements to advertisers; and</w:t>
      </w:r>
    </w:p>
    <w:p>
      <w:pPr>
        <w:spacing w:after="0" w:line="107"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data privacy practices that affect the type or manner of advertising that we are able to provide, including as a result of changes to laws, regulations or regulatory actions, such as the GDPR, European Directive 2002/58/EC (the “ePrivacy Directive”), the UK GDPR, the UK Data Protection Act 2018, the CCPA, Nevada’s Online Privacy Law, the CDPA, the VCPDA, the CPRA, and other U.S. state privacy laws, or changes to third-party policies.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certain of these factors have adversely affected our revenue to varying degrees.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attract and retain advertisers depends on our ability to collect and use data and develop products to enable us to effectively deliver and accurately measure advertisements on the Nextdoor platform.</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launched its Intelligent Tracking Prevention (“ITP”) feature in its Safari browser. ITP blocks some or all third-party cookies by default on mobile and desktop and ITP has become increasingly restrictive over time. Apple’s related Privacy-Preserving Ad Click attribution, intended to preserve some of the functionality lost with ITP, would, for example, prevent uniquely identifying individuals and devices across sites for the purpose of Ad Click attribution, prevent measurement outside a narrowly-defined attribution window, and prevent advertisement re-targeting and optimization. Further, Apple introduced an App Tracking Transparency framework that limits the ability of mobile applications to request an iOS device’s advertising identifier and may also affect our ability to track neighbors’ actions off our platform and connect their interactions with on-platform advertising. Google recently went back on its plans to phase out third-party cookies, but is exploring ways to allow users to make browser-level privacy choices that could impact our advertising. These web and mobile browser developers have also implemented and may continue to implement changes and restrictions in browser or device functionality that limit our ability to communicate with or understand the identity of our neighbors.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add new neighbors or retain current neighbors, or if current neighbors engage less with the Nextdoor platform, our business, operating results, and financial condition would be adversely impacted.</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neighbors that use the Nextdoor platform and their level of engagement on the platform are critical to our success. We must continue to engage and retain existing neighbors on our platform as well as attract, engage and retain new neighbors. The number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neighbors on the Nextdoor platform may not continue to grow at historical growth rates or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w:t>
      </w:r>
    </w:p>
    <w:p>
      <w:pPr>
        <w:spacing w:after="0" w:line="19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active neighbor base slows or reverses, we may be required to incur significantly higher marketing expenses than we currently anticipate in order to acquire new neighbors or retain current neighbors. We recently introduced our NEXT initiative, a planned complete transformation of our platform with the goal of making our platform more robust and engaging for users, as well as more compelling for advertisers. We may expend significant resources and management bandwidth on the implementation of this initiative, but those efforts may not be successful and may not result in the expected benefits, including increased neighbor satisfaction or engagement, or added neighbors on our platform.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many factors that could negatively impact our ability to grow, retain and engage current and prospective neighbors, including but not limited to:</w:t>
      </w:r>
    </w:p>
    <w:p>
      <w:pPr>
        <w:spacing w:after="0" w:line="1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increasing their engagement with competitors’ platforms, products or services instead of, or more frequently than,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of time neighbors spend across all applications and platforms, including our platform;</w:t>
      </w:r>
    </w:p>
    <w:p>
      <w:pPr>
        <w:spacing w:after="0" w:line="17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introduce platform enhancements that neighbors find engaging or if we introduce new features, terms, policies or procedures, or make changes to our platform, including changes we are implementing with our NEXT initiative, that are not favorably received by current or prospective neighbors;</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frustrating the neighbor experience, such as problems that prevent us from delivering our service in a fast and reliable manner;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having difficulty installing, updating or otherwise accessing the Nextdoor platform on mobile devices through the app or web browsers;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on the Nextdoor platform changing, including a decrease in the quality and frequency of content shares on the platform;</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neighbor or advertiser sentiment due to questions about the quality or usefulness of our platform, concerns about the nature of content made available on the platform, concerns related to privacy, safety, security, well-being or other factors;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mandated by legislation, government and regulatory authorities, or litigation that adversely impact our platform or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preventing their content from being displayed on the Nextdoor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to how we promote different features on our platform;</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initiatives designed to attract and retain neighbors and engagement are unsuccessful or discontinued, whether as a result of actions by us, third parties, or otherwise;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other partners and companies in the industry are the subject of adverse media reports or other negative publicity;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combat spam, harassment, cyberbullying or other hostile, inappropriate, abusive or offensive content or usage on our platform;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preserve and enhance our brand and reputation as a trusted neighborhood networking community.</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decrease in neighbor growth, retention or engagement could render our service less attractive to neighbors or advertisers, and could harm our business, operating results, and financial condition. In addition, neighbor verification is a critical feature of our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platform because it demonstrates that neighbors are real people and businesses in the neighborhood they desire to join. If we were to change our verification methods, that may adversely impact our ability to add new neighbors or retain existing neighbors.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Competition presents an ongoing threat to the success of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compete with companies that provide a variety of internet products, services, content, and online advertising. In addition, aspects of our platform compete with other products and services, including home services, classifieds, real estate, recommendations, and search engines. Of these companies, we most directly compete with social media companies that offer local products to advertisers and users, including large companies such as Meta (including through Facebook and Instagram) and Alphabet (including through Google), and other companies that provide home services, classifieds, real estate,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and services or evolve their platforms, we may fail to engage or retain neighbors or attract new neighbors, which could harm our business, operating results, and financial condition.</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 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introduced changes starting with iOS 14.5 that limit our ability, and the ability of others in the digital advertising industry, to track individual users and devices, and target and measure advertisements effectively. Additionally, the Apple App Store guidelines require apps that support account creation to also allow users to delete their account within the app. This change has and may continue to impact our ability to retain users.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ability to compete depends upon many factors both within and beyond our control, including:</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popularity, usefulness, ease of use, performance, and reliability of our platform compared to our competitors’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composition of our neighbor base;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engagement of neighbors with our platform and competing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and third-party data available to us relative to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advertisers who use our free or paid advertisements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market acceptance of developments and enhancements to our platform or our competitors’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safety and security efforts and our ability to protect neighbor data and to provide neighbors with control over their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distribute our platform to new and existing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monetize our platform;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implementation of platform changes, such as the migration to our proprietary ad server and introduction of AI technologies into our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size, format, quality, and relative prominence of the advertisements displayed by us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 efforts;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efforts, including our ability to measure the effectiveness of our advertisements and to provide advertisers with a compelling return on their investments;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publisher interest in integrating their content with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mandated by legislation, regulatory authorities, or litigation, some of which may have a disproportionate effect on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consolidation within our industry, which may result in more formidable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talented employees, particularly software engineers, designers, and managers;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cost-effectively manage and grow our operations;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strength relative to those of our competitors.</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are not able to compete effectively, our neighbor base and level of neighbor engagement may decrease, we may become less attractive to advertisers and our business, operating results, and financial condition may be adversely affected.</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geopolitical conflict (including the current war in Ukraine and in the Middle East), other physical security threats, cyber-attacks, or other catastrophic events. If such an event were to occur, neighbors may be subject to service disruptions or outages and we may not be able to recover our technical infrastructure and neighbor data in a timely manner to restart or provide our services, which may adversely affect our financial results. In addition, the substantial amount of our employees are based in our headquarters located in San Francisco, California. If there is a catastrophic failure involving our systems or major disruptive event affecting our headquarters or the San Francisco area in general, we may be unable to operate our platform.</w:t>
      </w:r>
    </w:p>
    <w:p>
      <w:pPr>
        <w:spacing w:after="0" w:line="20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substantial portion of our network infrastructure is provided by third parties, including AWS. We also rely on third parties for other technology related services, including certain AI functions.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 and increases in the costs of these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scale our business effectively, our business, operating results, and financial condition would be adversely affected.</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experienced growth in recent years and expect to continue to invest strategically across our organization to support measured growth, while also scaling back certain areas of our business in response to changing economic conditions. Although we have experienced rapid growth historically, we may not return to prior growth rates or sustain our growth rates, nor can we assure you that our investments to support our growth or to manage expenses by scaling back other areas of our business will be successful. The effective scaling of our business will require us to invest financial and operational resources and the continuous dedication of our management team.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as we have grown, our business has become increasingly complex and requires more resources. To manage any future growth effectively, we must continue to improve and expand our information technology and financial infrastructure, our operating and administrative systems and controls, and our ability to manage headcount, capital, and processes in an efficient and appropriate manner. Failure to 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including video, we may not be able to do so cost-effectively. Effectively managing our growth may also be more difficult to accomplish the longer that our employees, our advertisers, neighbors and the overall economy is impacted due to macroeconomic conditions and factors, including but not limited to the impacts related to the actual or perceived instability in the global banking system, labor shortages, supply chain disruptions, a potential recession, the upcoming U.S. election, changing interest rates and inflation, and the war in Ukraine and the Middle East.</w:t>
      </w:r>
    </w:p>
    <w:p>
      <w:pPr>
        <w:spacing w:after="0" w:line="2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spacing w:after="0" w:line="19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Additionally, from time to time, we realign our resources and talent to implement stage-appropriate business strategies, which could include furloughs, layoffs and reductions in force. For example, in November 2023, in response to changing economic conditions and in an effort to support our growth, scale and profitability objectives, reduce our operational costs and improve our organizational efficiency, we executed a restructuring plan, which included a restructuring and reduction of the current workforce by approximately 25%. The restructuring plan was substantially completed by the end of the fourth quarter of 2023. On April 24, 2024, we performed an additional restructuring intended to refocus the Company for future growth. The plan impacted 38 of our full-time employees. The execution of the plan was substantially complete by the end of the second quarter of 2024. As part of the restructuring plan implemented in April 2024, the Company ceased occupying and abandoned certain floors of its leased headquarters in San Francisco in order to adjust its office space footprint to better align with the needs of its work model. If there are unforeseen expenses associated with such realignments in our business strategies, and we incur unanticipated charges or liabilities, then we may not be able to effectively realize the expected cost savings or other benefits of such actions. Failure to manage any growth or any scaling back of our operations could have an adverse effect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AI initiatives, which could adversely affect our business, reputation, or financial results.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continuing to make investments in AI initiatives, including to recommend relevant content across our products, enhance our advertising tools, and develop new product features using generative AI. AI technologies are complex and rapidly evolving, and we face significant competition from other companies as well as an evolving regulatory landscape. These efforts, including the introduction of new products or changes to existing products, may result in new or enhanced governmental or regulatory scrutiny, litigation, ethical concerns, or other complications that could adversely affect our business, operating results and financial condition. For example, the use of datasets to develop AI models, the content generated by AI systems, or the application of AI systems may be found to be insufficient, offensive, biased, or harmful, or violate current or future laws and regulations. Moreover, AI may give rise to litigation risk, including potential intellectual property or privacy liability. Furthermore, the integration of third-party AI models with our products and services relies on certain safeguards implemented by the third-party developers of the underlying AI models, including those related to the accuracy, bias, and other variables of the data, and these safeguards may be insufficient. If our offerings draw controversy due to their perceived or actual impact on society, such as AI solutions that have unintended consequences or are controversial because of their impact on human rights, privacy, employment, or other social, economic, or political issues, or if we are unable to develop effective internal policies and frameworks relating to the responsible development and use of AI models and systems, we may experience brand, reputational, and/or competitive harm, or could face legal liability. Moreover, our competitors may introduce AI technologies and features into their products and services that achieve greater market acceptance that ours. Any of these factors could adversely affect our business, operating results, and financial condition.</w:t>
      </w:r>
    </w:p>
    <w:p>
      <w:pPr>
        <w:spacing w:after="0" w:line="2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efforts to build strong brand identity and reputation are not successful, we may not be able to attract or retain neighbors, and our business, operating results, and financial condition will be adversely affected.</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maintaining and enhancing the “Nextdoor” brand and reputation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brand and reputation may also be negatively affected by the content or actions of neighbors that are deemed to be hostile or inappropriate to other neighbors, by the actions of neighbors acting under false or inauthentic identities, by the use of our platform to disseminate misleading or false information, the use of our platform for fraudulent schemes and scams, or by the use of our service for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illicit, illegal or objectionable ends.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media coverage negatively affects our business from time to time.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international operations where we have limited operating experience and may be subject to increased business, regulatory, and economic risks that could seriously harm our business, operating results, and financial condition.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plan to continue expanding our business operations abroad by opening new and expanding within existing neighborhoods outside of the United States. As of June 30, 2024, the Nextdoor platform was accessible in 11 countries (including the United States) and had over 335,000 neighborhoods. We may enter new international markets and expand in existing markets where we have limited or no experience in marketing, selling, advertising and deploying our platform or selling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our international operations and sales to advertisers continue to grow, we will be subject to a variety of risks inherent in doing business internationally, including:</w:t>
      </w:r>
    </w:p>
    <w:p>
      <w:pPr>
        <w:spacing w:after="0" w:line="13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including as a result of acts of war or terrorism, including the war in Ukraine and the Middle East;</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10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our brand and reputation due to compliance with local laws, including potential censorship and requirements to provide neighbor information to local authorities;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difficulty in reviewing content on the Nextdoor platform and enforcing community standards across different languages and countries;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multiple U.S. and international tax jurisdictions and management of tax impact of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higher levels of credit risk and payment fraud;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any foreign acquisitions;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 variety of foreign laws, including laws related to taxation, content removal, data localization, data transfer, consents, payments, and regulatory oversight;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legal compliance costs associated with multiple international locations.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need additional capital in the future, it may not be available on favorable terms, if at all.</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The current macroeconomic environment may make it more difficult to raise additional capital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spacing w:after="0" w:line="2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make acquisitions, which could harm our financial condition or operating results and may adversely affect the price of our Class A common stock.</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have made, and may in the future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largely on our ability to attract, and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spacing w:after="0" w:line="1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and the change by companies to offer a remote or hybrid work environment may increase the competition for such employees from employers outside of our traditional office locations.</w:t>
      </w:r>
    </w:p>
    <w:p>
      <w:pPr>
        <w:spacing w:after="0" w:line="2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 we realize the benefit of our investment in recruiting and training them. As we move into new geographies, we will need to attract and recruit skilled personnel in those areas. Further, labor is subject to external factors that are beyond our control, including our industry’s highly competitive market for skilled workers and leaders, cost inflation, and workforce participation rates. Further, in November 2023, in response to changing economic conditions and in an effort to reduce our operational costs and improve our organizational efficiency, we executed a restructuring plan, which included a restructuring and reduction of the current workforce by approximately 25%. The restructuring plan was substantially complete by the end of the fourth quarter of 2023. On April 24, 2024, we performed another restructuring intended to refocus the Company for future growth. The plan impacted 38 of our full-time employees. The execution of the plan was substantially complete by the end of the second quarter of 2024. As part of the restructuring plan implemented in April 2024, in June 2024, we ceased occupying and abandoned certain floors of our leased headquarters in San Francisco in order to adjust our office space footprint to better align with the needs of our work model. These restructuring plans could negatively impact our ability to attract, integrate, retain and motivate key employees. If we are unable to attract and retain suitably qualified individuals who are capable of meeting our growing technical, operational, and managerial requirements, on a timely basis or at all, our business, operating results, and financial condition may be adversely affected.</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success also depends in large part on the continued services of senior management and other key personnel. In particular, we are dependent on the services of Nirav Tolia, our Chief Executive Officer and President, who is critical to the future vision and strategic direction of our business. We rely on our senior management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If we lose the services of senior management or other key personnel, or if we are unable to attract, train, assimilate, and retain the highly skilled personnel that we need, our business, operating results, and financial condition could be adversely affected.</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core values may conflict with the short-term interests of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our core values as a guide to the decisions we make, which we believe is essential to our success in increasing our neighbor growth rate and engagement and in serving the best, long-term interests of Nextdoor and our stockholders. In the past, we have forgone, and may in the future forgo, certain expansion or revenue opportunities that we do not believe are aligned with our core values, even if our decision may negatively impact our operating results in the short term. Our decisions may not result in the long-term benefits that we expect, in which case our neighbor engagement, business, operating results,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Security and Technology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third-party software and service providers, including the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we are dependent on third-party software and service providers, including the GAM platform, for management and delivery of advertisements on the Nextdoor platform. As such, the continued use of third-party software and service providers, including GAM,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software and service providers, including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third-party software and service providers, including AWS, to provide systems, storage and services, including neighbor login authentication, for our website. Any technical problem with, cyber-attack on or loss of access to such third parties’ systems, servers, or technologies could result in the inability of neighbors to access the Nextdoor platform or result in the theft of neighbors’ personal information.</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we rely on third-party technology providers in our business, we rely on the cybersecurity practices and policies adopted by these third parties. Our ability to monitor our third-party technology providers’ cybersecurity practices is limited.</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If neighbors or advertisers are not able to access our platform or encounter difficulties in doing so, we may lose neighbors or advertisers, which could harm our reputation, business, operating results, and financial condition.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data center hosting facilities operated by AWS, located in various facilities.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including email providers, mobile data networks, and geolocation providers to complete the verification process for our neighbors’ accounts. Any failure or interruption experienced by such third parties could result in the inability of neighbors to join our platform, resulting in harm to our reputation and an adverse impact to our business, operating results, and financial condition.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third parties to verify our neighbors’ accounts through several methods, including but not limited to email, SMS text message, phone calls, geolocation and mailed invitations. For example, we utilize email providers, mobile data networks, and geolocation providers to verify neighbors’ accounts. Account verification is a critical feature of our platform because it demonstrates that neighbors actually live in the neighborhood they desire to join. Any failure, interruption, or loss of access to such third parties or their software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geolocation providers or postal providers may be more costly to use than our current providers. Any disruption in the third parties could harm our neighbor growth, which in turn could make us a less attractive advertising platform and harm our reputation, and could harm our business, operating results, and financial condition.</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Technologies have been developed that can block the display of advertisements on the Nextdoor platform, which could adversely impact our business, operating results, and financial condition.</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including improper access to or disclosure of our data or our neighbors’ data, or other hacking and phishing attacks on our or third-party systems, could harm our reputation and adversely affect our business.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collect, store and otherwise process personal data relating to a number of individuals such as our neighbors, employees and partners, including, but not limited to, neighbor contact details, network details, and location data. The evolution of technology systems introduces unknown and complex security risks that can be unpredictable and difficult to defend against. Cyber-attacks continue to evolve in sophistication and volume, and inherently may be difficult to detect for long periods of time. In particular, social media companies, like us, are prone to cyber-attacks by third parties seeking unauthorized access to company or user data or to disrupt their ability to provide access to their products and services.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trend towards working from home and using private residential networks to access the Internet may further exacerbate risks associated with cyberattacks and data security breaches, because we cannot guarantee these private work environments and electronic connections to our work environment have the same robust security measures deployed in our physical offices.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take a variety of technical and organizational security measures and other measures to protect our data. Although we have implemented systems and processes that are designed to protect our data and our neighbors’ data, prevent data loss, disable 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(predominantly spear phishing attacks), ransomware,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 objectionable ends. Our efforts to protect our company data or the information that we receive may also be unsuccessful due to software bugs or other technical malfunctions; employee, contractor, or vendor error or malfeasance; government surveillance; or other threats that evolve.</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third parties, including advertisers and vendors, may store information that we share with them on their networks. If these third parties fail to implement adequate data-security practices or fail to comply with their contractual obligations and/or, where applicable, our terms and policies, neighbor data may be improperly accessed, used or disclosed. Even if these third parties take all the necessary precautions and comply with their applicable obligations, their networks may still suffer a breach, which could compromise neighbor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Security breaches may cause interruptions to our platform, degrade the neighbor experience, cause neighbors or advertisers to lose confidence and trust in our platform, impair our internal systems, or result in financial harm to our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that may not be fully covered by insurance, if at all,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 effect on our business, operating results, financial condition, market acceptance of our products or revenues and may also divert development resources and increase service and support costs.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landscape of laws, regulations, and industry standards related to cybersecurity is evolving globally. We may be subject to increased compliance burdens by regulators and customers with respect to our platform, as well as additional costs to oversee and monitor security risks. Many jurisdictions have enacted laws mandating companies to inform individuals, stockholders, regulatory authorities, and others of security breaches. For example, the SEC has adopted cybersecurity risk management and disclosure rules, which require the disclosure of information pertaining to cybersecurity incidents and cybersecurity risk management, strategy, and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governance. This mandatory disclosure can be costly, harm our reputation, erode customer trust, and require significant resources to mitigate issues stemming from actual or perceived security breaches.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security breach of our system could trigger a breach of our agreements with partners that we rely on to deliver our services and expose us to significant loss.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an incident that triggers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11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or placement of advertisements could materially adversely affect the usage of our platform on mobile devices, our business, operating results, and financial condition. For example, the release of iOS 14.5 brought with it a number of new changes, including the need for neighbors using the app to opt in before their identifier for advertisers (“IDFA”) can be accessed by an app (which came into effect in April 2021). Apple’s IDFA is a string of numbers and letters assigned to Apple devices which advertisers use to identify app users to deliver personalized and targeted advertising. As a consequence, the ability of advertisers to accurately target and measure their advertising campaigns at the neighbor level will depend on the opt-in rate to grant IDFA access and if the opt-in rate is low, advertisers’ ability to target and measure advertising campaigns on the Nextdoor platform may become significantly limited. We did not observe any directly attributable negative impact on our business, operating results or financial condition, including our revenue, revenue growth rates, and operating income (loss), related to the introduction of IDFA during the six months ended June 30, 2024, though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any such changes. Further, in May 2022, Apple introduced changes for the Apple mail client available on its operating systems, which have impacted, and are expected to continue to impact our ability to track individual users and devices, and measure the effectiveness of our advertisements. As a result, advertisers may find our products less appealing and may seek alternative platforms on which to run their advertising campaigns.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and internal systems rely on software and hardware that is highly technical, and any errors, bugs, or vulnerabilities in these systems, or failures to address or mitigate technical limitations in our systems, could adversely affect our business.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platform and internal systems rely on software and hardware, including software and hardware developed or maintained internally and/or by third parties, that is highly technical and complex. In addition, our platform and internal systems depend on the ability of</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such software and hardware to store, retrieve, process, and manage immense amounts of data. The software and hardware on 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inquiries, litigation, or liability for fines, damages, or other remedies, any of which could adversely affect our business, operating results,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and ethical issues may result in reputational harm and liability.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Positions we may take (or choose not to take) on social and ethical issues may be unpopular with some of our employees, neighbors, or with our advertisers or potential advertisers, which may in the future impact our ability to attract or retain employees, neighbors or advertisers. Further, actions taken by our customers or partners, including through the use or misuse of our products, may result in reputational harm or possible liability. Any such claims could cause reputational harm to our brand or result in liability.</w:t>
      </w:r>
    </w:p>
    <w:p>
      <w:pPr>
        <w:spacing w:after="0" w:line="1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disclosures on environmental, social, and governance (“ESG”) matters, and any standards we may set for ourselves or a failure to meet these standards, may influence our reputation and the value of our brand. For example, we have elected to share publicly certain information about our ESG initiatives and information, and our commitment to the recruitment, engagement and retention of a diverse board and workforce. In addition, the SEC has adopted and subsequently imposed a voluntary stay on the implementation of additional disclosure requirements regarding, among other ESG topics, the impact our business has on the environment. Moreover, California recently adopted two new climate-related bills, which require companies doing business in California that meet certain revenue thresholds to publicly disclose certain greenhouse gas emissions data and climate-related financial risk reports. California also recently enacted the Voluntary Carbon Market Disclosures Act, which requires companies that operate within the state to make certain climate-related claims and to provide enhanced disclosures around the achievement of such claims.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If and when the stay on the SEC proposals is lifted, we will be required to establish additional internal controls, engage additional consultants, and incur additional costs related to evaluating our environmental impact and preparing such disclosures. If we fail to implement sufficient internal controls or accurately capture and disclose, among other things, our environmental impact, our reputation, business, operating results and financial condition may be materially adversely affected.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Accounting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results difficult to predict.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spacing w:after="0" w:line="13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from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retain, and grow our neighbors and neighbor engagement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advertisers;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recognize revenue or collect payments from advertisers in a particular period;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spending by our advertisers due to macroeconomic conditions, seasonality, episodic regional or global events, or other factors;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global business and macroeconomic conditions, including actual or perceived instability in the global banking system,</w:t>
      </w:r>
    </w:p>
    <w:p>
      <w:pPr>
        <w:spacing w:after="0" w:line="49" w:lineRule="exact"/>
        <w:rPr>
          <w:rFonts w:ascii="Times New Roman" w:cs="Times New Roman" w:eastAsia="Times New Roman" w:hAnsi="Times New Roman"/>
          <w:sz w:val="18"/>
          <w:szCs w:val="18"/>
          <w:color w:val="auto"/>
        </w:rPr>
      </w:pPr>
    </w:p>
    <w:p>
      <w:pPr>
        <w:ind w:left="66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recession, the upcoming U.S. election, local and national elections, the continued rise of inflation, changing interest rates, and the war in Ukraine and the Middle East;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internet usage generally;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prominence, size, format, quality and relevancy of advertisements shown to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technologies designed to block the display of advertisements;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third-party policies or applications that limit our ability to deliver, target, or measure the effectiveness of advertising, including changes by mobile operating system and browser providers such as Apple and Google;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advertisements;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of and mix of new and existing sales and marketing and promotional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our platform and app on mobile devices and other third-party platforms;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platform or the development and introduction of new products or services by our competitors;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advertising industry association rules and standards that limit our ability to deliver, target or measure the effectiveness of advertising, such as the Network Advertising Initiative, and Interactive Advertising Bureau;</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or platform changes that may reduce traffic to features of the platform that we monetize;</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disruptions, breaches of security or privacy, whether on our platform or on those of third parties, and the costs associated with any such breaches and remediation;</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associated with our platform, including as a result of content on our platform, security breaches and neighbor privacy concerns that may result in advertisers reducing or eliminating their spend with us;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the COVID-19 pandemic, influenza, and other highly communicable diseases or viruses;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our cash, cash equivalents, and marketable securities, including to repurchase shares of our outstanding Class A common stock or to make acquisitions or investments;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incurring additional expenses, such as increases in sales and marketing or research and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including with respect to privacy and cybersecurity, or actions by governments or regulators, including fines, orders, or consent decrees;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generally accepted accounting principles.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believe that our rapid historical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 to fourth quarter 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market opportunities and key metric estimates could prove to be inaccurate, and any real or perceived inaccuracies may harm our reputation and negatively affect our business.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section, which could cause actual results to differ materially from our estimates. Unfavorable changes in any of these or other assumptions,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 significant uncertainty and are based on assumptions that may not prove to be accurate. In particular, our estimates regarding our market penetration in new and existing markets are difficult to predict.</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regularly review key business and other metrics, including WAUs, Verified Neighbors and ARPU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For example, in 2021, Apple introduced changes for the Apple mail client available on its operating systems, which have limited, and are expected to continue to limit, our ability to track individual users and devices, and measure user engagement with our emails containing monetizable content for users that use the Apple email client. These changes have affected our ability to calculate WAUs, a key business metric. Because of the introduction of these changes, we are required to rely on estimates based on past user behavior and behavior of users engaging with our monetizable content on email clients other than the Apple email client in order to determine the portion of our WAU figure relating to users that engage solely with emails with monetizable content, which may impact the effectiveness of our analytics platform, as well as the accuracy of our WAU calculations. If we fail to maintain an effective analytics platform, our key metrics calculations may be inaccurate, and we may not be able to identify those inaccuracies.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experienced significant net losses each year since we began operations in 2007, including net losses of $71.0 million and $69.1 million for the six months ended June 30, 2024 and 2023, respectively. We have an accumulated deficit of $837.1 million as of June 30, 2024. We anticipate that our operating expenses and capital expenditures will increase in the foreseeable future as we continue to invest in acquiring additional neighbors, increasing engagement on our platform, increasing monetization on our platform, expanding our platform and operations internationally, attracting and retaining team members, developing and enhancing our platform, marketing and sales, and enhancing our infrastructure. Our expansion efforts may prove more expensive than we anticipate, and we may not succeed in increasing our revenues sufficiently to offset these higher expenses. While we consistently evaluate opportunities to reduce our operating costs and optimize efficiencies, including, for example, through our workforce reductions in November 2023 and April 2024, we cannot guarantee that these efforts will be successful or that we will not re-accelerate operating expenditures in the future in order to capitalize on growth opportunities.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U.S. federal and state net operating losses to offset future taxable income may be subject to certain limitations which could subject our business to higher tax liability.</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we had gross U.S. federal net operating loss (“NOL”) carryforwards of approximately $413.6 million and gross state NOL carryforwards of approximately $280.8 million, which if not utilized, will begin to expire for federal and state income tax purposes beginning in 2028. To the extent that we continue to generate taxable losses, unused losses will carry forward to offset future taxable income, if any. Under the 2017 Tax Cuts and Jobs Act, as modified by the Coronavirus Aid, Relief, and Economic Security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Section 382 of the Code, and corresponding provisions of state law,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Though we recently completed a Section 382 study that supports that our use of NOLs will not be subject to limitation, it is possible that the limitation could still apply.</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experience ownership change(s) in the future as a result of subsequent shifts in our stock ownership, some of which may be outside our control. Therefore, it is possible that such an ownership change could limit the amount of NOLs we can use to offset future taxable income. Our current NOL carryforwards, and any NOL carryforwards of companies we have acquired, may be subject to limitations, thereby increasing our overall tax liability. Our NOL carryforwards may also be impaired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be adversely affected by changes in accounting principles generally accepted in the United States and our financial estimates may be different from our financial results.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our operating results, which are reported in U.S. dollars, could be adversely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continue to expand our international operations, we will become more exposed to the effects of fluctuations in currency exchange rates. A substantial majority of our revenues to date have been denominated in U.S. dollars and, therefore, we have not historically been subject to foreign currency risk. In addition, as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greater than anticipated tax liabilities, which could harm our business, revenue and financial results.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 number of tax jurisdictions globally, including in the United States at the federal, state and local levels, and in many foreign countries, and plan to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w:t>
      </w:r>
    </w:p>
    <w:p>
      <w:pPr>
        <w:spacing w:after="0" w:line="12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which would negatively affect our financial results. In August 2022, President Biden signed into law the Inflation Reduction Act of 2022 (“IRA”). The IRA includes a 15% corporate alternative minimum tax for companies with modified GAAP net income in excess of $1 billion, a 1% excise tax on certain stock repurchases, and numerous environmental and green energy tax credits. Currently, we are not subject to the corporate alternative minimum tax and we do not expect the new law to have a material impact on our results of operations.</w:t>
      </w:r>
    </w:p>
    <w:p>
      <w:pPr>
        <w:spacing w:after="0" w:line="2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consummated or that it will enhance long-term stockholder value. Share repurchases could also increase the volatility of the trading price of our stock and diminish our cash reserves.</w:t>
      </w:r>
    </w:p>
    <w:p>
      <w:pPr>
        <w:spacing w:after="0" w:line="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May 31, 2022, our Board of Directors authorized and approved the Share Repurchase Program pursuant to which we may repurchase up to $100.0 million in aggregate of shares of our Class A common stock, with the authorization to expire on June 30, 2024, or such shorter period if $100.0 million in aggregate of shares of our Class A common stock have been repurchased. On February 21, 2024, our Board of Directors authorized and approved an increase of $150.0 million to the Share Repurchase Program and extended the expiration date to March 31, 2026. As of June 30, 2024, we had $119.3 million available for future share repurchases under the Share Repurchase Program. Although our Board of Directors has authorized this Share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Share Repurchase Program may be modified, suspended, or terminated at any time, and we cannot guarantee that the Share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as a result of content or information that is published or made available on our platform.</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are subject to many U.S. federal and state and foreign laws and regulations that involve matters central to our business, including laws and regulations that involve data privacy and protection, intellectual property (including copyright and patent laws), content regulation, the use of AI, rights of publicity, advertising, marketing, health and safety, competition, protection of minors, age verification,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In addition, the availability of copyright protection and other legal protections for intellectual property generated by certain new technologies, such as generative AI, is uncertain. The use of generative AI and other forms of AI may expose us to risks because the intellectual property ownership and license rights, including copyright, of generative and other AI output, has not been fully interpreted by U.S. courts or been fully addressed by U.S. federal or state regulation, as well as in foreign jurisdictions. Our systems, tools and personnel that help us to proactively detect potentially policy-violating or otherwise inappropriate content cannot identify all such content on our service, and in many cases this content will appear on the Nextdoor platform. This risk may increase as we develop and increase the use of certain features, such as video, for which identifying such content and obtaining appropriate consents is challenging. Additionally, some controversial content may not be banned on the Nextdoor platform and, even if it is not featured in advertisements to neighbors, it may still appear in the Feed or elsewhere. This risk is enhanced in certain jurisdictions outside of the United States where our protection from liability for content published on our platform by third parties may be unclear and where we may be less protected under local</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rely on a variety of statutory and common-law frameworks and defenses, including those provided by the DMCA, the CDA, the fair-use doctrine in the United States and the Electronic 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third-parties to our platform.</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by governments that restrict access to the Nextdoor platform in their countries, or that otherwise impair our ability to sell advertising in their countries, could substantially harm our business, operating results, and financial condition.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 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U.S. and foreign laws, regulations, and industry standards, many of which are subject to change and uncertain interpretations, which uncertainty could harm our business, operating results, and financial condition.</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many U.S. federal and state and foreign laws, regulations and industry standards that involve matters central to our business, including laws and regulations that involve data privacy, data security, intellectual property (including copyright and patent laws), content, rights of publicity, advertising, marketing, competition, protection of minors, age verification, consumer protection, taxation, and telecommunications. These laws and regulations are constantly evolving and may be interpreted, applied, created, or amended, in a manner that could harm our business. In addition, the introduction of new products, expansion of our activities in certain jurisdictions, or other actions that we may take may subject the company to additional laws, regulations, or other government scrutiny.</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a variety of statutory and common-law frameworks and defenses relevant to the content available on the Nextdoor platform, including the DMCA, the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Although the U.S. Supreme Court declined to narrow the scope of Section 230 in its Gonzalez v. Google decision, there are still legislative efforts to amend the CDA, which if successful could expose us to additional lawsuits and potential judgments that could seriously harm our business. We could incur significant costs investigating and defending such claims and, if we are found liable, significant damages.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DSA, signed into law in the European Union on October 19, 2022, is a package of legislation intended to update the liability and safety rules for digital platforms, products, and services. The DSA, which started to apply to our business in February 2024, could negatively impact the scope of the limited immunity provided by the E-Commerce Directive, limit targeted advertising, and require us to expend resources to try to comply with the new regulations or incur liability. The DSA also includes significant penalties for non-compliance. On October 26, 2023, similarly, the United Kingdom’s Online Safety Act became law. The Act creates requirements around monitoring and handling harmful content and will require us to expend resources to try to comply with the new regulations or incur liability. Additionally, Australia’s Online Safety Act 2021, which went into effect in January 2022, and its accompanying Social Media Services Code, which went into effect in December 2023, may impose new obligations and liabilities on platforms with respect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certain types of harmful content. These new and proposed laws, together with any changes to the existing laws and regulations within the jurisdictions in which we operate could require us to expend additional resources to maintain compliance with any new or evolving regulations. As a result, we may incur additional liability, and our business, operating results, and financial condition could be harmed.</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collect, store, use, share and otherwise process data, some of which contains personal information about individuals including, but not limited to, our neighbors, employees and partners including, contact details, network details, and location data. We are therefore subject to U.S. (federal, state, local) and foreign laws and regulations regarding data privacy and security and the processing of personal information and other data from neighbors, employees or business partners. The regulatory framework for privacy, information security, data protection and processing worldwide and interpretations of existing laws and regulations is likely to continue to be uncertain and current or future legislation or regulations in the United States and other jurisdictions, or new interpretations of existing laws and regulations, could significantly restrict or impose conditions on our ability to process data and increase notice or consent requirements before we can utilize advertising technologies.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internal and publicly posted policies regarding our collection, processing, use, disclosure, deletion and security of information. Although we endeavor to comply with our policies and documentation, we may at times fail to do so or be accused of having failed to do so. The publication of our privacy policies and other documentation that provide commitments about data privacy and security can subject us to potential actions if they are found to be deceptive, unfair, or otherwise misrepresent our actual practices, which could materially and adversely affect our business, operating results, and financial condition.</w:t>
      </w:r>
    </w:p>
    <w:p>
      <w:pPr>
        <w:spacing w:after="0" w:line="1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United States, we are subject to numerous federal, state and local data privacy and security laws and regulations governing the processing of information about individuals. For example, the CCPA establishes certain transparency obligations and creates data privacy rights for users, including rights to access and delete their personal information as well as opt-out of certain sales or transfers of their personal information. The law also prohibits covered businesses from discriminating against consumers (for example, charging more for services) for exercising any of their CCPA rights. The CCPA imposes statutory damages for certain violations of the law as well as a private right of action for certain data breaches that result in the loss of personal information, which increases the likelihood of, and risks associated with, data breach litigation. Additionally, California voters approved the CPRA, which amended the CCPA and became effective January 1, 2023 (with a look back to January 1, 2022). The CPRA significantly modifies the CCPA, including by expanding consumers’ rights and establishing a new state agency that is vested with authority to implement and enforce the CPRA. Other states have also passed comparable legislation, with unique compliance requirements relevant to our business. We are subject to several state privacy laws in the United States and anticipate additional state privacy laws will go into effect in the coming years, which may impose obligations similar to or more stringent than those we may face under other data protection laws. Additionally, the Federal Trade Commission and many state attorneys general are interpreting federal</w:t>
      </w:r>
    </w:p>
    <w:p>
      <w:pPr>
        <w:spacing w:after="0" w:line="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and state consumer protection laws to impose standards for the online collection, use, dissemination and security of data and a comprehensive federal privacy bill, which includes a private right of action for violations, has been proposed and is under review by the U.S. House of Representatives. Compliance with these laws and any newly enacted privacy and data security laws or regulations may be challenging and cost- and time-intensive, and may require us to modify our data processing practices and policies and to incur substantial costs and potential liability in an effort to comply with such legislation.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the United States, we are subject to an increasing number of laws, regulations and industry standards that apply to data privacy and security. In Canada, we are subject to the Personal Information Protection and Electronic Documents Act, which governs the collection, use and disclosure of Canadian residents’ personal information in the course of commercial activities. In Australia, we are also subject to, among other laws, Australia’s “Privacy Act 1988” and Australian Privacy Principles (“APPs”), which require us to, among other things: (a) establish a governance framework for managing privacy and data protection; (b) give individuals the option of not identifying themselves or using a pseudonym (unless certain exceptions apply); (c) destroy or de-identify unsolicited personal information that was not obtained for a purpose reasonably necessary or directly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In the EEA, we are subject to the GDPR and in the United Kingdom, we are subject to the United Kingdom data protection regime consisting primarily of the UK GDPR and the UK Data Protection Act 2018, in each case in relation to our collection, control, processing, sharing, disclosure and other use of data relating to an identifiable living individual (personal data). The GDPR, and national implementing legislation in EEA member states and the United Kingdom, imposes a strict data protection compliance regime, grants new rights for data subjects in regard to their personal data (including the right to be “forgotten” and the right to data portability) and enhances current rights (e.g., data subject access requests).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subject to European Union rules with respect to cross-border transfers of personal data out of the EEA and the United Kingdom. After years of uncertainty following the July 16, 2020 decision of the Court of Justice of the European Union (the “CJEU”) invalidating the EU-U.S. Privacy Shield Framework (the “Privacy Shield”), on July 10, 2023 the European Commission adopted its adequacy decision for the new EU-U.S. Data Privacy Framework (“DPF”). The DPF creates a path forward for personal data to be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transferred from the EU to the United States for U.S. entities that have self-certified with the U.S. Department of Commerce. Nextdoor has been a participant in the DPF and UK Extension to the DPF since July 17, 2024 when its self-certification was approved.</w:t>
      </w:r>
    </w:p>
    <w:p>
      <w:pPr>
        <w:spacing w:after="0" w:line="9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are also subject to evolving EU and U.K. privacy laws on cookies and e-marketing. In the EU and the U.K., regulators are increasingly focusing on compliance with current national laws that implement the ePrivacy Directive. The ePrivacy Directive may be replaced by an EU regulation known as the ePrivacy Regulation that will significantly increase fines for non-compliance. In the EU and the U.K., informed consent is required for the placement of certain cookies or similar technologies on a user’s device and for direct electronic marketing and (under the UK GDPR and the GDPR) valid consent is tightly defined, including, a prohibition on pre-checked consents and, in the context of cookies, a requirement to obtain separate consents for each type of cookie or similar technology. While the text of the ePrivacy Regulation is still under development, a December 2021 European court decision and regulators’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 Furthermore, the EU Artificial Intelligence Act, which aims to introduce a common regulatory and legal framework for AI, was officially published on July 12, 2024 and comes into effect on August 1, 2024. The EU Artificial Intelligence Act will regulate AI providers and entities making use of AI tools in a professional capacity, and may require the implementation of additional quality assurance controls and measures to be reviewed and approved by regulatory submissions of our products.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put in efforts to comply with these regulations, the uncertainty surrounding enforcement and changing privacy landscapes could change our compliance status. Similarly, there are a number of legislative proposals in the European Union, the United States, at both the federal and state level, as well as other jurisdictions that could impose new obligations or limitations in areas affecting our business.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The impact of these laws and regulations may disproportionately affect our business in comparison to our peers in the technology sector that have greater resources. Even though we communicate with lawmakers and regulators in countries and regions in which we conduct business, and despite having a dedicated policy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involved in legal disputes that are expensive and time consuming, and, if resolved adversely, could harm our business, operating results, and financial condition.</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currently involved in, and may in the future be involved in, actual and threatened legal proceedings, claims, investigations and government inquiries arising in the ordinary course of our business, including intellectual property, data privacy, cybersecurity,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 See Note 7, Commitments and Contingencies, to the condensed consolidated financial statements elsewhere in this report for a description of certain litigation matters that we are involved in.</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obligations associated with operating as a public company require significant resources and management attention and have, and will continue to, cause us to incur additional expenses, which will adversely affect our profitability.</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as a public company has and is expected to continue to increase our expenses as a result of the additional accounting, legal and various other additional expenses associated with operating as a public company and complying with public company disclosure obligations. We are required to comply with certain requirements of the Exchange Act, the Sarbanes-Oxley Act, the Dodd-Frank Wall Street Reform and Consumer Protection Act of 2010, the listing requirements of the NYSE and other applicable securities rules and regulations. The Exchange Act requires, among other things, that we file annual, quarterly, and current 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has increased, and will continue to increase, our legal and financial compliance costs, make some activities more difficult, time-consuming or costly and increase demand on our systems and resources. As a public company, we have and will continue to, among other things:</w:t>
      </w:r>
    </w:p>
    <w:p>
      <w:pPr>
        <w:spacing w:after="0" w:line="138" w:lineRule="exact"/>
        <w:rPr>
          <w:sz w:val="20"/>
          <w:szCs w:val="20"/>
          <w:color w:val="auto"/>
        </w:rPr>
      </w:pPr>
    </w:p>
    <w:p>
      <w:pPr>
        <w:ind w:left="660" w:right="7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public reports and other stockholder communications in compliance with our obligations under the federal securities laws;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expand the roles and duties of our Board of Directors and committees of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more comprehensive financial reporting and disclosure compliance functions;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new and enhance existing internal policies, including those relating to disclosure controls and procedures.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changes, and the additional involvement of accountants and legal advisors, will require a significant commitment of additional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ambiguities related to practice, regulatory authorities may initiate legal proceedings against us, and our business may be harmed. Moreover, the cost of our directors’ and officers’ insurance coverage has increased as a public company.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systems of internal controls and disclosure controls could have a material adverse effect on our business, operating results, and financial condition.</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Our independent registered public accounting firm is required to formally attest to the effectiveness of our internal control over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reporting.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expenses and devote substantial management effort toward ensuring compliance with the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the value of our brands and other intangible assets may be diminished, and our business, operating results, and financial condition may be adversely affected.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proprietary information.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Third parties may claim that the Nextdoor platform infringes their intellectual property rights, and such claims may result in legal claims against us and our technology partners and customers. These claims may damage our brand and reputation and create liability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us. We expect the number of such claims to increase as the functionality of our platform overlaps with that of other products and services, and as the volume of issued software patents and patent applications continues to increase.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also face exposure to third-party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subject us to possible litigation or could prevent us from offering products that include open source software or require us to obtain licenses on unfavorable terms.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 or using the open source software, or that we license such modifications or derivative works under the terms of the particular open source license. From time to time, companies that use third-party open source software have also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technology from third parties, and our inability to maintain those licenses could harm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As a result, our business, operating results and financial condition would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Class A common stock has been and may continue to be volatile.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spacing w:after="0" w:line="12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user growth, retention, engagement, revenue, or other operating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between our actual operating results and the expectations of securities analysts, investors, and the financial community;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our competitors or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Class A common stock being sold into the market by us or our existing stockholders, or the anticipation of such sales, or if existing stockholders subject to a lock-up sell shares into the market when applicable “lock-up” periods end;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Class A common stock available for public sale;</w:t>
      </w:r>
    </w:p>
    <w:p>
      <w:pPr>
        <w:spacing w:after="0" w:line="17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estimates by third parties of actual or anticipated changes in the size of our user base or the level of user engagement;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technology companies in our industry, including our partners and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increases on the overall stock market and the market for technology company stocks;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new legislation and pending lawsuits or regulatory actions, including interim or final rulings by judicial or regulatory bodies; and</w:t>
      </w:r>
    </w:p>
    <w:p>
      <w:pPr>
        <w:spacing w:after="0" w:line="17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recessions, rising inflation, changing interest rates, local and national elections, actual or perceived instability in the global banking system, international currency fluctuations, corruption, political instability and acts of war or terrorism, such as the war in Ukraine and in the Middle East.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adversely affect the trading market for our Class A common stock.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stock index providers limit the eligibility of public companies with multiple classes of shares of common stock from inclusion in their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June 30, 2024.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as well as to fund our Share Repurchase Program,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 stock price and trading volume may decline. Similar results may occur if one or more of these analysts stop covering us in the future or fail to publish reports on us regularly.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resales of our Class A common stock may cause the market price of our securities to drop significantly, even if our business is doing well.</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our Class A common stock intend to sell shares, could reduce the market price of our Class A common stock. As of June 30, 2024, we had 187,107,444 shares of our Class A common stock outstanding. We have filed a registration statement related to the offer and sale from time to time by the selling securityholders named in the prospectus that forms a part of the registration statement of up to 206,159,498 shares of our Class A common stock, which registration statement has been declared effective by the SEC. To the extent shares are sold into the market pursuant to a registration statement that has been declared effective by the SEC, under Rule 144 or otherwise, particularly in substantial quantities, the market price of our Class A common stock could decline.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(the “Certificate of Incorporation”) and our Amended and Restated Bylaws (the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spacing w:after="0" w:line="13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classified into three classes of directors with staggered three-year terms;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establish the number of directors and fill any vacancies and newly created directorships;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Certificate of Incorporation and Bylaws;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only our chairperson of the Board of Directors, our chief executive officer, the lead independent director or a majority of our Board of Directors will be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 class common stock structure in which holders of our Class B common stock may have the ability to control the outcome of matters requiring stockholder approval, even if they own significantly less than a majority of the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outstanding shares of our common stock, including the election of directors and other significant corporate transactions, such as a merger or other sale of our company or its assets;</w:t>
      </w:r>
    </w:p>
    <w:p>
      <w:pPr>
        <w:spacing w:after="0" w:line="10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expressly authorized to make, alter, or repeal our Bylaws; and</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exclusive forum provisions for certain claims, which may limit our stockholders’ ability to obtain a favorable judicial forum for disputes with us or our directors, officers, or employees.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stockholders will not be deemed to have waived our compliance with the federal securities laws and the regulations promulgated thereunder.</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March 26, 2021, Khosla Ventures Acquisition Co. II (“KVSB”) consummated its initial public offering of 40,000,000 public shares. On March 30, 2021 in connection with the underwriters’ election to partially exercise their over-allotment option, KVSB sold an additional 1,634,412 public shares to cover over-allotments. The public shares were sold at a price of $10.00 per share, generating</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total gross proceeds of $416.3 million from the initial public offering and partial exercise of the underwriters’ over-allotment option. The securities sold in the offering were registered under the Securities Act on a registration statement on Form S-1 (No. 333-253098). The registration statement became effective on March 23, 2021.</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Simultaneously with the consummation of the initial public offering, KVSB consummated a private placement of 1,100,000 private placement shares, at a price of $10.00 per share, to Khosla Ventures SPAC Sponsor II LLC (the “Sponsor”), generating gross proceeds to KVSB of $11.0 million. In connection with the underwriters’ partial exercise of their over-allotment option that closed on March 30, 2021, KVSB also consummated the sale of an additional 32,688 private placement shares to the Sponsor, generating gross proceeds of $0.3 million. Such securities were issued pursuant to the exemption from registration contained in Section 4(a)(2) of the Securities Act.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KVSB incurred $23.6 million in offering costs for its initial public offering including $14.6 million of deferred underwriting fees, $8.3 million of underwriting discounts and commissions, and $0.7 million of other costs. Following the initial public offering, the partial exercise of the over-allotment option, and the sale of the private placement shares, a total of $416.3 million was deposited into the trust account for the purpose of effecting an initial business combination. As of November 5, 2021, the record date of the Business Combination, there was $416.4 million held in the trust account. After deducting payments to existing KVSB shareholders of $12.2 million in connection with their exercise of redemption rights, the payment of the $14.6 million of deferred underwriting fees, and $28.9 million of expenses in connection with the Business Combination paid from the trust account, the remainder of the trust account is now held on our balance sheet to fund our operations and continued growth.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for the three months ended June 30,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80" w:type="dxa"/>
            <w:vAlign w:val="bottom"/>
          </w:tcPr>
          <w:p>
            <w:pPr>
              <w:spacing w:after="0"/>
              <w:rPr>
                <w:sz w:val="17"/>
                <w:szCs w:val="17"/>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 Value of</w:t>
            </w: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2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Purchased as Part of the</w:t>
            </w:r>
          </w:p>
        </w:tc>
        <w:tc>
          <w:tcPr>
            <w:tcW w:w="80" w:type="dxa"/>
            <w:vAlign w:val="bottom"/>
          </w:tcPr>
          <w:p>
            <w:pPr>
              <w:spacing w:after="0"/>
              <w:rPr>
                <w:sz w:val="16"/>
                <w:szCs w:val="16"/>
                <w:color w:val="auto"/>
              </w:rPr>
            </w:pPr>
          </w:p>
        </w:tc>
        <w:tc>
          <w:tcPr>
            <w:tcW w:w="232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 the Pans or</w:t>
            </w:r>
          </w:p>
        </w:tc>
        <w:tc>
          <w:tcPr>
            <w:tcW w:w="0" w:type="dxa"/>
            <w:vAlign w:val="bottom"/>
          </w:tcPr>
          <w:p>
            <w:pPr>
              <w:spacing w:after="0"/>
              <w:rPr>
                <w:sz w:val="1"/>
                <w:szCs w:val="1"/>
                <w:color w:val="auto"/>
              </w:rPr>
            </w:pPr>
          </w:p>
        </w:tc>
      </w:tr>
      <w:tr>
        <w:trPr>
          <w:trHeight w:val="175"/>
        </w:trPr>
        <w:tc>
          <w:tcPr>
            <w:tcW w:w="21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30"/>
        </w:trPr>
        <w:tc>
          <w:tcPr>
            <w:tcW w:w="2160" w:type="dxa"/>
            <w:vAlign w:val="bottom"/>
            <w:gridSpan w:val="2"/>
            <w:vMerge w:val="continue"/>
          </w:tcPr>
          <w:p>
            <w:pPr>
              <w:spacing w:after="0"/>
              <w:rPr>
                <w:sz w:val="19"/>
                <w:szCs w:val="19"/>
                <w:color w:val="auto"/>
              </w:rPr>
            </w:pPr>
          </w:p>
        </w:tc>
        <w:tc>
          <w:tcPr>
            <w:tcW w:w="2160" w:type="dxa"/>
            <w:vAlign w:val="bottom"/>
          </w:tcPr>
          <w:p>
            <w:pPr>
              <w:jc w:val="right"/>
              <w:ind w:right="49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Purchased </w:t>
            </w:r>
            <w:r>
              <w:rPr>
                <w:rFonts w:ascii="Times New Roman" w:cs="Times New Roman" w:eastAsia="Times New Roman" w:hAnsi="Times New Roman"/>
                <w:sz w:val="23"/>
                <w:szCs w:val="23"/>
                <w:b w:val="1"/>
                <w:bCs w:val="1"/>
                <w:color w:val="auto"/>
                <w:vertAlign w:val="superscript"/>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center"/>
              <w:ind w:right="240"/>
              <w:spacing w:after="0" w:line="230" w:lineRule="exact"/>
              <w:rPr>
                <w:sz w:val="20"/>
                <w:szCs w:val="20"/>
                <w:color w:val="auto"/>
              </w:rPr>
            </w:pPr>
            <w:r>
              <w:rPr>
                <w:rFonts w:ascii="Times New Roman" w:cs="Times New Roman" w:eastAsia="Times New Roman" w:hAnsi="Times New Roman"/>
                <w:sz w:val="18"/>
                <w:szCs w:val="18"/>
                <w:b w:val="1"/>
                <w:bCs w:val="1"/>
                <w:color w:val="auto"/>
                <w:w w:val="91"/>
              </w:rPr>
              <w:t xml:space="preserve">Share </w:t>
            </w:r>
            <w:r>
              <w:rPr>
                <w:rFonts w:ascii="Times New Roman" w:cs="Times New Roman" w:eastAsia="Times New Roman" w:hAnsi="Times New Roman"/>
                <w:sz w:val="23"/>
                <w:szCs w:val="23"/>
                <w:b w:val="1"/>
                <w:bCs w:val="1"/>
                <w:color w:val="auto"/>
                <w:w w:val="91"/>
                <w:vertAlign w:val="superscript"/>
              </w:rPr>
              <w:t>(2)</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178"/>
        </w:trPr>
        <w:tc>
          <w:tcPr>
            <w:tcW w:w="208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April 1, 2024 to April 30,</w:t>
            </w:r>
          </w:p>
        </w:tc>
        <w:tc>
          <w:tcPr>
            <w:tcW w:w="8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3,068,712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3,068,712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156,637</w:t>
            </w:r>
          </w:p>
        </w:tc>
        <w:tc>
          <w:tcPr>
            <w:tcW w:w="0" w:type="dxa"/>
            <w:vAlign w:val="bottom"/>
          </w:tcPr>
          <w:p>
            <w:pPr>
              <w:spacing w:after="0"/>
              <w:rPr>
                <w:sz w:val="1"/>
                <w:szCs w:val="1"/>
                <w:color w:val="auto"/>
              </w:rPr>
            </w:pPr>
          </w:p>
        </w:tc>
      </w:tr>
      <w:tr>
        <w:trPr>
          <w:trHeight w:val="184"/>
        </w:trPr>
        <w:tc>
          <w:tcPr>
            <w:tcW w:w="21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May 1, 2024 to May 31,</w:t>
            </w: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5,593,130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5,593,130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143,090</w:t>
            </w:r>
          </w:p>
        </w:tc>
        <w:tc>
          <w:tcPr>
            <w:tcW w:w="0" w:type="dxa"/>
            <w:vAlign w:val="bottom"/>
          </w:tcPr>
          <w:p>
            <w:pPr>
              <w:spacing w:after="0"/>
              <w:rPr>
                <w:sz w:val="1"/>
                <w:szCs w:val="1"/>
                <w:color w:val="auto"/>
              </w:rPr>
            </w:pPr>
          </w:p>
        </w:tc>
      </w:tr>
      <w:tr>
        <w:trPr>
          <w:trHeight w:val="184"/>
        </w:trPr>
        <w:tc>
          <w:tcPr>
            <w:tcW w:w="21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June 1, 2024 to June 30,</w:t>
            </w:r>
          </w:p>
        </w:tc>
        <w:tc>
          <w:tcPr>
            <w:tcW w:w="2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9,407,330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20"/>
                <w:szCs w:val="20"/>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9,407,330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119,283</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18,069,172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18,069,172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8"/>
        <w:spacing w:after="0" w:line="251" w:lineRule="auto"/>
        <w:tabs>
          <w:tab w:leader="none" w:pos="182"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May 31, 2022, our Board of Directors authorized and approved the Share Repurchase Program to repurchase up to $100.0 million in aggregate of our Class A common stock, with the authorization to expire on June 30, 2024. On February 21, 2024, our Board of Directors authorized and approved an increase of $150.0 million to the Share Repurchase Program and extended the expiration date to March 31, 2026.</w:t>
      </w:r>
    </w:p>
    <w:p>
      <w:pPr>
        <w:spacing w:after="0" w:line="117"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price paid per share includes costs associated with the repurchases.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officers (as defined in Rule 16a-1(f) under the Exchange Act) (“Section 16 officers”) are only permitted to trade in our securities pursuant to a prearranged trading plan intended to satisfy the affirmative defense of Rule 10b5-1(c) under the Exchange Act (a “Rule 10b5-1 Plan”). During the six months ended June 30, 2024, two of our Section 16 officers adopted Rule 10b5-1 Plans. All such Rule 10b5-1 Plans were entered into during an open trading window in accordance with our Insider Trading Policy.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8, 2024, John Orta, our former Head of Legal &amp; Corporate Development and Secretary, terminated a Rule 10b5-1 Plan which was originally adopted on March 2, 2023.</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7, 2024, Matt Anderson, our Chief Financial Officer and Treasurer, entered into a Rule 10b5-1 Plan (the “Anderson March 2024 Plan”) providing for the potential sale of up to 442,311 shares of Class A common stock owned by Mr. Anderson, including upon the vesting and settlement of RSUs for shares of Class A common stock and the exercise of vested stock options for shares of Class A common stock, so long as the market price of the Class A common stock satisfies certain threshold prices specified in the Anderson March 2024 Plan, between an estimated start date of June 6, 2024 and May 30, 2025, or earlier, upon the completion of all transactions subject to the trading arrangements specified in the Anderson March 2024 Plan or the occurrence of certain events set forth therein. The Anderson March 2024 Plan provides for the sale of shares of Class A common stock to be received upon the future vesting and settlement of certain outstanding RSUs, net of any shares withheld by us to satisfy applicable tax obligations. The number of shares to be withheld, and therefore the exact number of shares to be sold pursuant to the Anderson March 2024 Plan, can only be determined upon the occurrence of the future vesting events. For purposes of this disclosure, we have included the maximum aggregate number of shares to be sold without subtracting any shares to be withheld upon future vesting events.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4, 2024, Mr. Anderson terminated the Anderson March 2024 Plan and subsequently entered into another Rule 10b5-1 Plan (the “Anderson June 2024 Plan”) providing for the potential sale of up to 343,864 shares of Class A common stock owned by Mr. Anderson, including upon the vesting and settlement of RSUs for shares of Class A common stock and the exercise of vested stock options for shares of Class A common stock, so long as the market price of the Class A common stock satisfies certain threshold prices specified in the Anderson June 2024 Plan, between an estimated start date of September 6, 2024 and May 30, 2025, or earlier, upon the completion of all transactions subject to the trading arrangements specified in the Anderson June 2024 Plan or the occurrence of certain events set forth therein. The Anderson June 2024 Plan provides for the sale of shares of Class A common stock to be received upon the future vesting and settlement of certain outstanding RSUs, net of any shares withheld by us to satisfy applicable tax obligations. The number of shares to be withheld, and therefore the exact number of shares to be sold pursuant to the Anderson June 2024 Plan, can only be determined upon the occurrence of the future vesting events. For purposes of this disclosure, we have included the maximum aggregate number of shares to be sold without subtracting any shares to be withheld upon future vesting events.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31, 2024, Sophia Schwartz, our General Counsel and Secretary, terminated a Rule 10b5-1 Plan which was originally adopted on March 7, 2024, prior to Ms. Schwartz’ appointment as our General Counsel and Secretary.</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6, 2024, Ms. Schwartz entered into a Rule 10b5-1 Plan (the “Schwartz Plan”) providing for the potential sale of up to 337,061 shares of Class A common stock owned by Ms. Schwartz, including upon the vesting and settlement of RSUs for shares of Class A common stock, so long as the market price of the Class A common stock satisfies certain threshold prices specified in the Schwartz Plan, between an estimated start date of September 5, 2024 and December 31, 2024, or earlier, upon the completion of all transactions subject to the trading arrangements specified in the Schwartz Plan or the occurrence of certain events set forth therein. The Schwartz Plan provides for the sale of shares of Class A common stock to be received upon the future vesting and settlement of certain outstanding RSUs, net of any shares withheld by us to satisfy applicable tax obligations. The number of shares to be withheld, and therefore the exact number of shares to be sold pursuant to the Schwartz Plan, can only be determined upon the occurrence of the future vesting events. For purposes of this disclosure, we have included the maximum aggregate number of shares to be sold without subtracting any shares to be withheld upon future vesting events.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no other Section 16 officers and directors adopted or terminated a Rule 10b5-1 Plan.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780" w:type="dxa"/>
            <w:vAlign w:val="bottom"/>
            <w:gridSpan w:val="1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780" w:type="dxa"/>
            <w:vAlign w:val="bottom"/>
            <w:gridSpan w:val="13"/>
            <w:vMerge w:val="continue"/>
          </w:tcPr>
          <w:p>
            <w:pPr>
              <w:spacing w:after="0"/>
              <w:rPr>
                <w:sz w:val="16"/>
                <w:szCs w:val="16"/>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7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00" w:type="dxa"/>
            <w:vAlign w:val="bottom"/>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16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60" w:type="dxa"/>
            <w:vAlign w:val="bottom"/>
            <w:tcBorders>
              <w:top w:val="single" w:sz="8" w:color="auto"/>
            </w:tcBorders>
            <w:gridSpan w:val="13"/>
          </w:tcPr>
          <w:p>
            <w:pPr>
              <w:spacing w:after="0" w:line="18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Amended and Restated Certificate of Incorporation,</w:t>
              </w:r>
            </w:hyperlink>
          </w:p>
        </w:tc>
        <w:tc>
          <w:tcPr>
            <w:tcW w:w="10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right"/>
              <w:ind w:right="382"/>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59"/>
              <w:spacing w:after="0" w:line="189" w:lineRule="exact"/>
              <w:rPr>
                <w:sz w:val="20"/>
                <w:szCs w:val="20"/>
                <w:color w:val="auto"/>
              </w:rPr>
            </w:pPr>
            <w:r>
              <w:rPr>
                <w:rFonts w:ascii="Times New Roman" w:cs="Times New Roman" w:eastAsia="Times New Roman" w:hAnsi="Times New Roman"/>
                <w:sz w:val="18"/>
                <w:szCs w:val="18"/>
                <w:color w:val="auto"/>
              </w:rPr>
              <w:t>6/21/2024</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filed June 18, 2024</w:t>
              </w:r>
            </w:hyperlink>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Separation Agreement, dated May 8, 2024, by and</w:t>
            </w:r>
          </w:p>
        </w:tc>
        <w:tc>
          <w:tcPr>
            <w:tcW w:w="520" w:type="dxa"/>
            <w:vAlign w:val="bottom"/>
            <w:gridSpan w:val="9"/>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between Nextdoor Holdings, Inc. and Heidi Andersen</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Separation Agreement, dated May 8, 2024, by and</w:t>
            </w:r>
          </w:p>
        </w:tc>
        <w:tc>
          <w:tcPr>
            <w:tcW w:w="280" w:type="dxa"/>
            <w:vAlign w:val="bottom"/>
            <w:gridSpan w:val="6"/>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between Nextdoor Holdings, Inc. and John Orta</w:t>
            </w:r>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Rule 13a-14(a) and 15d-14(a) under the Exchange Act,</w:t>
            </w:r>
          </w:p>
        </w:tc>
        <w:tc>
          <w:tcPr>
            <w:tcW w:w="16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as adopted pursuant to Section 302 of the Sarbanes-</w:t>
            </w:r>
          </w:p>
        </w:tc>
        <w:tc>
          <w:tcPr>
            <w:tcW w:w="18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360" w:type="dxa"/>
            <w:vAlign w:val="bottom"/>
            <w:tcBorders>
              <w:top w:val="single" w:sz="8" w:color="0000FF"/>
            </w:tcBorders>
            <w:gridSpan w:val="5"/>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8"/>
              </w:rPr>
              <w:t>Rule 13a-14(a) and 15d-14(a) under the Exchange Act,</w:t>
            </w: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as adopted pursuant to Section 302 of the Sarbanes-</w:t>
            </w:r>
          </w:p>
        </w:tc>
        <w:tc>
          <w:tcPr>
            <w:tcW w:w="18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3"/>
                <w:szCs w:val="23"/>
                <w:color w:val="auto"/>
                <w:vertAlign w:val="superscript"/>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360" w:type="dxa"/>
            <w:vAlign w:val="bottom"/>
            <w:tcBorders>
              <w:top w:val="single" w:sz="8" w:color="0000FF"/>
            </w:tcBorders>
            <w:gridSpan w:val="5"/>
          </w:tcPr>
          <w:p>
            <w:pPr>
              <w:spacing w:after="0"/>
              <w:rPr>
                <w:sz w:val="13"/>
                <w:szCs w:val="13"/>
                <w:color w:val="auto"/>
              </w:rPr>
            </w:pPr>
          </w:p>
        </w:tc>
        <w:tc>
          <w:tcPr>
            <w:tcW w:w="220" w:type="dxa"/>
            <w:vAlign w:val="bottom"/>
            <w:gridSpan w:val="4"/>
          </w:tcPr>
          <w:p>
            <w:pPr>
              <w:spacing w:after="0"/>
              <w:rPr>
                <w:sz w:val="13"/>
                <w:szCs w:val="13"/>
                <w:color w:val="auto"/>
              </w:rPr>
            </w:pPr>
          </w:p>
        </w:tc>
        <w:tc>
          <w:tcPr>
            <w:tcW w:w="20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18 U.S.C. Section 1350 as adopted pursuant to Section</w:t>
            </w:r>
          </w:p>
        </w:tc>
        <w:tc>
          <w:tcPr>
            <w:tcW w:w="16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3"/>
                <w:szCs w:val="23"/>
                <w:color w:val="auto"/>
                <w:vertAlign w:val="superscript"/>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100" w:type="dxa"/>
            <w:vAlign w:val="bottom"/>
            <w:tcBorders>
              <w:top w:val="single" w:sz="8" w:color="0000FF"/>
            </w:tcBorders>
            <w:gridSpan w:val="7"/>
          </w:tcPr>
          <w:p>
            <w:pPr>
              <w:spacing w:after="0"/>
              <w:rPr>
                <w:sz w:val="14"/>
                <w:szCs w:val="14"/>
                <w:color w:val="auto"/>
              </w:rPr>
            </w:pPr>
          </w:p>
        </w:tc>
        <w:tc>
          <w:tcPr>
            <w:tcW w:w="20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18 U.S.C. Section 1350 as adopted pursuant to Section</w:t>
            </w:r>
          </w:p>
        </w:tc>
        <w:tc>
          <w:tcPr>
            <w:tcW w:w="220" w:type="dxa"/>
            <w:vAlign w:val="bottom"/>
            <w:gridSpan w:val="5"/>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1120" w:type="dxa"/>
            <w:vAlign w:val="bottom"/>
            <w:tcBorders>
              <w:top w:val="single" w:sz="8" w:color="0000FF"/>
            </w:tcBorders>
            <w:gridSpan w:val="8"/>
          </w:tcPr>
          <w:p>
            <w:pPr>
              <w:spacing w:after="0"/>
              <w:rPr>
                <w:sz w:val="14"/>
                <w:szCs w:val="14"/>
                <w:color w:val="auto"/>
              </w:rPr>
            </w:pPr>
          </w:p>
        </w:tc>
        <w:tc>
          <w:tcPr>
            <w:tcW w:w="20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1"/>
                <w:szCs w:val="21"/>
                <w:color w:val="auto"/>
              </w:rPr>
            </w:pPr>
          </w:p>
        </w:tc>
        <w:tc>
          <w:tcPr>
            <w:tcW w:w="4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4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2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5"/>
                <w:szCs w:val="15"/>
                <w:color w:val="auto"/>
              </w:rPr>
            </w:pPr>
          </w:p>
        </w:tc>
        <w:tc>
          <w:tcPr>
            <w:tcW w:w="4160" w:type="dxa"/>
            <w:vAlign w:val="bottom"/>
            <w:gridSpan w:val="14"/>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6"/>
                <w:szCs w:val="16"/>
                <w:color w:val="auto"/>
              </w:rPr>
            </w:pPr>
          </w:p>
        </w:tc>
        <w:tc>
          <w:tcPr>
            <w:tcW w:w="416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6"/>
                <w:szCs w:val="16"/>
                <w:color w:val="auto"/>
              </w:rPr>
            </w:pPr>
          </w:p>
        </w:tc>
        <w:tc>
          <w:tcPr>
            <w:tcW w:w="416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6"/>
                <w:szCs w:val="16"/>
                <w:color w:val="auto"/>
              </w:rPr>
            </w:pPr>
          </w:p>
        </w:tc>
        <w:tc>
          <w:tcPr>
            <w:tcW w:w="416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6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Date File (formatted in iXBRL</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right="6120" w:firstLine="8"/>
        <w:spacing w:after="0" w:line="259" w:lineRule="auto"/>
        <w:tabs>
          <w:tab w:leader="none" w:pos="261"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 contract or arrangement. * Filed herewith.</w:t>
      </w:r>
    </w:p>
    <w:p>
      <w:pPr>
        <w:ind w:left="340" w:hanging="324"/>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4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256" w:lineRule="exact"/>
        <w:rPr>
          <w:sz w:val="20"/>
          <w:szCs w:val="20"/>
          <w:color w:val="auto"/>
        </w:rPr>
      </w:pPr>
    </w:p>
    <w:tbl>
      <w:tblPr>
        <w:tblLayout w:type="fixed"/>
        <w:tblInd w:w="60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Nirav Tolia</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Nirav Tolia</w:t>
            </w:r>
          </w:p>
        </w:tc>
        <w:tc>
          <w:tcPr>
            <w:tcW w:w="0" w:type="dxa"/>
            <w:vAlign w:val="bottom"/>
          </w:tcPr>
          <w:p>
            <w:pPr>
              <w:spacing w:after="0"/>
              <w:rPr>
                <w:sz w:val="1"/>
                <w:szCs w:val="1"/>
                <w:color w:val="auto"/>
              </w:rPr>
            </w:pPr>
          </w:p>
        </w:tc>
      </w:tr>
      <w:tr>
        <w:trPr>
          <w:trHeight w:val="180"/>
        </w:trPr>
        <w:tc>
          <w:tcPr>
            <w:tcW w:w="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President</w:t>
            </w:r>
          </w:p>
        </w:tc>
        <w:tc>
          <w:tcPr>
            <w:tcW w:w="0" w:type="dxa"/>
            <w:vAlign w:val="bottom"/>
          </w:tcPr>
          <w:p>
            <w:pPr>
              <w:spacing w:after="0"/>
              <w:rPr>
                <w:sz w:val="1"/>
                <w:szCs w:val="1"/>
                <w:color w:val="auto"/>
              </w:rPr>
            </w:pPr>
          </w:p>
        </w:tc>
      </w:tr>
      <w:tr>
        <w:trPr>
          <w:trHeight w:val="236"/>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 Anderson</w:t>
            </w:r>
          </w:p>
        </w:tc>
        <w:tc>
          <w:tcPr>
            <w:tcW w:w="0" w:type="dxa"/>
            <w:vAlign w:val="bottom"/>
          </w:tcPr>
          <w:p>
            <w:pPr>
              <w:spacing w:after="0"/>
              <w:rPr>
                <w:sz w:val="1"/>
                <w:szCs w:val="1"/>
                <w:color w:val="auto"/>
              </w:rPr>
            </w:pPr>
          </w:p>
        </w:tc>
      </w:tr>
      <w:tr>
        <w:trPr>
          <w:trHeight w:val="27"/>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40" w:type="dxa"/>
            <w:vAlign w:val="bottom"/>
            <w:vMerge w:val="continue"/>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 Anderson</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0" w:type="dxa"/>
            <w:vAlign w:val="bottom"/>
          </w:tcPr>
          <w:p>
            <w:pPr>
              <w:spacing w:after="0"/>
              <w:rPr>
                <w:sz w:val="1"/>
                <w:szCs w:val="1"/>
                <w:color w:val="auto"/>
              </w:rPr>
            </w:pPr>
          </w:p>
        </w:tc>
      </w:tr>
      <w:tr>
        <w:trPr>
          <w:trHeight w:val="236"/>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21" w:right="33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1143635</wp:posOffset>
            </wp:positionV>
            <wp:extent cx="2108835" cy="3771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210883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May 8, 2024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Heidi Andersen</w:t>
      </w:r>
    </w:p>
    <w:p>
      <w:pPr>
        <w:spacing w:after="0" w:line="200" w:lineRule="exact"/>
        <w:rPr>
          <w:sz w:val="20"/>
          <w:szCs w:val="20"/>
          <w:color w:val="auto"/>
        </w:rPr>
      </w:pPr>
    </w:p>
    <w:p>
      <w:pPr>
        <w:spacing w:after="0" w:line="29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u w:val="single" w:color="auto"/>
          <w:color w:val="auto"/>
        </w:rPr>
        <w:t>Terms of Separation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Heidi:</w:t>
      </w:r>
    </w:p>
    <w:p>
      <w:pPr>
        <w:spacing w:after="0" w:line="200" w:lineRule="exact"/>
        <w:rPr>
          <w:sz w:val="20"/>
          <w:szCs w:val="20"/>
          <w:color w:val="auto"/>
        </w:rPr>
      </w:pPr>
    </w:p>
    <w:p>
      <w:pPr>
        <w:jc w:val="both"/>
        <w:ind w:hanging="1"/>
        <w:spacing w:after="0" w:line="250" w:lineRule="auto"/>
        <w:rPr>
          <w:sz w:val="20"/>
          <w:szCs w:val="20"/>
          <w:color w:val="auto"/>
        </w:rPr>
      </w:pPr>
      <w:r>
        <w:rPr>
          <w:rFonts w:ascii="Times New Roman" w:cs="Times New Roman" w:eastAsia="Times New Roman" w:hAnsi="Times New Roman"/>
          <w:sz w:val="22"/>
          <w:szCs w:val="22"/>
          <w:color w:val="auto"/>
        </w:rPr>
        <w:t>This letter confirms the agreement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between you and Nextdoor, Inc. (together with its parent,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concerning the terms of your separation and offers you the separation compensation we discussed in exchange for a general release of claims and covenant not to sue. If you wish to enter into this Agreement, please sign below no later than the expiration of the Consideration Period (as defined below).</w:t>
      </w:r>
    </w:p>
    <w:p>
      <w:pPr>
        <w:spacing w:after="0" w:line="167" w:lineRule="exact"/>
        <w:rPr>
          <w:sz w:val="20"/>
          <w:szCs w:val="20"/>
          <w:color w:val="auto"/>
        </w:rPr>
      </w:pPr>
    </w:p>
    <w:p>
      <w:pPr>
        <w:jc w:val="both"/>
        <w:ind w:firstLine="6"/>
        <w:spacing w:after="0" w:line="243" w:lineRule="auto"/>
        <w:tabs>
          <w:tab w:leader="none" w:pos="646" w:val="left"/>
        </w:tabs>
        <w:numPr>
          <w:ilvl w:val="0"/>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As a result of a reduction in force, May 8, 2024 is your last day of employment with the Company (the “</w:t>
      </w:r>
      <w:r>
        <w:rPr>
          <w:rFonts w:ascii="Times New Roman" w:cs="Times New Roman" w:eastAsia="Times New Roman" w:hAnsi="Times New Roman"/>
          <w:sz w:val="22"/>
          <w:szCs w:val="22"/>
          <w:b w:val="1"/>
          <w:bCs w:val="1"/>
          <w:i w:val="1"/>
          <w:iCs w:val="1"/>
          <w:color w:val="auto"/>
        </w:rPr>
        <w:t>Separation Date</w:t>
      </w:r>
      <w:r>
        <w:rPr>
          <w:rFonts w:ascii="Times New Roman" w:cs="Times New Roman" w:eastAsia="Times New Roman" w:hAnsi="Times New Roman"/>
          <w:sz w:val="22"/>
          <w:szCs w:val="22"/>
          <w:color w:val="auto"/>
        </w:rPr>
        <w:t>”). Your termination qualifies as a Qualifying Termination pursuant to the Change in Control and Severance Agreement between you and the Company dated August 28, 2021 (the “</w:t>
      </w:r>
      <w:r>
        <w:rPr>
          <w:rFonts w:ascii="Times New Roman" w:cs="Times New Roman" w:eastAsia="Times New Roman" w:hAnsi="Times New Roman"/>
          <w:sz w:val="22"/>
          <w:szCs w:val="22"/>
          <w:b w:val="1"/>
          <w:bCs w:val="1"/>
          <w:i w:val="1"/>
          <w:iCs w:val="1"/>
          <w:color w:val="auto"/>
        </w:rPr>
        <w:t>CIC Severance Agreement</w:t>
      </w:r>
      <w:r>
        <w:rPr>
          <w:rFonts w:ascii="Times New Roman" w:cs="Times New Roman" w:eastAsia="Times New Roman" w:hAnsi="Times New Roman"/>
          <w:sz w:val="22"/>
          <w:szCs w:val="22"/>
          <w:color w:val="auto"/>
        </w:rPr>
        <w:t>”). You must resign from your position as Head of Revenue at the Company and any other positions you have as an officer or director of the Company or any of its parents and/or subsidiaries, effective on the Separation Date.</w:t>
      </w:r>
    </w:p>
    <w:p>
      <w:pPr>
        <w:spacing w:after="0" w:line="177" w:lineRule="exact"/>
        <w:rPr>
          <w:rFonts w:ascii="Times New Roman" w:cs="Times New Roman" w:eastAsia="Times New Roman" w:hAnsi="Times New Roman"/>
          <w:sz w:val="22"/>
          <w:szCs w:val="22"/>
          <w:color w:val="010000"/>
        </w:rPr>
      </w:pPr>
    </w:p>
    <w:p>
      <w:pPr>
        <w:jc w:val="both"/>
        <w:ind w:firstLine="6"/>
        <w:spacing w:after="0" w:line="243" w:lineRule="auto"/>
        <w:tabs>
          <w:tab w:leader="none" w:pos="646" w:val="left"/>
        </w:tabs>
        <w:numPr>
          <w:ilvl w:val="0"/>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Acknowledgment of Payment of Wages</w:t>
      </w:r>
      <w:r>
        <w:rPr>
          <w:rFonts w:ascii="Times New Roman" w:cs="Times New Roman" w:eastAsia="Times New Roman" w:hAnsi="Times New Roman"/>
          <w:sz w:val="22"/>
          <w:szCs w:val="22"/>
          <w:color w:val="auto"/>
        </w:rPr>
        <w:t>: By your signature below, you acknowledge that on May 8, 2024 we provided you one or more final paychecks for all wages, salary, commissions, bonuses, reimbursable expenses previously submitted by you, and any similar payments due you from the Company as of the Separation Date. By signing below, you acknowledge that the Company does not owe you any other amounts. Please promptly submit for reimbursement all final outstanding expenses, if any.</w:t>
      </w:r>
    </w:p>
    <w:p>
      <w:pPr>
        <w:spacing w:after="0" w:line="177" w:lineRule="exact"/>
        <w:rPr>
          <w:rFonts w:ascii="Times New Roman" w:cs="Times New Roman" w:eastAsia="Times New Roman" w:hAnsi="Times New Roman"/>
          <w:sz w:val="22"/>
          <w:szCs w:val="22"/>
          <w:color w:val="010000"/>
        </w:rPr>
      </w:pPr>
    </w:p>
    <w:p>
      <w:pPr>
        <w:jc w:val="both"/>
        <w:ind w:firstLine="6"/>
        <w:spacing w:after="0" w:line="250" w:lineRule="auto"/>
        <w:tabs>
          <w:tab w:leader="none" w:pos="646" w:val="left"/>
        </w:tabs>
        <w:numPr>
          <w:ilvl w:val="0"/>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Separation Compensation</w:t>
      </w:r>
      <w:r>
        <w:rPr>
          <w:rFonts w:ascii="Times New Roman" w:cs="Times New Roman" w:eastAsia="Times New Roman" w:hAnsi="Times New Roman"/>
          <w:sz w:val="22"/>
          <w:szCs w:val="22"/>
          <w:color w:val="auto"/>
        </w:rPr>
        <w:t>: In exchange for your agreement to the general release and waiver of claims and covenant not to sue set forth below and your other promises herein, and consistent with the terms set forth in the CIC Severance Agreement, the Company agrees to provide you with the following:</w:t>
      </w:r>
    </w:p>
    <w:p>
      <w:pPr>
        <w:spacing w:after="0" w:line="168" w:lineRule="exact"/>
        <w:rPr>
          <w:sz w:val="20"/>
          <w:szCs w:val="20"/>
          <w:color w:val="auto"/>
        </w:rPr>
      </w:pPr>
    </w:p>
    <w:p>
      <w:pPr>
        <w:jc w:val="both"/>
        <w:ind w:firstLine="6"/>
        <w:spacing w:after="0" w:line="250" w:lineRule="auto"/>
        <w:tabs>
          <w:tab w:leader="none" w:pos="64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The Company agrees to pay you, within the deadlines set forth in the CIC Severance Agreement and following the Effective Date (as defined below) of this Agreement, a lump sumpayment in the gross amount of $262,500 less applicable state and federal payroll deductions, which equals six (6) months of your base salary.</w:t>
      </w:r>
    </w:p>
    <w:p>
      <w:pPr>
        <w:sectPr>
          <w:pgSz w:w="11900" w:h="16838" w:orient="portrait"/>
          <w:cols w:equalWidth="0" w:num="1">
            <w:col w:w="11240"/>
          </w:cols>
          <w:pgMar w:left="320" w:top="1440" w:right="339" w:bottom="1440" w:gutter="0" w:footer="0" w:header="0"/>
        </w:sectPr>
      </w:pPr>
    </w:p>
    <w:bookmarkStart w:id="71" w:name="page72"/>
    <w:bookmarkEnd w:id="71"/>
    <w:p>
      <w:pPr>
        <w:ind w:right="10140" w:firstLine="6"/>
        <w:spacing w:after="0" w:line="295" w:lineRule="auto"/>
        <w:tabs>
          <w:tab w:leader="none" w:pos="264"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Andersen 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
        <w:spacing w:after="0" w:line="241" w:lineRule="auto"/>
        <w:tabs>
          <w:tab w:leader="none" w:pos="64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Upon your timely election to continue your existing health benefits under COBRA, and consistent with the terms of COBRA and the Company’s health insurance plan, the Company will pay 100% of the insurance premiums to continue your existing health benefits from the Separation Date through November 30, 2024 (the “</w:t>
      </w:r>
      <w:r>
        <w:rPr>
          <w:rFonts w:ascii="Times New Roman" w:cs="Times New Roman" w:eastAsia="Times New Roman" w:hAnsi="Times New Roman"/>
          <w:sz w:val="22"/>
          <w:szCs w:val="22"/>
          <w:b w:val="1"/>
          <w:bCs w:val="1"/>
          <w:i w:val="1"/>
          <w:iCs w:val="1"/>
          <w:color w:val="auto"/>
        </w:rPr>
        <w:t>COBRA Subsidy</w:t>
      </w:r>
      <w:r>
        <w:rPr>
          <w:rFonts w:ascii="Times New Roman" w:cs="Times New Roman" w:eastAsia="Times New Roman" w:hAnsi="Times New Roman"/>
          <w:sz w:val="22"/>
          <w:szCs w:val="22"/>
          <w:color w:val="auto"/>
        </w:rPr>
        <w:t>”), so long as you remain eligible for such continuation coverage. You will receive additional information in the coming weeks regarding the COBRA Subsidy. You must immediately notify the Company when you become eligible for health insurance coverage under any other health plan or program.</w:t>
      </w:r>
    </w:p>
    <w:p>
      <w:pPr>
        <w:spacing w:after="0" w:line="177" w:lineRule="exact"/>
        <w:rPr>
          <w:sz w:val="20"/>
          <w:szCs w:val="20"/>
          <w:color w:val="auto"/>
        </w:rPr>
      </w:pPr>
    </w:p>
    <w:p>
      <w:pPr>
        <w:jc w:val="both"/>
        <w:ind w:hanging="1"/>
        <w:spacing w:after="0" w:line="244" w:lineRule="auto"/>
        <w:rPr>
          <w:sz w:val="20"/>
          <w:szCs w:val="20"/>
          <w:color w:val="auto"/>
        </w:rPr>
      </w:pPr>
      <w:r>
        <w:rPr>
          <w:rFonts w:ascii="Times New Roman" w:cs="Times New Roman" w:eastAsia="Times New Roman" w:hAnsi="Times New Roman"/>
          <w:sz w:val="22"/>
          <w:szCs w:val="22"/>
          <w:color w:val="auto"/>
        </w:rPr>
        <w:t>By signing below, you acknowledge that you are receiving the separation compensation outlined in this paragraph in consideration for waiving your rights to claims referred to in this Agreement, that the separation compensation fully satisfies and exceeds any severance pay or benefit to which you might be entitled to, and that you would not otherwise be entitled to the separation compensation.</w:t>
      </w:r>
    </w:p>
    <w:p>
      <w:pPr>
        <w:spacing w:after="0" w:line="186" w:lineRule="exact"/>
        <w:rPr>
          <w:sz w:val="20"/>
          <w:szCs w:val="20"/>
          <w:color w:val="auto"/>
        </w:rPr>
      </w:pPr>
    </w:p>
    <w:p>
      <w:pPr>
        <w:jc w:val="both"/>
        <w:ind w:firstLine="6"/>
        <w:spacing w:after="0" w:line="241" w:lineRule="auto"/>
        <w:tabs>
          <w:tab w:leader="none" w:pos="646"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Return of Company Property</w:t>
      </w:r>
      <w:r>
        <w:rPr>
          <w:rFonts w:ascii="Times New Roman" w:cs="Times New Roman" w:eastAsia="Times New Roman" w:hAnsi="Times New Roman"/>
          <w:sz w:val="22"/>
          <w:szCs w:val="22"/>
          <w:color w:val="auto"/>
        </w:rPr>
        <w:t xml:space="preserve">: Following the Separation Date, and regardless of whether you sign the Agreement, you may retain, and the Company will transfer to you the ownership of, your Company-issued laptop, conditioned upon the Company’s remote wipe of the laptop and return to its original factory settings, and your full cooperation with that process. Regardless of whether you enter into this Agreement, please sign and return the attestations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Your eligibility for the Separation Compensation described in paragraph three (3) above is expressly conditioned upon your return of a signed copy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You hereby warrant to the Company that you have returned all other Company property and/or data of the Company of any type whatsoever that has been in your possession or control.</w:t>
      </w:r>
    </w:p>
    <w:p>
      <w:pPr>
        <w:spacing w:after="0" w:line="198" w:lineRule="exact"/>
        <w:rPr>
          <w:sz w:val="20"/>
          <w:szCs w:val="20"/>
          <w:color w:val="auto"/>
        </w:rPr>
      </w:pPr>
    </w:p>
    <w:p>
      <w:pPr>
        <w:ind w:right="380" w:firstLine="8"/>
        <w:spacing w:after="0" w:line="271" w:lineRule="auto"/>
        <w:tabs>
          <w:tab w:leader="none" w:pos="648"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Career Assistance</w:t>
      </w:r>
      <w:r>
        <w:rPr>
          <w:rFonts w:ascii="Times New Roman" w:cs="Times New Roman" w:eastAsia="Times New Roman" w:hAnsi="Times New Roman"/>
          <w:sz w:val="22"/>
          <w:szCs w:val="22"/>
          <w:color w:val="auto"/>
        </w:rPr>
        <w:t>: You will be provided career support through Next Power to assist you in the transition to your next position.</w:t>
      </w:r>
    </w:p>
    <w:p>
      <w:pPr>
        <w:spacing w:after="0" w:line="171" w:lineRule="exact"/>
        <w:rPr>
          <w:rFonts w:ascii="Times New Roman" w:cs="Times New Roman" w:eastAsia="Times New Roman" w:hAnsi="Times New Roman"/>
          <w:sz w:val="22"/>
          <w:szCs w:val="22"/>
          <w:color w:val="010000"/>
        </w:rPr>
      </w:pPr>
    </w:p>
    <w:p>
      <w:pPr>
        <w:jc w:val="both"/>
        <w:ind w:firstLine="6"/>
        <w:spacing w:after="0" w:line="239" w:lineRule="auto"/>
        <w:tabs>
          <w:tab w:leader="none" w:pos="646"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Post-Employment Obligations</w:t>
      </w:r>
      <w:r>
        <w:rPr>
          <w:rFonts w:ascii="Times New Roman" w:cs="Times New Roman" w:eastAsia="Times New Roman" w:hAnsi="Times New Roman"/>
          <w:sz w:val="22"/>
          <w:szCs w:val="22"/>
          <w:color w:val="auto"/>
        </w:rPr>
        <w:t>: You hereby acknowledge that: (a) you continue to be bound by the attached Employee Invention Assignment and Confidentiality Agreement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(b) as a result of your employment with the Company, you have had access to the Company’s proprietary and/or confidential information, and you will continue to hold all such information in strictest confidence and not make use of it on behalf of anyone; and (c) you must, and by your signature below confirm that you shall, deliver to the Company, no later than the Separation Date, all documents and data of any nature containing or pertaining to such information, and not take with you, or otherwise retain in any respect, any such documents or data or any reproduction thereof.</w:t>
      </w:r>
    </w:p>
    <w:p>
      <w:pPr>
        <w:spacing w:after="0" w:line="194" w:lineRule="exact"/>
        <w:rPr>
          <w:rFonts w:ascii="Times New Roman" w:cs="Times New Roman" w:eastAsia="Times New Roman" w:hAnsi="Times New Roman"/>
          <w:sz w:val="22"/>
          <w:szCs w:val="22"/>
          <w:color w:val="010000"/>
        </w:rPr>
      </w:pPr>
    </w:p>
    <w:p>
      <w:pPr>
        <w:jc w:val="both"/>
        <w:ind w:firstLine="6"/>
        <w:spacing w:after="0" w:line="239" w:lineRule="auto"/>
        <w:tabs>
          <w:tab w:leader="none" w:pos="646"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Stock Options and Restricted Stock Units</w:t>
      </w:r>
      <w:r>
        <w:rPr>
          <w:rFonts w:ascii="Times New Roman" w:cs="Times New Roman" w:eastAsia="Times New Roman" w:hAnsi="Times New Roman"/>
          <w:sz w:val="22"/>
          <w:szCs w:val="22"/>
          <w:color w:val="auto"/>
        </w:rPr>
        <w:t>: The Company previously granted you certain awards of stock options (collectively, the “</w:t>
      </w: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and restricted stock units (collectively, the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under the Company’s 2018 Equity Incentive Plan (the “</w:t>
      </w:r>
      <w:r>
        <w:rPr>
          <w:rFonts w:ascii="Times New Roman" w:cs="Times New Roman" w:eastAsia="Times New Roman" w:hAnsi="Times New Roman"/>
          <w:sz w:val="22"/>
          <w:szCs w:val="22"/>
          <w:b w:val="1"/>
          <w:bCs w:val="1"/>
          <w:color w:val="auto"/>
        </w:rPr>
        <w:t>2018 Plan</w:t>
      </w:r>
      <w:r>
        <w:rPr>
          <w:rFonts w:ascii="Times New Roman" w:cs="Times New Roman" w:eastAsia="Times New Roman" w:hAnsi="Times New Roman"/>
          <w:sz w:val="22"/>
          <w:szCs w:val="22"/>
          <w:color w:val="auto"/>
        </w:rPr>
        <w:t>”) and the Nextdoor Holdings, Inc. 2021 Equity Incentive Plan (the “</w:t>
      </w:r>
      <w:r>
        <w:rPr>
          <w:rFonts w:ascii="Times New Roman" w:cs="Times New Roman" w:eastAsia="Times New Roman" w:hAnsi="Times New Roman"/>
          <w:sz w:val="22"/>
          <w:szCs w:val="22"/>
          <w:b w:val="1"/>
          <w:bCs w:val="1"/>
          <w:color w:val="auto"/>
        </w:rPr>
        <w:t>2021 Plan</w:t>
      </w:r>
      <w:r>
        <w:rPr>
          <w:rFonts w:ascii="Times New Roman" w:cs="Times New Roman" w:eastAsia="Times New Roman" w:hAnsi="Times New Roman"/>
          <w:sz w:val="22"/>
          <w:szCs w:val="22"/>
          <w:color w:val="auto"/>
        </w:rPr>
        <w:t>” and together with the 2018 Plan, the “</w:t>
      </w:r>
      <w:r>
        <w:rPr>
          <w:rFonts w:ascii="Times New Roman" w:cs="Times New Roman" w:eastAsia="Times New Roman" w:hAnsi="Times New Roman"/>
          <w:sz w:val="22"/>
          <w:szCs w:val="22"/>
          <w:b w:val="1"/>
          <w:bCs w:val="1"/>
          <w:color w:val="auto"/>
        </w:rPr>
        <w:t>Plans</w:t>
      </w:r>
      <w:r>
        <w:rPr>
          <w:rFonts w:ascii="Times New Roman" w:cs="Times New Roman" w:eastAsia="Times New Roman" w:hAnsi="Times New Roman"/>
          <w:sz w:val="22"/>
          <w:szCs w:val="22"/>
          <w:color w:val="auto"/>
        </w:rPr>
        <w:t xml:space="preserve">”), as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sets forth the unvested, vested, and exercised shares subject to the Options as of the Separation Date, and the unvested and vested shares subject to the RSUs as of the Separation Date. Because your employment is terminating on the Separation Date, none of the unvested shares subject to your Options or RSUs can ever vest.</w:t>
      </w:r>
    </w:p>
    <w:p>
      <w:pPr>
        <w:sectPr>
          <w:pgSz w:w="11900" w:h="16838" w:orient="portrait"/>
          <w:cols w:equalWidth="0" w:num="1">
            <w:col w:w="11240"/>
          </w:cols>
          <w:pgMar w:left="320" w:top="126" w:right="339" w:bottom="1440" w:gutter="0" w:footer="0" w:header="0"/>
        </w:sectPr>
      </w:pPr>
    </w:p>
    <w:bookmarkStart w:id="72" w:name="page73"/>
    <w:bookmarkEnd w:id="72"/>
    <w:p>
      <w:pPr>
        <w:ind w:right="10140" w:firstLine="6"/>
        <w:spacing w:after="0" w:line="295" w:lineRule="auto"/>
        <w:tabs>
          <w:tab w:leader="none" w:pos="26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Andersen 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Your rights concerning the Options and RSUs will continue to be governed by their respective Plans, Stock Option Agreements and Restricted Stock Unit Agreements (collectively, the “</w:t>
      </w:r>
      <w:r>
        <w:rPr>
          <w:rFonts w:ascii="Times New Roman" w:cs="Times New Roman" w:eastAsia="Times New Roman" w:hAnsi="Times New Roman"/>
          <w:sz w:val="22"/>
          <w:szCs w:val="22"/>
          <w:b w:val="1"/>
          <w:bCs w:val="1"/>
          <w:color w:val="auto"/>
        </w:rPr>
        <w:t>Stock Plan Agreements</w:t>
      </w:r>
      <w:r>
        <w:rPr>
          <w:rFonts w:ascii="Times New Roman" w:cs="Times New Roman" w:eastAsia="Times New Roman" w:hAnsi="Times New Roman"/>
          <w:sz w:val="22"/>
          <w:szCs w:val="22"/>
          <w:color w:val="auto"/>
        </w:rPr>
        <w:t>”). Per the Stock Option Agreements governing the Options, you will have three (3) months following the Separation Date to exercise any unexercised vested shares subject to the Options. After this date, you will no longer have a right to exercise the Options as to any shares.</w:t>
      </w:r>
    </w:p>
    <w:p>
      <w:pPr>
        <w:spacing w:after="0" w:line="173" w:lineRule="exact"/>
        <w:rPr>
          <w:sz w:val="20"/>
          <w:szCs w:val="20"/>
          <w:color w:val="auto"/>
        </w:rPr>
      </w:pPr>
    </w:p>
    <w:p>
      <w:pPr>
        <w:ind w:left="660" w:hanging="654"/>
        <w:spacing w:after="0"/>
        <w:tabs>
          <w:tab w:leader="none" w:pos="660"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 Release and Waiver of Claims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
        <w:spacing w:after="0" w:line="238" w:lineRule="auto"/>
        <w:tabs>
          <w:tab w:leader="none" w:pos="44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payments and promises set forth in this Agreement are in full satisfaction of all of your rights pursuant to your CIC Severance Agreement, as well as all accrued salary, vacation pay, bonus and commission pay, profit-sharing, stock, stock options or other ownership interest in the Company, termination benefits or other compensation to which you may be entitled by virtue of your employment with the Company or your separation from the Company. To the fullest extent permitted by law, you hereby release and waive any other claims you may have against the Company and its owners, agents, officers, shareholders, employees, directors, attorneys, subscribers, subsidiaries, affiliates, successors and assigns (collectively “</w:t>
      </w:r>
      <w:r>
        <w:rPr>
          <w:rFonts w:ascii="Times New Roman" w:cs="Times New Roman" w:eastAsia="Times New Roman" w:hAnsi="Times New Roman"/>
          <w:sz w:val="22"/>
          <w:szCs w:val="22"/>
          <w:b w:val="1"/>
          <w:bCs w:val="1"/>
          <w:i w:val="1"/>
          <w:iCs w:val="1"/>
          <w:color w:val="auto"/>
        </w:rPr>
        <w:t>Releasees</w:t>
      </w:r>
      <w:r>
        <w:rPr>
          <w:rFonts w:ascii="Times New Roman" w:cs="Times New Roman" w:eastAsia="Times New Roman" w:hAnsi="Times New Roman"/>
          <w:sz w:val="22"/>
          <w:szCs w:val="22"/>
          <w:color w:val="auto"/>
        </w:rPr>
        <w:t>”),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your separation of employment, claims under Title VII of the 1964 Civil Rights Act, as amended, the Colorado Anti-Discrimination Act,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w:t>
      </w:r>
    </w:p>
    <w:p>
      <w:pPr>
        <w:spacing w:after="0" w:line="181" w:lineRule="exact"/>
        <w:rPr>
          <w:rFonts w:ascii="Times New Roman" w:cs="Times New Roman" w:eastAsia="Times New Roman" w:hAnsi="Times New Roman"/>
          <w:sz w:val="22"/>
          <w:szCs w:val="22"/>
          <w:color w:val="auto"/>
        </w:rPr>
      </w:pPr>
    </w:p>
    <w:p>
      <w:pPr>
        <w:jc w:val="both"/>
        <w:ind w:firstLine="6"/>
        <w:spacing w:after="0" w:line="244" w:lineRule="auto"/>
        <w:tabs>
          <w:tab w:leader="none" w:pos="38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hereby acknowledge that you are aware of the principle that a general release does not extend to claims that the releasor does not know or suspect to exist in his or her favor at the time of executing the release, which, if known by him or her, must have materially affected his or her settlement with the releasee. With knowledge of this principle, you hereby agree to expressly waive any rights you may have to that effect.</w:t>
      </w:r>
    </w:p>
    <w:p>
      <w:pPr>
        <w:spacing w:after="0" w:line="172" w:lineRule="exact"/>
        <w:rPr>
          <w:rFonts w:ascii="Times New Roman" w:cs="Times New Roman" w:eastAsia="Times New Roman" w:hAnsi="Times New Roman"/>
          <w:sz w:val="22"/>
          <w:szCs w:val="22"/>
          <w:color w:val="auto"/>
        </w:rPr>
      </w:pPr>
    </w:p>
    <w:p>
      <w:pPr>
        <w:jc w:val="both"/>
        <w:ind w:firstLine="6"/>
        <w:spacing w:after="0" w:line="248" w:lineRule="auto"/>
        <w:tabs>
          <w:tab w:leader="none" w:pos="36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and the Company do not intend to release claims that you may not release as a matter of law, including but not limited to claims for indemnity, or any claims for enforcement of this Agreement. To the fullest extent permitted by law, any dispute regarding the scope of this general release shall be determined by an arbitrator under the procedures set forth in the arbitration clause below.</w:t>
      </w:r>
    </w:p>
    <w:p>
      <w:pPr>
        <w:spacing w:after="0" w:line="169" w:lineRule="exact"/>
        <w:rPr>
          <w:sz w:val="20"/>
          <w:szCs w:val="20"/>
          <w:color w:val="auto"/>
        </w:rPr>
      </w:pPr>
    </w:p>
    <w:p>
      <w:pPr>
        <w:ind w:left="660" w:hanging="654"/>
        <w:spacing w:after="0"/>
        <w:tabs>
          <w:tab w:leader="none" w:pos="660"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Covenant Not to Sue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
        <w:spacing w:after="0" w:line="248" w:lineRule="auto"/>
        <w:tabs>
          <w:tab w:leader="none" w:pos="64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law, at no time subsequent to the execution of this Agreement will you pursue, or cause or knowingly permit the prosecution, in any state, federal or foreign court, or before any local, state, federal or foreign administrative agency, or any other tribunal, of any charge, claim or action of any kind, nature and character whatsoever, known or</w:t>
      </w:r>
    </w:p>
    <w:p>
      <w:pPr>
        <w:sectPr>
          <w:pgSz w:w="11900" w:h="16838" w:orient="portrait"/>
          <w:cols w:equalWidth="0" w:num="1">
            <w:col w:w="11240"/>
          </w:cols>
          <w:pgMar w:left="320" w:top="126" w:right="339" w:bottom="1440" w:gutter="0" w:footer="0" w:header="0"/>
        </w:sectPr>
      </w:pPr>
    </w:p>
    <w:bookmarkStart w:id="73" w:name="page74"/>
    <w:bookmarkEnd w:id="73"/>
    <w:p>
      <w:pPr>
        <w:ind w:right="10140" w:firstLine="6"/>
        <w:spacing w:after="0" w:line="295" w:lineRule="auto"/>
        <w:tabs>
          <w:tab w:leader="none" w:pos="264"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Andersen 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unknown, which you may now have, have ever had, or may in the future have against Releasees, which is based in whole or in part on any matter released by this Agreement.</w:t>
      </w:r>
    </w:p>
    <w:p>
      <w:pPr>
        <w:spacing w:after="0" w:line="172" w:lineRule="exact"/>
        <w:rPr>
          <w:sz w:val="20"/>
          <w:szCs w:val="20"/>
          <w:color w:val="auto"/>
        </w:rPr>
      </w:pPr>
    </w:p>
    <w:p>
      <w:pPr>
        <w:ind w:firstLine="6"/>
        <w:spacing w:after="0" w:line="258" w:lineRule="auto"/>
        <w:tabs>
          <w:tab w:leader="none" w:pos="64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shall prohibit or impair you or the Company from complying with all applicable laws, nor shall this Agreement be construed to obligate either party to commit (or aid or abet in the commission of) any unlawful act.</w:t>
      </w:r>
    </w:p>
    <w:p>
      <w:pPr>
        <w:spacing w:after="0" w:line="158" w:lineRule="exact"/>
        <w:rPr>
          <w:sz w:val="20"/>
          <w:szCs w:val="20"/>
          <w:color w:val="auto"/>
        </w:rPr>
      </w:pPr>
    </w:p>
    <w:p>
      <w:pPr>
        <w:jc w:val="both"/>
        <w:ind w:firstLine="6"/>
        <w:spacing w:after="0" w:line="238" w:lineRule="auto"/>
        <w:tabs>
          <w:tab w:leader="none" w:pos="646"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Protected Rights</w:t>
      </w:r>
      <w:r>
        <w:rPr>
          <w:rFonts w:ascii="Times New Roman" w:cs="Times New Roman" w:eastAsia="Times New Roman" w:hAnsi="Times New Roman"/>
          <w:sz w:val="22"/>
          <w:szCs w:val="22"/>
          <w:color w:val="auto"/>
        </w:rPr>
        <w:t>: You understand that nothing in this Agreement, including the General Release and Waiver of Claims, Covenant Not to Sue, Non-disparagement and Confidentiality sections contained herein, limits, impedes or restricts: (a) your ability to file a charge or complaint with the Equal Employment Opportunity Commission, the National Labor Relations Board (the “</w:t>
      </w:r>
      <w:r>
        <w:rPr>
          <w:rFonts w:ascii="Times New Roman" w:cs="Times New Roman" w:eastAsia="Times New Roman" w:hAnsi="Times New Roman"/>
          <w:sz w:val="22"/>
          <w:szCs w:val="22"/>
          <w:b w:val="1"/>
          <w:bCs w:val="1"/>
          <w:i w:val="1"/>
          <w:iCs w:val="1"/>
          <w:color w:val="auto"/>
        </w:rPr>
        <w:t>NLRB</w:t>
      </w:r>
      <w:r>
        <w:rPr>
          <w:rFonts w:ascii="Times New Roman" w:cs="Times New Roman" w:eastAsia="Times New Roman" w:hAnsi="Times New Roman"/>
          <w:sz w:val="22"/>
          <w:szCs w:val="22"/>
          <w:color w:val="auto"/>
        </w:rPr>
        <w:t>”), the Occupational Safety and Health Administration, the Securities and Exchange Commission or any other federal, state or local government agency or commission (“</w:t>
      </w:r>
      <w:r>
        <w:rPr>
          <w:rFonts w:ascii="Times New Roman" w:cs="Times New Roman" w:eastAsia="Times New Roman" w:hAnsi="Times New Roman"/>
          <w:sz w:val="22"/>
          <w:szCs w:val="22"/>
          <w:b w:val="1"/>
          <w:bCs w:val="1"/>
          <w:i w:val="1"/>
          <w:iCs w:val="1"/>
          <w:color w:val="auto"/>
        </w:rPr>
        <w:t>Government Agencies</w:t>
      </w:r>
      <w:r>
        <w:rPr>
          <w:rFonts w:ascii="Times New Roman" w:cs="Times New Roman" w:eastAsia="Times New Roman" w:hAnsi="Times New Roman"/>
          <w:sz w:val="22"/>
          <w:szCs w:val="22"/>
          <w:color w:val="auto"/>
        </w:rPr>
        <w:t>”); or (b) if you are a non-supervisory (as defined under the National Labor Relations Act (the “</w:t>
      </w:r>
      <w:r>
        <w:rPr>
          <w:rFonts w:ascii="Times New Roman" w:cs="Times New Roman" w:eastAsia="Times New Roman" w:hAnsi="Times New Roman"/>
          <w:sz w:val="22"/>
          <w:szCs w:val="22"/>
          <w:b w:val="1"/>
          <w:bCs w:val="1"/>
          <w:i w:val="1"/>
          <w:iCs w:val="1"/>
          <w:color w:val="auto"/>
        </w:rPr>
        <w:t>NLRA</w:t>
      </w:r>
      <w:r>
        <w:rPr>
          <w:rFonts w:ascii="Times New Roman" w:cs="Times New Roman" w:eastAsia="Times New Roman" w:hAnsi="Times New Roman"/>
          <w:sz w:val="22"/>
          <w:szCs w:val="22"/>
          <w:color w:val="auto"/>
        </w:rPr>
        <w:t>”)) Company employee, you from exercising your protected rights under Section 7 of the NLRA, including your right to file an unfair labor practice charge with the NLRB and/or assist other current or former Company employees in doing so. You further understand that this Agreement does not limit your ability to communicate with any Government Agencies or otherwise participate and/or assist in any investigation or proceeding that may be conducted by any Government Agency, including providing documents (including this Agreement) or other information, without notice to the Company. This Agreement does not limit your right to receive an award for information provided to any Government Agencies or prohibit you from providing truthful information in response to a subpoena or other legal process.</w:t>
      </w:r>
    </w:p>
    <w:p>
      <w:pPr>
        <w:spacing w:after="0" w:line="189" w:lineRule="exact"/>
        <w:rPr>
          <w:rFonts w:ascii="Times New Roman" w:cs="Times New Roman" w:eastAsia="Times New Roman" w:hAnsi="Times New Roman"/>
          <w:sz w:val="22"/>
          <w:szCs w:val="22"/>
          <w:color w:val="010000"/>
        </w:rPr>
      </w:pPr>
    </w:p>
    <w:p>
      <w:pPr>
        <w:jc w:val="both"/>
        <w:ind w:firstLine="6"/>
        <w:spacing w:after="0"/>
        <w:tabs>
          <w:tab w:leader="none" w:pos="638"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Subject to the Protected Rights section above, and otherwise to the fullest extent permitted by applicable law, you agree that you will not, directly or indirectly, make any disparaging oral or written statements that are disloyal or maliciously untrue (and specifically, made with knowledge of their falsity or with reckless disregard for the truth or falsity of the statements) regarding the Company and/or its products, services, directors, officers, employees and affiliated entities, including, but not limited to, any statement posted on social media (including online company review sites) or otherwise on the Internet, whether or not made anonymously or with attribution. Nothing in this Agreement prevents you from discussing or disclosing information about unlawful acts in the workplace, such as harassment or discrimination or any other conduct that you have reason to believe is unlawful.</w:t>
      </w:r>
    </w:p>
    <w:p>
      <w:pPr>
        <w:spacing w:after="0" w:line="176" w:lineRule="exact"/>
        <w:rPr>
          <w:rFonts w:ascii="Times New Roman" w:cs="Times New Roman" w:eastAsia="Times New Roman" w:hAnsi="Times New Roman"/>
          <w:sz w:val="22"/>
          <w:szCs w:val="22"/>
          <w:color w:val="010000"/>
        </w:rPr>
      </w:pPr>
    </w:p>
    <w:p>
      <w:pPr>
        <w:jc w:val="both"/>
        <w:ind w:firstLine="6"/>
        <w:spacing w:after="0" w:line="241" w:lineRule="auto"/>
        <w:tabs>
          <w:tab w:leader="none" w:pos="646"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Except for any claim for injunctive relief arising out of a breach of a party’s obligations to protect the other’s proprietary information, the parties agree to arbitrate, in San Francisco, California through JAMS, any and all disputes or claims arising out of or related to the validity, enforceability, interpretation, performance or breach of this Agreement, whether sounding in tort, contract, statutory violation or otherwise, or involving the construction or application or any of the terms, provisions, or conditions of this Agreement. Any arbitration may be initiated by a written demand to the other party. The arbitrator's decision shall be final, binding, and conclusive. The parties further agree that this Agreement is intended to be strictly construed to provide for arbitration as the sole and exclusive means for resolution of all disputes</w:t>
      </w:r>
    </w:p>
    <w:p>
      <w:pPr>
        <w:sectPr>
          <w:pgSz w:w="11900" w:h="16838" w:orient="portrait"/>
          <w:cols w:equalWidth="0" w:num="1">
            <w:col w:w="11240"/>
          </w:cols>
          <w:pgMar w:left="320" w:top="126" w:right="339" w:bottom="1440" w:gutter="0" w:footer="0" w:header="0"/>
        </w:sectPr>
      </w:pPr>
    </w:p>
    <w:bookmarkStart w:id="74" w:name="page75"/>
    <w:bookmarkEnd w:id="74"/>
    <w:p>
      <w:pPr>
        <w:ind w:right="10140" w:firstLine="6"/>
        <w:spacing w:after="0" w:line="295" w:lineRule="auto"/>
        <w:tabs>
          <w:tab w:leader="none" w:pos="264"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Andersen 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hereunder to the fullest extent permitted by law. The parties expressly waive any entitlement to have such controversies decided by a court or a jury.</w:t>
      </w:r>
    </w:p>
    <w:p>
      <w:pPr>
        <w:spacing w:after="0" w:line="172" w:lineRule="exact"/>
        <w:rPr>
          <w:sz w:val="20"/>
          <w:szCs w:val="20"/>
          <w:color w:val="auto"/>
        </w:rPr>
      </w:pPr>
    </w:p>
    <w:p>
      <w:pPr>
        <w:jc w:val="both"/>
        <w:ind w:firstLine="6"/>
        <w:spacing w:after="0" w:line="244" w:lineRule="auto"/>
        <w:tabs>
          <w:tab w:leader="none" w:pos="646"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spacing w:after="0" w:line="186" w:lineRule="exact"/>
        <w:rPr>
          <w:rFonts w:ascii="Times New Roman" w:cs="Times New Roman" w:eastAsia="Times New Roman" w:hAnsi="Times New Roman"/>
          <w:sz w:val="22"/>
          <w:szCs w:val="22"/>
          <w:color w:val="010000"/>
        </w:rPr>
      </w:pPr>
    </w:p>
    <w:p>
      <w:pPr>
        <w:jc w:val="both"/>
        <w:ind w:firstLine="6"/>
        <w:spacing w:after="0" w:line="250" w:lineRule="auto"/>
        <w:tabs>
          <w:tab w:leader="none" w:pos="646"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Subject to the Protected Rights section above, and otherwise to the fullest extent permitted by applicable law, the contents, terms and conditions of this Agreement must be kept confidential by you and may not be disclosed except to your immediate family, accountant or attorneys or pursuant to subpoena or court order.</w:t>
      </w:r>
    </w:p>
    <w:p>
      <w:pPr>
        <w:spacing w:after="0" w:line="167" w:lineRule="exact"/>
        <w:rPr>
          <w:rFonts w:ascii="Times New Roman" w:cs="Times New Roman" w:eastAsia="Times New Roman" w:hAnsi="Times New Roman"/>
          <w:sz w:val="22"/>
          <w:szCs w:val="22"/>
          <w:color w:val="010000"/>
        </w:rPr>
      </w:pPr>
    </w:p>
    <w:p>
      <w:pPr>
        <w:jc w:val="both"/>
        <w:ind w:firstLine="6"/>
        <w:spacing w:after="0" w:line="243" w:lineRule="auto"/>
        <w:tabs>
          <w:tab w:leader="none" w:pos="646"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Admission of Liability</w:t>
      </w:r>
      <w:r>
        <w:rPr>
          <w:rFonts w:ascii="Times New Roman" w:cs="Times New Roman" w:eastAsia="Times New Roman" w:hAnsi="Times New Roman"/>
          <w:sz w:val="22"/>
          <w:szCs w:val="22"/>
          <w:color w:val="auto"/>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the Federal Rules of Evidence 408 and/or any other state or federal provisions of similar effect.</w:t>
      </w:r>
    </w:p>
    <w:p>
      <w:pPr>
        <w:spacing w:after="0" w:line="177" w:lineRule="exact"/>
        <w:rPr>
          <w:rFonts w:ascii="Times New Roman" w:cs="Times New Roman" w:eastAsia="Times New Roman" w:hAnsi="Times New Roman"/>
          <w:sz w:val="22"/>
          <w:szCs w:val="22"/>
          <w:color w:val="010000"/>
        </w:rPr>
      </w:pPr>
    </w:p>
    <w:p>
      <w:pPr>
        <w:jc w:val="both"/>
        <w:ind w:firstLine="6"/>
        <w:spacing w:after="0" w:line="252" w:lineRule="auto"/>
        <w:tabs>
          <w:tab w:leader="none" w:pos="646" w:val="left"/>
        </w:tabs>
        <w:numPr>
          <w:ilvl w:val="0"/>
          <w:numId w:val="4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Complete and Voluntary Agreement</w:t>
      </w:r>
      <w:r>
        <w:rPr>
          <w:rFonts w:ascii="Times New Roman" w:cs="Times New Roman" w:eastAsia="Times New Roman" w:hAnsi="Times New Roman"/>
          <w:sz w:val="21"/>
          <w:szCs w:val="21"/>
          <w:color w:val="auto"/>
        </w:rPr>
        <w:t>: This Agreement, together with all exhibits hereto, constitutes the entire agreement between you and Releasees with respect to the subject matter hereof and supersedes all prior negotiations and agreements, whether written or oral, relating to such subject matter (including, without limitation, the CIC Severance Agreement).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w:t>
      </w:r>
    </w:p>
    <w:p>
      <w:pPr>
        <w:spacing w:after="0" w:line="182" w:lineRule="exact"/>
        <w:rPr>
          <w:rFonts w:ascii="Times New Roman" w:cs="Times New Roman" w:eastAsia="Times New Roman" w:hAnsi="Times New Roman"/>
          <w:sz w:val="21"/>
          <w:szCs w:val="21"/>
          <w:color w:val="010000"/>
        </w:rPr>
      </w:pPr>
    </w:p>
    <w:p>
      <w:pPr>
        <w:jc w:val="both"/>
        <w:ind w:firstLine="6"/>
        <w:spacing w:after="0" w:line="241" w:lineRule="auto"/>
        <w:tabs>
          <w:tab w:leader="none" w:pos="646"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part of it is found to be invalid or unenforceable, including, without limitation, any part of the General Release, Covenant Not to Sue, Non-disparagement and/or Confidentiality sections above,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spacing w:after="0" w:line="176" w:lineRule="exact"/>
        <w:rPr>
          <w:rFonts w:ascii="Times New Roman" w:cs="Times New Roman" w:eastAsia="Times New Roman" w:hAnsi="Times New Roman"/>
          <w:sz w:val="22"/>
          <w:szCs w:val="22"/>
          <w:color w:val="010000"/>
        </w:rPr>
      </w:pPr>
    </w:p>
    <w:p>
      <w:pPr>
        <w:jc w:val="both"/>
        <w:ind w:firstLine="6"/>
        <w:spacing w:after="0" w:line="241" w:lineRule="auto"/>
        <w:tabs>
          <w:tab w:leader="none" w:pos="646"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Modification; Counterparts; Electronic/PDF Signatures</w:t>
      </w:r>
      <w:r>
        <w:rPr>
          <w:rFonts w:ascii="Times New Roman" w:cs="Times New Roman" w:eastAsia="Times New Roman" w:hAnsi="Times New Roman"/>
          <w:sz w:val="22"/>
          <w:szCs w:val="22"/>
          <w:color w:val="auto"/>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an electronic or PDF copy shall have the same force and effect as execution of an original, and a copy of a signature will be admissible in any legal proceeding as if an original.</w:t>
      </w:r>
    </w:p>
    <w:p>
      <w:pPr>
        <w:sectPr>
          <w:pgSz w:w="11900" w:h="16838" w:orient="portrait"/>
          <w:cols w:equalWidth="0" w:num="1">
            <w:col w:w="11240"/>
          </w:cols>
          <w:pgMar w:left="320" w:top="126" w:right="339" w:bottom="1440" w:gutter="0" w:footer="0" w:header="0"/>
        </w:sectPr>
      </w:pPr>
    </w:p>
    <w:bookmarkStart w:id="75" w:name="page76"/>
    <w:bookmarkEnd w:id="75"/>
    <w:p>
      <w:pPr>
        <w:ind w:right="10140" w:firstLine="6"/>
        <w:spacing w:after="0" w:line="295" w:lineRule="auto"/>
        <w:tabs>
          <w:tab w:leader="none" w:pos="26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Andersen 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
        <w:spacing w:after="0"/>
        <w:tabs>
          <w:tab w:leader="none" w:pos="646" w:val="left"/>
        </w:tabs>
        <w:numPr>
          <w:ilvl w:val="0"/>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Review of Separation Agreement; Expiration of Offer:</w:t>
      </w:r>
      <w:r>
        <w:rPr>
          <w:rFonts w:ascii="Times New Roman" w:cs="Times New Roman" w:eastAsia="Times New Roman" w:hAnsi="Times New Roman"/>
          <w:sz w:val="22"/>
          <w:szCs w:val="22"/>
          <w:color w:val="auto"/>
        </w:rPr>
        <w:t xml:space="preserve"> You understand that you may take up to forty-five (45) days to consider this Agreement (the “</w:t>
      </w:r>
      <w:r>
        <w:rPr>
          <w:rFonts w:ascii="Times New Roman" w:cs="Times New Roman" w:eastAsia="Times New Roman" w:hAnsi="Times New Roman"/>
          <w:sz w:val="22"/>
          <w:szCs w:val="22"/>
          <w:b w:val="1"/>
          <w:bCs w:val="1"/>
          <w:i w:val="1"/>
          <w:iCs w:val="1"/>
          <w:color w:val="auto"/>
        </w:rPr>
        <w:t>Consideration Period</w:t>
      </w:r>
      <w:r>
        <w:rPr>
          <w:rFonts w:ascii="Times New Roman" w:cs="Times New Roman" w:eastAsia="Times New Roman" w:hAnsi="Times New Roman"/>
          <w:sz w:val="22"/>
          <w:szCs w:val="22"/>
          <w:color w:val="auto"/>
        </w:rPr>
        <w:t>”). The offer set forth in this Agreement, if not accepted by you before the end of the Consideration Period, will automatically expire. By signing below, you affirm that you were advised to consult with an attorney prior to signing this Agreement. You also acknowledge that at the time you were first provided this Agreement to consider, you were also provided with the attached document entitled “</w:t>
      </w:r>
      <w:r>
        <w:rPr>
          <w:rFonts w:ascii="Times New Roman" w:cs="Times New Roman" w:eastAsia="Times New Roman" w:hAnsi="Times New Roman"/>
          <w:sz w:val="22"/>
          <w:szCs w:val="22"/>
          <w:b w:val="1"/>
          <w:bCs w:val="1"/>
          <w:i w:val="1"/>
          <w:iCs w:val="1"/>
          <w:color w:val="auto"/>
        </w:rPr>
        <w:t>Information Concerning Reduction in Force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 You also understand you may revoke this Agreement within seven (7) days of signing this document and that the separation compensation to be provided to you pursuant to Section 3 will be provided only after the expiration of that seven (7) day revocation period.</w:t>
      </w:r>
    </w:p>
    <w:p>
      <w:pPr>
        <w:spacing w:after="0" w:line="176" w:lineRule="exact"/>
        <w:rPr>
          <w:rFonts w:ascii="Times New Roman" w:cs="Times New Roman" w:eastAsia="Times New Roman" w:hAnsi="Times New Roman"/>
          <w:sz w:val="22"/>
          <w:szCs w:val="22"/>
          <w:color w:val="010000"/>
        </w:rPr>
      </w:pPr>
    </w:p>
    <w:p>
      <w:pPr>
        <w:ind w:firstLine="6"/>
        <w:spacing w:after="0" w:line="258" w:lineRule="auto"/>
        <w:tabs>
          <w:tab w:leader="none" w:pos="646" w:val="left"/>
        </w:tabs>
        <w:numPr>
          <w:ilvl w:val="0"/>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Agreement is effective on the eighth (8th) day after you sign it and without revocation by you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010000"/>
        </w:rPr>
      </w:pPr>
    </w:p>
    <w:p>
      <w:pPr>
        <w:ind w:firstLine="6"/>
        <w:spacing w:after="0" w:line="258" w:lineRule="auto"/>
        <w:tabs>
          <w:tab w:leader="none" w:pos="646" w:val="left"/>
        </w:tabs>
        <w:numPr>
          <w:ilvl w:val="0"/>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Colorado.</w:t>
      </w:r>
    </w:p>
    <w:p>
      <w:pPr>
        <w:spacing w:after="0" w:line="171" w:lineRule="exact"/>
        <w:rPr>
          <w:rFonts w:ascii="Times New Roman" w:cs="Times New Roman" w:eastAsia="Times New Roman" w:hAnsi="Times New Roman"/>
          <w:sz w:val="22"/>
          <w:szCs w:val="22"/>
          <w:color w:val="010000"/>
        </w:rPr>
      </w:pPr>
    </w:p>
    <w:p>
      <w:pPr>
        <w:ind w:firstLine="656"/>
        <w:spacing w:after="0" w:line="258" w:lineRule="auto"/>
        <w:tabs>
          <w:tab w:leader="none" w:pos="129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agree to abide by the terms outlined in this Agreement, please sign and return it to me. I wish you the best in your future endeavors.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Nextdoor,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Sophia Schwartz</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Sophia Schwartz, General Counsel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READ, UNDERSTOOD AND AGREED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Heidi Andersen</w:t>
            </w:r>
          </w:p>
        </w:tc>
        <w:tc>
          <w:tcPr>
            <w:tcW w:w="238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7"/>
              </w:rPr>
              <w:t>Date: May 14, 2024</w:t>
            </w:r>
          </w:p>
        </w:tc>
      </w:tr>
      <w:tr>
        <w:trPr>
          <w:trHeight w:val="289"/>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Heidi Andersen</w:t>
            </w:r>
          </w:p>
        </w:tc>
        <w:tc>
          <w:tcPr>
            <w:tcW w:w="2380" w:type="dxa"/>
            <w:vAlign w:val="bottom"/>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76" w:name="page77"/>
    <w:bookmarkEnd w:id="76"/>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EMPLOYEE ATTESTATION REGARDING COMPANY PROPERTY</w:t>
      </w:r>
    </w:p>
    <w:p>
      <w:pPr>
        <w:spacing w:after="0" w:line="200" w:lineRule="exact"/>
        <w:rPr>
          <w:sz w:val="20"/>
          <w:szCs w:val="20"/>
          <w:color w:val="auto"/>
        </w:rPr>
      </w:pPr>
    </w:p>
    <w:p>
      <w:pPr>
        <w:spacing w:after="0" w:line="267" w:lineRule="exact"/>
        <w:rPr>
          <w:sz w:val="20"/>
          <w:szCs w:val="20"/>
          <w:color w:val="auto"/>
        </w:rPr>
      </w:pPr>
    </w:p>
    <w:p>
      <w:pPr>
        <w:ind w:right="520" w:hanging="1"/>
        <w:spacing w:after="0" w:line="282" w:lineRule="auto"/>
        <w:rPr>
          <w:sz w:val="20"/>
          <w:szCs w:val="20"/>
          <w:color w:val="auto"/>
        </w:rPr>
      </w:pPr>
      <w:r>
        <w:rPr>
          <w:rFonts w:ascii="Times New Roman" w:cs="Times New Roman" w:eastAsia="Times New Roman" w:hAnsi="Times New Roman"/>
          <w:sz w:val="21"/>
          <w:szCs w:val="21"/>
          <w:color w:val="auto"/>
        </w:rPr>
        <w:t>This attestation acknowledges that you continue to be bound by the Employee Invention Assignment and Confidentiality Agreement which (together with this attestation) is attached as an exhibit to your separation letter dated May 8, 2024.</w:t>
      </w:r>
    </w:p>
    <w:p>
      <w:pPr>
        <w:spacing w:after="0" w:line="40" w:lineRule="exact"/>
        <w:rPr>
          <w:sz w:val="20"/>
          <w:szCs w:val="20"/>
          <w:color w:val="auto"/>
        </w:rPr>
      </w:pPr>
    </w:p>
    <w:p>
      <w:pPr>
        <w:ind w:hanging="1"/>
        <w:spacing w:after="0" w:line="282" w:lineRule="auto"/>
        <w:rPr>
          <w:sz w:val="20"/>
          <w:szCs w:val="20"/>
          <w:color w:val="auto"/>
        </w:rPr>
      </w:pPr>
      <w:r>
        <w:rPr>
          <w:rFonts w:ascii="Times New Roman" w:cs="Times New Roman" w:eastAsia="Times New Roman" w:hAnsi="Times New Roman"/>
          <w:sz w:val="21"/>
          <w:szCs w:val="21"/>
          <w:color w:val="auto"/>
        </w:rPr>
        <w:t xml:space="preserve">Please review the following attestations carefully. Initial each attestation to confirm it is true and correct and confirm your commitment to comply with your post-employment obligations to Nextdoor, Inc. (hereinafter </w:t>
      </w:r>
      <w:r>
        <w:rPr>
          <w:rFonts w:ascii="Times New Roman" w:cs="Times New Roman" w:eastAsia="Times New Roman" w:hAnsi="Times New Roman"/>
          <w:sz w:val="21"/>
          <w:szCs w:val="21"/>
          <w:b w:val="1"/>
          <w:bCs w:val="1"/>
          <w:i w:val="1"/>
          <w:iCs w:val="1"/>
          <w:color w:val="auto"/>
        </w:rPr>
        <w:t>“Nextdoor”</w:t>
      </w:r>
      <w:r>
        <w:rPr>
          <w:rFonts w:ascii="Times New Roman" w:cs="Times New Roman" w:eastAsia="Times New Roman" w:hAnsi="Times New Roman"/>
          <w:sz w:val="21"/>
          <w:szCs w:val="21"/>
          <w:color w:val="auto"/>
        </w:rPr>
        <w:t xml:space="preserve"> or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40575" cy="12001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40575" cy="12001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Initial</w:t>
      </w:r>
    </w:p>
    <w:p>
      <w:pPr>
        <w:spacing w:after="0" w:line="71" w:lineRule="exact"/>
        <w:rPr>
          <w:sz w:val="20"/>
          <w:szCs w:val="20"/>
          <w:color w:val="auto"/>
        </w:rPr>
      </w:pPr>
    </w:p>
    <w:p>
      <w:pPr>
        <w:ind w:left="1080" w:right="260" w:hanging="1001"/>
        <w:spacing w:after="0" w:line="269" w:lineRule="auto"/>
        <w:tabs>
          <w:tab w:leader="none" w:pos="1060" w:val="left"/>
        </w:tabs>
        <w:rPr>
          <w:sz w:val="20"/>
          <w:szCs w:val="20"/>
          <w:color w:val="auto"/>
        </w:rPr>
      </w:pPr>
      <w:r>
        <w:rPr>
          <w:rFonts w:ascii="Cambria" w:cs="Cambria" w:eastAsia="Cambria" w:hAnsi="Cambria"/>
          <w:sz w:val="20"/>
          <w:szCs w:val="20"/>
          <w:b w:val="1"/>
          <w:bCs w:val="1"/>
          <w:color w:val="auto"/>
        </w:rPr>
        <w:t>/s/ HA</w:t>
      </w:r>
      <w:r>
        <w:rPr>
          <w:sz w:val="20"/>
          <w:szCs w:val="20"/>
          <w:color w:val="auto"/>
        </w:rPr>
        <w:tab/>
      </w:r>
      <w:r>
        <w:rPr>
          <w:rFonts w:ascii="Times New Roman" w:cs="Times New Roman" w:eastAsia="Times New Roman" w:hAnsi="Times New Roman"/>
          <w:sz w:val="20"/>
          <w:szCs w:val="20"/>
          <w:color w:val="auto"/>
        </w:rPr>
        <w:t>I attest that I have permanently deleted and erased all Nextdoor Proprietary Information from all Nextdoor property being transferred to me, including erasure of external media or cloud storage connected to it.</w:t>
      </w:r>
    </w:p>
    <w:p>
      <w:pPr>
        <w:spacing w:after="0" w:line="11" w:lineRule="exact"/>
        <w:rPr>
          <w:sz w:val="20"/>
          <w:szCs w:val="20"/>
          <w:color w:val="auto"/>
        </w:rPr>
      </w:pPr>
    </w:p>
    <w:p>
      <w:pPr>
        <w:ind w:left="1080" w:right="80" w:hanging="1001"/>
        <w:spacing w:after="0" w:line="254" w:lineRule="auto"/>
        <w:tabs>
          <w:tab w:leader="none" w:pos="1060" w:val="left"/>
        </w:tabs>
        <w:rPr>
          <w:sz w:val="20"/>
          <w:szCs w:val="20"/>
          <w:color w:val="auto"/>
        </w:rPr>
      </w:pPr>
      <w:r>
        <w:rPr>
          <w:rFonts w:ascii="Cambria" w:cs="Cambria" w:eastAsia="Cambria" w:hAnsi="Cambria"/>
          <w:sz w:val="20"/>
          <w:szCs w:val="20"/>
          <w:b w:val="1"/>
          <w:bCs w:val="1"/>
          <w:color w:val="auto"/>
        </w:rPr>
        <w:t>/s/ HA</w:t>
      </w:r>
      <w:r>
        <w:rPr>
          <w:sz w:val="20"/>
          <w:szCs w:val="20"/>
          <w:color w:val="auto"/>
        </w:rPr>
        <w:tab/>
      </w:r>
      <w:r>
        <w:rPr>
          <w:rFonts w:ascii="Times New Roman" w:cs="Times New Roman" w:eastAsia="Times New Roman" w:hAnsi="Times New Roman"/>
          <w:sz w:val="20"/>
          <w:szCs w:val="20"/>
          <w:color w:val="auto"/>
        </w:rPr>
        <w:t>I attest that if I have used personal computer, server, or e-mail systems to receive, store, review, prepare or transmit any Company Information, including but not limited to, Confidential Information, I agree to permanently delete and erased such Proprietary Information from those systems.</w:t>
      </w:r>
    </w:p>
    <w:p>
      <w:pPr>
        <w:spacing w:after="0" w:line="21" w:lineRule="exact"/>
        <w:rPr>
          <w:sz w:val="20"/>
          <w:szCs w:val="20"/>
          <w:color w:val="auto"/>
        </w:rPr>
      </w:pPr>
    </w:p>
    <w:p>
      <w:pPr>
        <w:ind w:left="80"/>
        <w:spacing w:after="0"/>
        <w:tabs>
          <w:tab w:leader="none" w:pos="1060" w:val="left"/>
        </w:tabs>
        <w:rPr>
          <w:sz w:val="20"/>
          <w:szCs w:val="20"/>
          <w:color w:val="auto"/>
        </w:rPr>
      </w:pPr>
      <w:r>
        <w:rPr>
          <w:rFonts w:ascii="Cambria" w:cs="Cambria" w:eastAsia="Cambria" w:hAnsi="Cambria"/>
          <w:sz w:val="20"/>
          <w:szCs w:val="20"/>
          <w:b w:val="1"/>
          <w:bCs w:val="1"/>
          <w:color w:val="auto"/>
        </w:rPr>
        <w:t>/s/ HA</w:t>
      </w:r>
      <w:r>
        <w:rPr>
          <w:sz w:val="20"/>
          <w:szCs w:val="20"/>
          <w:color w:val="auto"/>
        </w:rPr>
        <w:tab/>
      </w:r>
      <w:r>
        <w:rPr>
          <w:rFonts w:ascii="Times New Roman" w:cs="Times New Roman" w:eastAsia="Times New Roman" w:hAnsi="Times New Roman"/>
          <w:sz w:val="19"/>
          <w:szCs w:val="19"/>
          <w:color w:val="auto"/>
        </w:rPr>
        <w:t>I attest that my Nextdoor laptop(s) are restored to factory settings so ownership can be transferred to me.</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14, 2024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Heidi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165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Heidi Andersen</w:t>
      </w:r>
    </w:p>
    <w:p>
      <w:pPr>
        <w:sectPr>
          <w:pgSz w:w="11900" w:h="16838" w:orient="portrait"/>
          <w:cols w:equalWidth="0" w:num="1">
            <w:col w:w="10980"/>
          </w:cols>
          <w:pgMar w:left="320" w:top="1404" w:right="59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CONFIDENTIALITY AGREEMENT</w:t>
      </w:r>
    </w:p>
    <w:p>
      <w:pPr>
        <w:sectPr>
          <w:pgSz w:w="11900" w:h="16838" w:orient="portrait"/>
          <w:cols w:equalWidth="0" w:num="1">
            <w:col w:w="9019"/>
          </w:cols>
          <w:pgMar w:left="1440" w:top="1404"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EQUITY REPORT</w:t>
      </w:r>
    </w:p>
    <w:p>
      <w:pPr>
        <w:sectPr>
          <w:pgSz w:w="11900" w:h="16838" w:orient="portrait"/>
          <w:cols w:equalWidth="0" w:num="1">
            <w:col w:w="9019"/>
          </w:cols>
          <w:pgMar w:left="1440" w:top="1404" w:right="1440" w:bottom="1440" w:gutter="0" w:footer="0" w:header="0"/>
        </w:sectPr>
      </w:pPr>
    </w:p>
    <w:bookmarkStart w:id="79" w:name="page80"/>
    <w:bookmarkEnd w:id="79"/>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INFORMATION CONCERNING REDUCTION IN FORCE</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NEXTDOOR, INC.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 April 30,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Explanation: Nextdoor, Inc. is reducing its workforce to reduce costs and to meet the general operational needs of the Company.</w:t>
      </w:r>
    </w:p>
    <w:p>
      <w:pPr>
        <w:spacing w:after="0" w:line="3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The Company considered the following factors when deciding which positions would be affected: (1) cost; (2) the future needs of the Company; (3) geographical scope; (4) aligning managerial versus non-managerial head count; and (5) performance.</w:t>
      </w:r>
    </w:p>
    <w:p>
      <w:pPr>
        <w:spacing w:after="0" w:line="219"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All of the employees whose positions are affected will be offered the following severance compensation in exchange for their agreement to a general release of claims: (a) cash severance; and (b) COBRA premium coverage, provided that the cash severance and COBRA amounts will vary based solely on employee level.</w:t>
      </w:r>
    </w:p>
    <w:p>
      <w:pPr>
        <w:spacing w:after="0" w:line="214"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22"/>
          <w:szCs w:val="22"/>
          <w:color w:val="auto"/>
        </w:rPr>
        <w:t>Pursuant to federal law, employees over the age of 40 will be allowed to consider their release agreements for 45 days and, after the agreement is executed, may revoke the agreement within 7 days. Employees under the age of 40 will have 5 business days to consider their release agreements but may not revoke their release agreements once they are signed.</w:t>
      </w:r>
    </w:p>
    <w:p>
      <w:pPr>
        <w:spacing w:after="0" w:line="19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2"/>
          <w:szCs w:val="22"/>
          <w:color w:val="auto"/>
        </w:rPr>
        <w:t>In layoff situations where an employer offers release packages to a group of employees, employment laws require the employer to disclose certain information to the affected employees over the age of 40 who are considering the release. The Agreement of which this document is a part satisfies this disclosure requirement. The table below identifies every position in the affected employee’s decisional unit within the Company, the age of the person holding the position, and whether the individual’s position is affected.</w:t>
      </w:r>
    </w:p>
    <w:p>
      <w:pPr>
        <w:spacing w:after="0" w:line="239" w:lineRule="exact"/>
        <w:rPr>
          <w:sz w:val="20"/>
          <w:szCs w:val="20"/>
          <w:color w:val="auto"/>
        </w:rPr>
      </w:pPr>
    </w:p>
    <w:tbl>
      <w:tblPr>
        <w:tblLayout w:type="fixed"/>
        <w:tblInd w:w="2050" w:type="dxa"/>
        <w:tblCellMar>
          <w:top w:w="0" w:type="dxa"/>
          <w:left w:w="0" w:type="dxa"/>
          <w:bottom w:w="0" w:type="dxa"/>
          <w:right w:w="0" w:type="dxa"/>
        </w:tblCellMar>
      </w:tblPr>
      <w:tr>
        <w:trPr>
          <w:trHeight w:val="216"/>
        </w:trPr>
        <w:tc>
          <w:tcPr>
            <w:tcW w:w="2460" w:type="dxa"/>
            <w:vAlign w:val="bottom"/>
            <w:tcBorders>
              <w:top w:val="single" w:sz="8" w:color="auto"/>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b w:val="1"/>
                <w:bCs w:val="1"/>
                <w:color w:val="auto"/>
              </w:rPr>
              <w:t>Position</w:t>
            </w:r>
          </w:p>
        </w:tc>
        <w:tc>
          <w:tcPr>
            <w:tcW w:w="98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rPr>
              <w:t>Age</w:t>
            </w:r>
          </w:p>
        </w:tc>
        <w:tc>
          <w:tcPr>
            <w:tcW w:w="136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rPr>
              <w:t>Position</w:t>
            </w:r>
          </w:p>
        </w:tc>
      </w:tr>
      <w:tr>
        <w:trPr>
          <w:trHeight w:val="283"/>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Affected?</w:t>
            </w:r>
          </w:p>
        </w:tc>
      </w:tr>
      <w:tr>
        <w:trPr>
          <w:trHeight w:val="264"/>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Head of People</w:t>
            </w:r>
          </w:p>
        </w:tc>
        <w:tc>
          <w:tcPr>
            <w:tcW w:w="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49</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NO</w:t>
            </w:r>
          </w:p>
        </w:tc>
      </w:tr>
      <w:tr>
        <w:trPr>
          <w:trHeight w:val="196"/>
        </w:trPr>
        <w:tc>
          <w:tcPr>
            <w:tcW w:w="246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Head of Data, Information</w:t>
            </w:r>
          </w:p>
        </w:tc>
        <w:tc>
          <w:tcPr>
            <w:tcW w:w="98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48</w:t>
            </w:r>
          </w:p>
        </w:tc>
        <w:tc>
          <w:tcPr>
            <w:tcW w:w="136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NO</w:t>
            </w:r>
          </w:p>
        </w:tc>
      </w:tr>
      <w:tr>
        <w:trPr>
          <w:trHeight w:val="283"/>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Systems, &amp; Trust</w:t>
            </w:r>
          </w:p>
        </w:tc>
        <w:tc>
          <w:tcPr>
            <w:tcW w:w="9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64"/>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Head of Revenue</w:t>
            </w:r>
          </w:p>
        </w:tc>
        <w:tc>
          <w:tcPr>
            <w:tcW w:w="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46</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YES</w:t>
            </w:r>
          </w:p>
        </w:tc>
      </w:tr>
      <w:tr>
        <w:trPr>
          <w:trHeight w:val="196"/>
        </w:trPr>
        <w:tc>
          <w:tcPr>
            <w:tcW w:w="246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Head of Legal &amp;</w:t>
            </w:r>
          </w:p>
        </w:tc>
        <w:tc>
          <w:tcPr>
            <w:tcW w:w="98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56</w:t>
            </w:r>
          </w:p>
        </w:tc>
        <w:tc>
          <w:tcPr>
            <w:tcW w:w="136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YES</w:t>
            </w:r>
          </w:p>
        </w:tc>
      </w:tr>
      <w:tr>
        <w:trPr>
          <w:trHeight w:val="283"/>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Corporate Development</w:t>
            </w:r>
          </w:p>
        </w:tc>
        <w:tc>
          <w:tcPr>
            <w:tcW w:w="9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64"/>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Chief Financial Officer</w:t>
            </w:r>
          </w:p>
        </w:tc>
        <w:tc>
          <w:tcPr>
            <w:tcW w:w="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36</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NO</w:t>
            </w:r>
          </w:p>
        </w:tc>
      </w:tr>
      <w:tr>
        <w:trPr>
          <w:trHeight w:val="263"/>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Head of Social Impact</w:t>
            </w:r>
          </w:p>
        </w:tc>
        <w:tc>
          <w:tcPr>
            <w:tcW w:w="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45</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YES</w:t>
            </w:r>
          </w:p>
        </w:tc>
      </w:tr>
    </w:tbl>
    <w:p>
      <w:pPr>
        <w:sectPr>
          <w:pgSz w:w="11900" w:h="16838" w:orient="portrait"/>
          <w:cols w:equalWidth="0" w:num="1">
            <w:col w:w="11220"/>
          </w:cols>
          <w:pgMar w:left="320" w:top="1440" w:right="35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1143000</wp:posOffset>
            </wp:positionV>
            <wp:extent cx="2108835" cy="3771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210883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May 8, 2024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 Orta</w:t>
      </w:r>
    </w:p>
    <w:p>
      <w:pPr>
        <w:spacing w:after="0" w:line="24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u w:val="single" w:color="auto"/>
          <w:color w:val="auto"/>
        </w:rPr>
        <w:t>Terms of Separation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John:</w:t>
      </w:r>
    </w:p>
    <w:p>
      <w:pPr>
        <w:spacing w:after="0" w:line="200" w:lineRule="exact"/>
        <w:rPr>
          <w:sz w:val="20"/>
          <w:szCs w:val="20"/>
          <w:color w:val="auto"/>
        </w:rPr>
      </w:pPr>
    </w:p>
    <w:p>
      <w:pPr>
        <w:jc w:val="both"/>
        <w:ind w:hanging="1"/>
        <w:spacing w:after="0" w:line="250" w:lineRule="auto"/>
        <w:rPr>
          <w:sz w:val="20"/>
          <w:szCs w:val="20"/>
          <w:color w:val="auto"/>
        </w:rPr>
      </w:pPr>
      <w:r>
        <w:rPr>
          <w:rFonts w:ascii="Times New Roman" w:cs="Times New Roman" w:eastAsia="Times New Roman" w:hAnsi="Times New Roman"/>
          <w:sz w:val="22"/>
          <w:szCs w:val="22"/>
          <w:color w:val="auto"/>
        </w:rPr>
        <w:t>This letter confirms the agreement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between you and Nextdoor, Inc. (together with its parent,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concerning the terms of your separation and offers you the separation compensation we discussed in exchange for a general release of claims and covenant not to sue. If you wish to enter into this Agreement, please sign below no later than the expiration of the Consideration Period (as defined below)</w:t>
      </w:r>
    </w:p>
    <w:p>
      <w:pPr>
        <w:spacing w:after="0" w:line="167" w:lineRule="exact"/>
        <w:rPr>
          <w:sz w:val="20"/>
          <w:szCs w:val="20"/>
          <w:color w:val="auto"/>
        </w:rPr>
      </w:pPr>
    </w:p>
    <w:p>
      <w:pPr>
        <w:jc w:val="both"/>
        <w:ind w:firstLine="6"/>
        <w:spacing w:after="0" w:line="243" w:lineRule="auto"/>
        <w:tabs>
          <w:tab w:leader="none" w:pos="646"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As a result of a reduction in force, May 8, 2024 is your last day of employment with the Company (the “</w:t>
      </w:r>
      <w:r>
        <w:rPr>
          <w:rFonts w:ascii="Times New Roman" w:cs="Times New Roman" w:eastAsia="Times New Roman" w:hAnsi="Times New Roman"/>
          <w:sz w:val="22"/>
          <w:szCs w:val="22"/>
          <w:b w:val="1"/>
          <w:bCs w:val="1"/>
          <w:i w:val="1"/>
          <w:iCs w:val="1"/>
          <w:color w:val="auto"/>
        </w:rPr>
        <w:t>Separation Date</w:t>
      </w:r>
      <w:r>
        <w:rPr>
          <w:rFonts w:ascii="Times New Roman" w:cs="Times New Roman" w:eastAsia="Times New Roman" w:hAnsi="Times New Roman"/>
          <w:sz w:val="22"/>
          <w:szCs w:val="22"/>
          <w:color w:val="auto"/>
        </w:rPr>
        <w:t>”). Your termination qualifies as a Qualifying Termination pursuant to the Change in Control and Severance Agreement between you and the Company dated August 28, 2021 (the “</w:t>
      </w:r>
      <w:r>
        <w:rPr>
          <w:rFonts w:ascii="Times New Roman" w:cs="Times New Roman" w:eastAsia="Times New Roman" w:hAnsi="Times New Roman"/>
          <w:sz w:val="22"/>
          <w:szCs w:val="22"/>
          <w:b w:val="1"/>
          <w:bCs w:val="1"/>
          <w:i w:val="1"/>
          <w:iCs w:val="1"/>
          <w:color w:val="auto"/>
        </w:rPr>
        <w:t>CIC Severance Agreement</w:t>
      </w:r>
      <w:r>
        <w:rPr>
          <w:rFonts w:ascii="Times New Roman" w:cs="Times New Roman" w:eastAsia="Times New Roman" w:hAnsi="Times New Roman"/>
          <w:sz w:val="22"/>
          <w:szCs w:val="22"/>
          <w:color w:val="auto"/>
        </w:rPr>
        <w:t>”). You must resign from your position as Head of Legal at the Company and any other positions you have as an officer or director of the Company or any of its parents and/or subsidiaries, effective on the Separation Date.</w:t>
      </w:r>
    </w:p>
    <w:p>
      <w:pPr>
        <w:spacing w:after="0" w:line="177" w:lineRule="exact"/>
        <w:rPr>
          <w:rFonts w:ascii="Times New Roman" w:cs="Times New Roman" w:eastAsia="Times New Roman" w:hAnsi="Times New Roman"/>
          <w:sz w:val="22"/>
          <w:szCs w:val="22"/>
          <w:color w:val="010000"/>
        </w:rPr>
      </w:pPr>
    </w:p>
    <w:p>
      <w:pPr>
        <w:jc w:val="both"/>
        <w:ind w:firstLine="6"/>
        <w:spacing w:after="0" w:line="243" w:lineRule="auto"/>
        <w:tabs>
          <w:tab w:leader="none" w:pos="646"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Acknowledgment of Payment of Wages</w:t>
      </w:r>
      <w:r>
        <w:rPr>
          <w:rFonts w:ascii="Times New Roman" w:cs="Times New Roman" w:eastAsia="Times New Roman" w:hAnsi="Times New Roman"/>
          <w:sz w:val="22"/>
          <w:szCs w:val="22"/>
          <w:color w:val="auto"/>
        </w:rPr>
        <w:t>: By your signature below, you acknowledge that on May 8, 2024, we provided you one or more final paychecks for all wages, salary, commissions, bonuses, reimbursable expenses previously submitted by you, and any similar payments due you from the Company as of the Separation Date. By signing below, you acknowledge that the Company does not owe you any other amounts. Please promptly submit for reimbursement all final outstanding expenses, if any.</w:t>
      </w:r>
    </w:p>
    <w:p>
      <w:pPr>
        <w:spacing w:after="0" w:line="177" w:lineRule="exact"/>
        <w:rPr>
          <w:rFonts w:ascii="Times New Roman" w:cs="Times New Roman" w:eastAsia="Times New Roman" w:hAnsi="Times New Roman"/>
          <w:sz w:val="22"/>
          <w:szCs w:val="22"/>
          <w:color w:val="010000"/>
        </w:rPr>
      </w:pPr>
    </w:p>
    <w:p>
      <w:pPr>
        <w:jc w:val="both"/>
        <w:ind w:firstLine="6"/>
        <w:spacing w:after="0" w:line="250" w:lineRule="auto"/>
        <w:tabs>
          <w:tab w:leader="none" w:pos="646"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Separation Compensation</w:t>
      </w:r>
      <w:r>
        <w:rPr>
          <w:rFonts w:ascii="Times New Roman" w:cs="Times New Roman" w:eastAsia="Times New Roman" w:hAnsi="Times New Roman"/>
          <w:sz w:val="22"/>
          <w:szCs w:val="22"/>
          <w:color w:val="auto"/>
        </w:rPr>
        <w:t>: In exchange for your agreement to the general release and waiver of claims and covenant not to sue set forth below and your other promises herein, and consistent with the terms set forth in the CIC Severance Agreement, the Company agrees to provide you with the following:</w:t>
      </w:r>
    </w:p>
    <w:p>
      <w:pPr>
        <w:spacing w:after="0" w:line="168" w:lineRule="exact"/>
        <w:rPr>
          <w:sz w:val="20"/>
          <w:szCs w:val="20"/>
          <w:color w:val="auto"/>
        </w:rPr>
      </w:pPr>
    </w:p>
    <w:p>
      <w:pPr>
        <w:jc w:val="both"/>
        <w:ind w:firstLine="6"/>
        <w:spacing w:after="0" w:line="250" w:lineRule="auto"/>
        <w:tabs>
          <w:tab w:leader="none" w:pos="64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The Company agrees to pay you, within the deadlines set forth in the CIC Severance Agreement and following the Effective Date (as defined below) of this Agreement, a lump sum payment in the gross amount of $275,000 less applicable state and federal payroll deductions, which equals six (6) months of your base salary.</w:t>
      </w:r>
    </w:p>
    <w:p>
      <w:pPr>
        <w:sectPr>
          <w:pgSz w:w="11900" w:h="16838" w:orient="portrait"/>
          <w:cols w:equalWidth="0" w:num="1">
            <w:col w:w="11240"/>
          </w:cols>
          <w:pgMar w:left="320" w:top="1440" w:right="339" w:bottom="1440" w:gutter="0" w:footer="0" w:header="0"/>
        </w:sectPr>
      </w:pPr>
    </w:p>
    <w:bookmarkStart w:id="81" w:name="page82"/>
    <w:bookmarkEnd w:id="81"/>
    <w:p>
      <w:pPr>
        <w:jc w:val="both"/>
        <w:ind w:right="10660" w:firstLine="6"/>
        <w:spacing w:after="0" w:line="295" w:lineRule="auto"/>
        <w:tabs>
          <w:tab w:leader="none" w:pos="192"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Orta 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
        <w:spacing w:after="0" w:line="241" w:lineRule="auto"/>
        <w:tabs>
          <w:tab w:leader="none" w:pos="64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Upon your timely election to continue your existing health benefits under COBRA, and consistent with the terms of COBRA and the Company’s health insurance plan, the Company will pay 100% of the insurance premiums to continue your existing health benefits from the Separation Date through November 30, 2024 (the “COBRA Subsidy”), so long as you remain eligible for such continuation coverage. You will receive additional information in the coming weeks regarding the COBRA Subsidy. You must immediately notify the Company when you become eligible for health insurance coverage under any other health plan or program.</w:t>
      </w:r>
    </w:p>
    <w:p>
      <w:pPr>
        <w:spacing w:after="0" w:line="177" w:lineRule="exact"/>
        <w:rPr>
          <w:sz w:val="20"/>
          <w:szCs w:val="20"/>
          <w:color w:val="auto"/>
        </w:rPr>
      </w:pPr>
    </w:p>
    <w:p>
      <w:pPr>
        <w:jc w:val="both"/>
        <w:ind w:hanging="1"/>
        <w:spacing w:after="0" w:line="244" w:lineRule="auto"/>
        <w:rPr>
          <w:sz w:val="20"/>
          <w:szCs w:val="20"/>
          <w:color w:val="auto"/>
        </w:rPr>
      </w:pPr>
      <w:r>
        <w:rPr>
          <w:rFonts w:ascii="Times New Roman" w:cs="Times New Roman" w:eastAsia="Times New Roman" w:hAnsi="Times New Roman"/>
          <w:sz w:val="22"/>
          <w:szCs w:val="22"/>
          <w:color w:val="auto"/>
        </w:rPr>
        <w:t>By signing below, you acknowledge that you are receiving the separation compensation outlined in this paragraph in consideration for waiving your rights to claims referred to in this Agreement, that the separation compensation fully satisfies and exceeds any severance pay or benefit to which you might be entitled to, and that you would not otherwise be entitled to the separation compensation.</w:t>
      </w:r>
    </w:p>
    <w:p>
      <w:pPr>
        <w:spacing w:after="0" w:line="186" w:lineRule="exact"/>
        <w:rPr>
          <w:sz w:val="20"/>
          <w:szCs w:val="20"/>
          <w:color w:val="auto"/>
        </w:rPr>
      </w:pPr>
    </w:p>
    <w:p>
      <w:pPr>
        <w:jc w:val="both"/>
        <w:ind w:firstLine="6"/>
        <w:spacing w:after="0" w:line="241" w:lineRule="auto"/>
        <w:tabs>
          <w:tab w:leader="none" w:pos="646"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Return of Company Property</w:t>
      </w:r>
      <w:r>
        <w:rPr>
          <w:rFonts w:ascii="Times New Roman" w:cs="Times New Roman" w:eastAsia="Times New Roman" w:hAnsi="Times New Roman"/>
          <w:sz w:val="22"/>
          <w:szCs w:val="22"/>
          <w:color w:val="auto"/>
        </w:rPr>
        <w:t xml:space="preserve">: Following the Separation Date, and regardless of whether you sign the Agreement, you may retain, and the Company will transfer to you the ownership of, your Company-issued laptop, conditioned upon the Company’s remote wipe of the laptop and return to its original factory settings, and your full cooperation with that process. Regardless of whether you enter into this Agreement, please sign and return the attestations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Your eligibility for the Separation Compensation described in paragraph three (3) above is expressly conditioned upon your return of a signed copy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You hereby warrant to the Company that you have returned all other Company property and/or data of the Company of any type whatsoever that has been in your possession or control.</w:t>
      </w:r>
    </w:p>
    <w:p>
      <w:pPr>
        <w:spacing w:after="0" w:line="198" w:lineRule="exact"/>
        <w:rPr>
          <w:sz w:val="20"/>
          <w:szCs w:val="20"/>
          <w:color w:val="auto"/>
        </w:rPr>
      </w:pPr>
    </w:p>
    <w:p>
      <w:pPr>
        <w:ind w:right="380" w:firstLine="8"/>
        <w:spacing w:after="0" w:line="271" w:lineRule="auto"/>
        <w:tabs>
          <w:tab w:leader="none" w:pos="648"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Career Assistance</w:t>
      </w:r>
      <w:r>
        <w:rPr>
          <w:rFonts w:ascii="Times New Roman" w:cs="Times New Roman" w:eastAsia="Times New Roman" w:hAnsi="Times New Roman"/>
          <w:sz w:val="22"/>
          <w:szCs w:val="22"/>
          <w:color w:val="auto"/>
        </w:rPr>
        <w:t>: You will be provided career support through Next Power to assist you in the transition to your next position.</w:t>
      </w:r>
    </w:p>
    <w:p>
      <w:pPr>
        <w:spacing w:after="0" w:line="171" w:lineRule="exact"/>
        <w:rPr>
          <w:rFonts w:ascii="Times New Roman" w:cs="Times New Roman" w:eastAsia="Times New Roman" w:hAnsi="Times New Roman"/>
          <w:sz w:val="22"/>
          <w:szCs w:val="22"/>
          <w:color w:val="010000"/>
        </w:rPr>
      </w:pPr>
    </w:p>
    <w:p>
      <w:pPr>
        <w:jc w:val="both"/>
        <w:ind w:firstLine="6"/>
        <w:spacing w:after="0" w:line="239" w:lineRule="auto"/>
        <w:tabs>
          <w:tab w:leader="none" w:pos="646"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Post-Employment Obligations</w:t>
      </w:r>
      <w:r>
        <w:rPr>
          <w:rFonts w:ascii="Times New Roman" w:cs="Times New Roman" w:eastAsia="Times New Roman" w:hAnsi="Times New Roman"/>
          <w:sz w:val="22"/>
          <w:szCs w:val="22"/>
          <w:color w:val="auto"/>
        </w:rPr>
        <w:t>: You hereby acknowledge that: (a) you continue to be bound by the attached Employee Invention Assignment and Confidentiality Agreement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(b) as a result of your employment with the Company, you have had access to the Company’s proprietary and/or confidential information, and you will continue to hold all such information in strictest confidence and not make use of it on behalf of anyone; and (c) you must, and by your signature below confirm that you shall, deliver to the Company, no later than the Separation Date, all documents and data of any nature containing or pertaining to such information, and not take with you, or otherwise retain in any respect, any such documents or data or any reproduction thereof.</w:t>
      </w:r>
    </w:p>
    <w:p>
      <w:pPr>
        <w:spacing w:after="0" w:line="194" w:lineRule="exact"/>
        <w:rPr>
          <w:rFonts w:ascii="Times New Roman" w:cs="Times New Roman" w:eastAsia="Times New Roman" w:hAnsi="Times New Roman"/>
          <w:sz w:val="22"/>
          <w:szCs w:val="22"/>
          <w:color w:val="010000"/>
        </w:rPr>
      </w:pPr>
    </w:p>
    <w:p>
      <w:pPr>
        <w:jc w:val="both"/>
        <w:ind w:firstLine="6"/>
        <w:spacing w:after="0" w:line="239" w:lineRule="auto"/>
        <w:tabs>
          <w:tab w:leader="none" w:pos="646"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Stock Options and Restricted Stock Units</w:t>
      </w:r>
      <w:r>
        <w:rPr>
          <w:rFonts w:ascii="Times New Roman" w:cs="Times New Roman" w:eastAsia="Times New Roman" w:hAnsi="Times New Roman"/>
          <w:sz w:val="22"/>
          <w:szCs w:val="22"/>
          <w:color w:val="auto"/>
        </w:rPr>
        <w:t>: The Company previously granted you certain awards of stock options (collectively, the “</w:t>
      </w: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and restricted stock units (collectively, the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under the Company’s 2018 Equity Incentive Plan (the “</w:t>
      </w:r>
      <w:r>
        <w:rPr>
          <w:rFonts w:ascii="Times New Roman" w:cs="Times New Roman" w:eastAsia="Times New Roman" w:hAnsi="Times New Roman"/>
          <w:sz w:val="22"/>
          <w:szCs w:val="22"/>
          <w:b w:val="1"/>
          <w:bCs w:val="1"/>
          <w:color w:val="auto"/>
        </w:rPr>
        <w:t>2018 Plan</w:t>
      </w:r>
      <w:r>
        <w:rPr>
          <w:rFonts w:ascii="Times New Roman" w:cs="Times New Roman" w:eastAsia="Times New Roman" w:hAnsi="Times New Roman"/>
          <w:sz w:val="22"/>
          <w:szCs w:val="22"/>
          <w:color w:val="auto"/>
        </w:rPr>
        <w:t>”) and the Nextdoor Holdings, Inc. 2021 Equity Incentive Plan (the “</w:t>
      </w:r>
      <w:r>
        <w:rPr>
          <w:rFonts w:ascii="Times New Roman" w:cs="Times New Roman" w:eastAsia="Times New Roman" w:hAnsi="Times New Roman"/>
          <w:sz w:val="22"/>
          <w:szCs w:val="22"/>
          <w:b w:val="1"/>
          <w:bCs w:val="1"/>
          <w:color w:val="auto"/>
        </w:rPr>
        <w:t>2021 Plan</w:t>
      </w:r>
      <w:r>
        <w:rPr>
          <w:rFonts w:ascii="Times New Roman" w:cs="Times New Roman" w:eastAsia="Times New Roman" w:hAnsi="Times New Roman"/>
          <w:sz w:val="22"/>
          <w:szCs w:val="22"/>
          <w:color w:val="auto"/>
        </w:rPr>
        <w:t>” and together with the 2018 Plan, the “</w:t>
      </w:r>
      <w:r>
        <w:rPr>
          <w:rFonts w:ascii="Times New Roman" w:cs="Times New Roman" w:eastAsia="Times New Roman" w:hAnsi="Times New Roman"/>
          <w:sz w:val="22"/>
          <w:szCs w:val="22"/>
          <w:b w:val="1"/>
          <w:bCs w:val="1"/>
          <w:color w:val="auto"/>
        </w:rPr>
        <w:t>Plans</w:t>
      </w:r>
      <w:r>
        <w:rPr>
          <w:rFonts w:ascii="Times New Roman" w:cs="Times New Roman" w:eastAsia="Times New Roman" w:hAnsi="Times New Roman"/>
          <w:sz w:val="22"/>
          <w:szCs w:val="22"/>
          <w:color w:val="auto"/>
        </w:rPr>
        <w:t xml:space="preserve">”), as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sets forth the unvested, vested, and exercised shares subject to the Options as of the Separation Date, and the unvested and vested shares subject to the RSUs as of the Separation Date. Because your employment is terminating on the Separation Date, none of the unvested shares subject to your Options or RSUs can ever vest.</w:t>
      </w:r>
    </w:p>
    <w:p>
      <w:pPr>
        <w:sectPr>
          <w:pgSz w:w="11900" w:h="16838" w:orient="portrait"/>
          <w:cols w:equalWidth="0" w:num="1">
            <w:col w:w="11240"/>
          </w:cols>
          <w:pgMar w:left="320" w:top="126" w:right="339" w:bottom="1440" w:gutter="0" w:footer="0" w:header="0"/>
        </w:sectPr>
      </w:pPr>
    </w:p>
    <w:bookmarkStart w:id="82" w:name="page83"/>
    <w:bookmarkEnd w:id="82"/>
    <w:p>
      <w:pPr>
        <w:jc w:val="both"/>
        <w:ind w:right="10660" w:firstLine="6"/>
        <w:spacing w:after="0" w:line="295" w:lineRule="auto"/>
        <w:tabs>
          <w:tab w:leader="none" w:pos="19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Orta 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Your rights concerning the Options and RSUs will continue to be governed by their respective Plans, Stock Option Agreements and Restricted Stock Unit Agreements (collectively, the “</w:t>
      </w:r>
      <w:r>
        <w:rPr>
          <w:rFonts w:ascii="Times New Roman" w:cs="Times New Roman" w:eastAsia="Times New Roman" w:hAnsi="Times New Roman"/>
          <w:sz w:val="22"/>
          <w:szCs w:val="22"/>
          <w:b w:val="1"/>
          <w:bCs w:val="1"/>
          <w:color w:val="auto"/>
        </w:rPr>
        <w:t>Stock Plan Agreements</w:t>
      </w:r>
      <w:r>
        <w:rPr>
          <w:rFonts w:ascii="Times New Roman" w:cs="Times New Roman" w:eastAsia="Times New Roman" w:hAnsi="Times New Roman"/>
          <w:sz w:val="22"/>
          <w:szCs w:val="22"/>
          <w:color w:val="auto"/>
        </w:rPr>
        <w:t>”). Per the Stock Option Agreements governing the Options, you will have three (3) months following the Separation Date to exercise any unexercised vested shares subject to the Options. After this date, you will no longer have a right to exercise the Options as to any shares.</w:t>
      </w:r>
    </w:p>
    <w:p>
      <w:pPr>
        <w:spacing w:after="0" w:line="173" w:lineRule="exact"/>
        <w:rPr>
          <w:sz w:val="20"/>
          <w:szCs w:val="20"/>
          <w:color w:val="auto"/>
        </w:rPr>
      </w:pPr>
    </w:p>
    <w:p>
      <w:pPr>
        <w:ind w:left="660" w:hanging="654"/>
        <w:spacing w:after="0"/>
        <w:tabs>
          <w:tab w:leader="none" w:pos="660"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 Release and Waiver of Claims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
        <w:spacing w:after="0" w:line="250" w:lineRule="auto"/>
        <w:tabs>
          <w:tab w:leader="none" w:pos="64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payments and promises set forth in this Agreement are in full satisfaction of all of your rights pursuant to your CIC Severance Agreement, as well as all accrued salary, vacation pay, bonus and commission pay, profit-sharing, stock, stock options or other ownership interest in the Company, termination benefits or other compensation to which you may be entitled by virtue of your employment with the Company or your separation from the Company. To the fullest extent permitted by law, you hereby release and waive any other claims you may have against the Company and its owners, agents, officers, shareholders, employees, directors, attorneys, subscribers, subsidiaries, affiliates, successors and assigns (collectively “</w:t>
      </w:r>
      <w:r>
        <w:rPr>
          <w:rFonts w:ascii="Times New Roman" w:cs="Times New Roman" w:eastAsia="Times New Roman" w:hAnsi="Times New Roman"/>
          <w:sz w:val="21"/>
          <w:szCs w:val="21"/>
          <w:b w:val="1"/>
          <w:bCs w:val="1"/>
          <w:i w:val="1"/>
          <w:iCs w:val="1"/>
          <w:color w:val="auto"/>
        </w:rPr>
        <w:t>Releasees</w:t>
      </w:r>
      <w:r>
        <w:rPr>
          <w:rFonts w:ascii="Times New Roman" w:cs="Times New Roman" w:eastAsia="Times New Roman" w:hAnsi="Times New Roman"/>
          <w:sz w:val="21"/>
          <w:szCs w:val="21"/>
          <w:color w:val="auto"/>
        </w:rPr>
        <w:t>”),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your separation of employment, claims under Title VII of the 1964 Civil Rights Act, as amended, the California Fair Employment and Housing Act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w:t>
      </w:r>
    </w:p>
    <w:p>
      <w:pPr>
        <w:spacing w:after="0" w:line="172" w:lineRule="exact"/>
        <w:rPr>
          <w:rFonts w:ascii="Times New Roman" w:cs="Times New Roman" w:eastAsia="Times New Roman" w:hAnsi="Times New Roman"/>
          <w:sz w:val="21"/>
          <w:szCs w:val="21"/>
          <w:color w:val="auto"/>
        </w:rPr>
      </w:pPr>
    </w:p>
    <w:p>
      <w:pPr>
        <w:ind w:firstLine="6"/>
        <w:spacing w:after="0" w:line="258" w:lineRule="auto"/>
        <w:tabs>
          <w:tab w:leader="none" w:pos="64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you expressly waive any benefits of Section 1542 of the Civil Code of the State of California, which provides as follows:</w:t>
      </w:r>
    </w:p>
    <w:p>
      <w:pPr>
        <w:spacing w:after="0" w:line="172" w:lineRule="exact"/>
        <w:rPr>
          <w:sz w:val="20"/>
          <w:szCs w:val="20"/>
          <w:color w:val="auto"/>
        </w:rPr>
      </w:pPr>
    </w:p>
    <w:p>
      <w:pPr>
        <w:jc w:val="both"/>
        <w:ind w:hanging="1"/>
        <w:spacing w:after="0" w:line="244"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3" w:lineRule="exact"/>
        <w:rPr>
          <w:sz w:val="20"/>
          <w:szCs w:val="20"/>
          <w:color w:val="auto"/>
        </w:rPr>
      </w:pPr>
    </w:p>
    <w:p>
      <w:pPr>
        <w:jc w:val="both"/>
        <w:ind w:firstLine="6"/>
        <w:spacing w:after="0" w:line="244" w:lineRule="auto"/>
        <w:tabs>
          <w:tab w:leader="none" w:pos="64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and the Company do not intend to release claims that you may not release as a matter of law, including but not limited to claims for indemnity under California Labor Code Section 2802, or any claims for enforcement of this Agreement. To the fullest extent permitted by law, any dispute regarding the scope of this general release shall be determined by an arbitrator under the procedures set forth in the arbitration clause below.</w:t>
      </w:r>
    </w:p>
    <w:p>
      <w:pPr>
        <w:spacing w:after="0" w:line="186" w:lineRule="exact"/>
        <w:rPr>
          <w:sz w:val="20"/>
          <w:szCs w:val="20"/>
          <w:color w:val="auto"/>
        </w:rPr>
      </w:pPr>
    </w:p>
    <w:p>
      <w:pPr>
        <w:ind w:left="660" w:hanging="654"/>
        <w:spacing w:after="0"/>
        <w:tabs>
          <w:tab w:leader="none" w:pos="660"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Covenant Not to Sue</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26" w:right="339" w:bottom="1440" w:gutter="0" w:footer="0" w:header="0"/>
        </w:sectPr>
      </w:pPr>
    </w:p>
    <w:bookmarkStart w:id="83" w:name="page84"/>
    <w:bookmarkEnd w:id="83"/>
    <w:p>
      <w:pPr>
        <w:jc w:val="both"/>
        <w:ind w:left="-6" w:right="10660" w:firstLine="6"/>
        <w:spacing w:after="0" w:line="295" w:lineRule="auto"/>
        <w:tabs>
          <w:tab w:leader="none" w:pos="186"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Orta 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 w:firstLine="6"/>
        <w:spacing w:after="0"/>
        <w:tabs>
          <w:tab w:leader="none" w:pos="64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law, at no time subsequent to the execution of this Agreement will you pursue, or cause or knowingly permit the prosecution, in any state, federal or foreign court, or before any local, state, federal or foreign administrative agency, or any other tribunal, of any charge, claim or action of any kind, nature and character whatsoever, known or unknown, which you may now have, have ever had, or may in the future have against Releasees, which is based in whole or in part on any matter released by this Agreement.</w:t>
      </w:r>
    </w:p>
    <w:p>
      <w:pPr>
        <w:spacing w:after="0" w:line="193" w:lineRule="exact"/>
        <w:rPr>
          <w:rFonts w:ascii="Times New Roman" w:cs="Times New Roman" w:eastAsia="Times New Roman" w:hAnsi="Times New Roman"/>
          <w:sz w:val="22"/>
          <w:szCs w:val="22"/>
          <w:color w:val="auto"/>
        </w:rPr>
      </w:pPr>
    </w:p>
    <w:p>
      <w:pPr>
        <w:ind w:left="-6" w:firstLine="6"/>
        <w:spacing w:after="0" w:line="258" w:lineRule="auto"/>
        <w:tabs>
          <w:tab w:leader="none" w:pos="6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shall prohibit or impair you or the Company from complying with all applicable laws, nor shall this Agreement be construed to obligate either party to commit (or aid or abet in the commission of) any unlawful act.</w:t>
      </w:r>
    </w:p>
    <w:p>
      <w:pPr>
        <w:spacing w:after="0" w:line="172" w:lineRule="exact"/>
        <w:rPr>
          <w:sz w:val="20"/>
          <w:szCs w:val="20"/>
          <w:color w:val="auto"/>
        </w:rPr>
      </w:pPr>
    </w:p>
    <w:p>
      <w:pPr>
        <w:jc w:val="both"/>
        <w:ind w:left="-6" w:firstLine="6"/>
        <w:spacing w:after="0" w:line="237" w:lineRule="auto"/>
        <w:tabs>
          <w:tab w:leader="none" w:pos="640"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Protected Rights</w:t>
      </w:r>
      <w:r>
        <w:rPr>
          <w:rFonts w:ascii="Times New Roman" w:cs="Times New Roman" w:eastAsia="Times New Roman" w:hAnsi="Times New Roman"/>
          <w:sz w:val="22"/>
          <w:szCs w:val="22"/>
          <w:color w:val="auto"/>
        </w:rPr>
        <w:t>: You understand that nothing in this Agreement, including the General Release and Waiver of Claims, Covenant Not to Sue, Non-disparagement and Confidentiality sections contained herein, limits, impedes or restricts: (a) your ability to file a charge or complaint with the Equal Employment Opportunity Commission, the National Labor Relations Board (the “</w:t>
      </w:r>
      <w:r>
        <w:rPr>
          <w:rFonts w:ascii="Times New Roman" w:cs="Times New Roman" w:eastAsia="Times New Roman" w:hAnsi="Times New Roman"/>
          <w:sz w:val="22"/>
          <w:szCs w:val="22"/>
          <w:b w:val="1"/>
          <w:bCs w:val="1"/>
          <w:i w:val="1"/>
          <w:iCs w:val="1"/>
          <w:color w:val="auto"/>
        </w:rPr>
        <w:t>NLRB</w:t>
      </w:r>
      <w:r>
        <w:rPr>
          <w:rFonts w:ascii="Times New Roman" w:cs="Times New Roman" w:eastAsia="Times New Roman" w:hAnsi="Times New Roman"/>
          <w:sz w:val="22"/>
          <w:szCs w:val="22"/>
          <w:color w:val="auto"/>
        </w:rPr>
        <w:t>”), the Occupational Safety and Health Administration, the Securities and Exchange Commission or any other federal, state or local government agency or commission (“</w:t>
      </w:r>
      <w:r>
        <w:rPr>
          <w:rFonts w:ascii="Times New Roman" w:cs="Times New Roman" w:eastAsia="Times New Roman" w:hAnsi="Times New Roman"/>
          <w:sz w:val="22"/>
          <w:szCs w:val="22"/>
          <w:b w:val="1"/>
          <w:bCs w:val="1"/>
          <w:i w:val="1"/>
          <w:iCs w:val="1"/>
          <w:color w:val="auto"/>
        </w:rPr>
        <w:t>Government Agencies</w:t>
      </w:r>
      <w:r>
        <w:rPr>
          <w:rFonts w:ascii="Times New Roman" w:cs="Times New Roman" w:eastAsia="Times New Roman" w:hAnsi="Times New Roman"/>
          <w:sz w:val="22"/>
          <w:szCs w:val="22"/>
          <w:color w:val="auto"/>
        </w:rPr>
        <w:t>”); or (b) if you are a non-supervisory (as defined under the National Labor Relations Act (the “</w:t>
      </w:r>
      <w:r>
        <w:rPr>
          <w:rFonts w:ascii="Times New Roman" w:cs="Times New Roman" w:eastAsia="Times New Roman" w:hAnsi="Times New Roman"/>
          <w:sz w:val="22"/>
          <w:szCs w:val="22"/>
          <w:b w:val="1"/>
          <w:bCs w:val="1"/>
          <w:i w:val="1"/>
          <w:iCs w:val="1"/>
          <w:color w:val="auto"/>
        </w:rPr>
        <w:t>NLRA</w:t>
      </w:r>
      <w:r>
        <w:rPr>
          <w:rFonts w:ascii="Times New Roman" w:cs="Times New Roman" w:eastAsia="Times New Roman" w:hAnsi="Times New Roman"/>
          <w:sz w:val="22"/>
          <w:szCs w:val="22"/>
          <w:color w:val="auto"/>
        </w:rPr>
        <w:t>”)) Company employee, you from exercising your protected rights under Section 7 of the NLRA, including your right to file an unfair labor practice charge with the NLRB and/or assist other current or former Company employees in doing so. You further understand that this Agreement does not limit your ability to communicate with any Government Agencies or otherwise participate and/or assist in any investigation or proceeding that may be conducted by any Government Agency, including providing documents (including this Agreement) or other information, without notice to the Company. This Agreement does not limit your right to receive an award for information provided to any Government Agencies or prohibit you from providing truthful information in response to a subpoena or other legal process.</w:t>
      </w:r>
    </w:p>
    <w:p>
      <w:pPr>
        <w:spacing w:after="0" w:line="188" w:lineRule="exact"/>
        <w:rPr>
          <w:rFonts w:ascii="Times New Roman" w:cs="Times New Roman" w:eastAsia="Times New Roman" w:hAnsi="Times New Roman"/>
          <w:sz w:val="22"/>
          <w:szCs w:val="22"/>
          <w:color w:val="010000"/>
        </w:rPr>
      </w:pPr>
    </w:p>
    <w:p>
      <w:pPr>
        <w:jc w:val="both"/>
        <w:ind w:left="-6" w:firstLine="6"/>
        <w:spacing w:after="0"/>
        <w:tabs>
          <w:tab w:leader="none" w:pos="632"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Subject to the Protected Rights section above, and otherwise to the fullest extent permitted by applicable law, you agree that you will not, directly or indirectly, make any disparaging oral or written statements that are disloyal or maliciously untrue (and specifically, made with knowledge of their falsity or with reckless disregard for the truth or falsity of the statements) regarding the Company and/or its products, services, directors, officers, employees and affiliated entities, including, but not limited to, any statement posted on social media (including online company review sites) or otherwise on the Internet, whether or not made anonymously or with attribution. Nothing in this Agreement prevents you from discussing or disclosing information about unlawful acts in the workplace, such as harassment or discrimination or any other conduct that you have reason to believe is unlawful.</w:t>
      </w:r>
    </w:p>
    <w:p>
      <w:pPr>
        <w:spacing w:after="0" w:line="176" w:lineRule="exact"/>
        <w:rPr>
          <w:rFonts w:ascii="Times New Roman" w:cs="Times New Roman" w:eastAsia="Times New Roman" w:hAnsi="Times New Roman"/>
          <w:sz w:val="22"/>
          <w:szCs w:val="22"/>
          <w:color w:val="010000"/>
        </w:rPr>
      </w:pPr>
    </w:p>
    <w:p>
      <w:pPr>
        <w:jc w:val="both"/>
        <w:ind w:left="-6" w:firstLine="6"/>
        <w:spacing w:after="0" w:line="243" w:lineRule="auto"/>
        <w:tabs>
          <w:tab w:leader="none" w:pos="640"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Except for any claim for injunctive relief arising out of a breach of a party’s obligations to protect the other’s proprietary information, the parties agree to arbitrate, in San Francisco, California through JAMS, any and all disputes or claims arising out of or related to the validity, enforceability, interpretation, performance or breach of this Agreement, whether sounding in tort, contract, statutory violation or otherwise, or involving the construction or application or any of the terms, provisions, or conditions of this Agreement. Any arbitration may</w:t>
      </w:r>
    </w:p>
    <w:p>
      <w:pPr>
        <w:sectPr>
          <w:pgSz w:w="11900" w:h="16838" w:orient="portrait"/>
          <w:cols w:equalWidth="0" w:num="1">
            <w:col w:w="11234"/>
          </w:cols>
          <w:pgMar w:left="326" w:top="126" w:right="339" w:bottom="1440" w:gutter="0" w:footer="0" w:header="0"/>
        </w:sectPr>
      </w:pPr>
    </w:p>
    <w:bookmarkStart w:id="84" w:name="page85"/>
    <w:bookmarkEnd w:id="84"/>
    <w:p>
      <w:pPr>
        <w:jc w:val="both"/>
        <w:ind w:right="10660" w:firstLine="6"/>
        <w:spacing w:after="0" w:line="295" w:lineRule="auto"/>
        <w:tabs>
          <w:tab w:leader="none" w:pos="192"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Orta 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 initiated by a written demand to the other party. The arbitrator's decision shall be final, binding, and conclusive. The parties further agree 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p>
    <w:p>
      <w:pPr>
        <w:spacing w:after="0" w:line="173" w:lineRule="exact"/>
        <w:rPr>
          <w:sz w:val="20"/>
          <w:szCs w:val="20"/>
          <w:color w:val="auto"/>
        </w:rPr>
      </w:pPr>
    </w:p>
    <w:p>
      <w:pPr>
        <w:jc w:val="both"/>
        <w:ind w:firstLine="6"/>
        <w:spacing w:after="0" w:line="250" w:lineRule="auto"/>
        <w:tabs>
          <w:tab w:leader="none" w:pos="646"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spacing w:after="0" w:line="181" w:lineRule="exact"/>
        <w:rPr>
          <w:rFonts w:ascii="Times New Roman" w:cs="Times New Roman" w:eastAsia="Times New Roman" w:hAnsi="Times New Roman"/>
          <w:sz w:val="22"/>
          <w:szCs w:val="22"/>
          <w:color w:val="010000"/>
        </w:rPr>
      </w:pPr>
    </w:p>
    <w:p>
      <w:pPr>
        <w:jc w:val="both"/>
        <w:ind w:firstLine="6"/>
        <w:spacing w:after="0" w:line="244" w:lineRule="auto"/>
        <w:tabs>
          <w:tab w:leader="none" w:pos="646"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Subject to the Protected Rights section above, and otherwise to the fullest extent permitted by applicable law, the contents, terms and conditions of this Agreement must be kept confidential by you and may not be disclosed except to your immediate family, accountant or attorneys or pursuant to subpoena or court order.</w:t>
      </w:r>
    </w:p>
    <w:p>
      <w:pPr>
        <w:spacing w:after="0" w:line="186" w:lineRule="exact"/>
        <w:rPr>
          <w:rFonts w:ascii="Times New Roman" w:cs="Times New Roman" w:eastAsia="Times New Roman" w:hAnsi="Times New Roman"/>
          <w:sz w:val="22"/>
          <w:szCs w:val="22"/>
          <w:color w:val="010000"/>
        </w:rPr>
      </w:pPr>
    </w:p>
    <w:p>
      <w:pPr>
        <w:jc w:val="both"/>
        <w:ind w:firstLine="6"/>
        <w:spacing w:after="0"/>
        <w:tabs>
          <w:tab w:leader="none" w:pos="646"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Admission of Liability</w:t>
      </w:r>
      <w:r>
        <w:rPr>
          <w:rFonts w:ascii="Times New Roman" w:cs="Times New Roman" w:eastAsia="Times New Roman" w:hAnsi="Times New Roman"/>
          <w:sz w:val="22"/>
          <w:szCs w:val="22"/>
          <w:color w:val="auto"/>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California Evidence Code Section 1152 and/or any other state or federal provisions of similar effect.</w:t>
      </w:r>
    </w:p>
    <w:p>
      <w:pPr>
        <w:spacing w:after="0" w:line="193" w:lineRule="exact"/>
        <w:rPr>
          <w:rFonts w:ascii="Times New Roman" w:cs="Times New Roman" w:eastAsia="Times New Roman" w:hAnsi="Times New Roman"/>
          <w:sz w:val="22"/>
          <w:szCs w:val="22"/>
          <w:color w:val="010000"/>
        </w:rPr>
      </w:pPr>
    </w:p>
    <w:p>
      <w:pPr>
        <w:jc w:val="both"/>
        <w:ind w:firstLine="6"/>
        <w:spacing w:after="0" w:line="252" w:lineRule="auto"/>
        <w:tabs>
          <w:tab w:leader="none" w:pos="646" w:val="left"/>
        </w:tabs>
        <w:numPr>
          <w:ilvl w:val="0"/>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Complete and Voluntary Agreement</w:t>
      </w:r>
      <w:r>
        <w:rPr>
          <w:rFonts w:ascii="Times New Roman" w:cs="Times New Roman" w:eastAsia="Times New Roman" w:hAnsi="Times New Roman"/>
          <w:sz w:val="21"/>
          <w:szCs w:val="21"/>
          <w:color w:val="auto"/>
        </w:rPr>
        <w:t>: This Agreement, together with all exhibits hereto, constitute the entire agreement between you and Releasees with respect to the subject matter hereof and supersedes all prior negotiations and agreements, whether written or oral, relating to such subject matter (including, without limitation, the CIC Severance Agreement).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w:t>
      </w:r>
    </w:p>
    <w:p>
      <w:pPr>
        <w:spacing w:after="0" w:line="169" w:lineRule="exact"/>
        <w:rPr>
          <w:rFonts w:ascii="Times New Roman" w:cs="Times New Roman" w:eastAsia="Times New Roman" w:hAnsi="Times New Roman"/>
          <w:sz w:val="21"/>
          <w:szCs w:val="21"/>
          <w:color w:val="010000"/>
        </w:rPr>
      </w:pPr>
    </w:p>
    <w:p>
      <w:pPr>
        <w:jc w:val="both"/>
        <w:ind w:firstLine="6"/>
        <w:spacing w:after="0" w:line="241" w:lineRule="auto"/>
        <w:tabs>
          <w:tab w:leader="none" w:pos="646"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part of it is found to be invalid or unenforceable, including, without limitation, any part of the General Release, Covenant Not to Sue, Non-disparagement and/or Confidentiality sections above,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spacing w:after="0" w:line="190" w:lineRule="exact"/>
        <w:rPr>
          <w:rFonts w:ascii="Times New Roman" w:cs="Times New Roman" w:eastAsia="Times New Roman" w:hAnsi="Times New Roman"/>
          <w:sz w:val="22"/>
          <w:szCs w:val="22"/>
          <w:color w:val="010000"/>
        </w:rPr>
      </w:pPr>
    </w:p>
    <w:p>
      <w:pPr>
        <w:jc w:val="both"/>
        <w:ind w:firstLine="6"/>
        <w:spacing w:after="0" w:line="244" w:lineRule="auto"/>
        <w:tabs>
          <w:tab w:leader="none" w:pos="646"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Modification; Counterparts; Electronic/PDF Signatures</w:t>
      </w:r>
      <w:r>
        <w:rPr>
          <w:rFonts w:ascii="Times New Roman" w:cs="Times New Roman" w:eastAsia="Times New Roman" w:hAnsi="Times New Roman"/>
          <w:sz w:val="22"/>
          <w:szCs w:val="22"/>
          <w:color w:val="auto"/>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w:t>
      </w:r>
    </w:p>
    <w:p>
      <w:pPr>
        <w:sectPr>
          <w:pgSz w:w="11900" w:h="16838" w:orient="portrait"/>
          <w:cols w:equalWidth="0" w:num="1">
            <w:col w:w="11240"/>
          </w:cols>
          <w:pgMar w:left="320" w:top="126" w:right="339" w:bottom="1440" w:gutter="0" w:footer="0" w:header="0"/>
        </w:sectPr>
      </w:pPr>
    </w:p>
    <w:bookmarkStart w:id="85" w:name="page86"/>
    <w:bookmarkEnd w:id="85"/>
    <w:p>
      <w:pPr>
        <w:jc w:val="both"/>
        <w:ind w:right="10660" w:firstLine="6"/>
        <w:spacing w:after="0" w:line="295" w:lineRule="auto"/>
        <w:tabs>
          <w:tab w:leader="none" w:pos="192"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Orta 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constitute one and the same instrument. Execution of an electronic or PDF copy shall have the same force and effect as execution of an original, and a copy of a signature will be admissible in any legal proceeding as if an original.</w:t>
      </w:r>
    </w:p>
    <w:p>
      <w:pPr>
        <w:spacing w:after="0" w:line="172" w:lineRule="exact"/>
        <w:rPr>
          <w:sz w:val="20"/>
          <w:szCs w:val="20"/>
          <w:color w:val="auto"/>
        </w:rPr>
      </w:pPr>
    </w:p>
    <w:p>
      <w:pPr>
        <w:jc w:val="both"/>
        <w:ind w:firstLine="6"/>
        <w:spacing w:after="0" w:line="238" w:lineRule="auto"/>
        <w:tabs>
          <w:tab w:leader="none" w:pos="646"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Review of Separation Agreement; Expiration of Offer:</w:t>
      </w:r>
      <w:r>
        <w:rPr>
          <w:rFonts w:ascii="Times New Roman" w:cs="Times New Roman" w:eastAsia="Times New Roman" w:hAnsi="Times New Roman"/>
          <w:sz w:val="22"/>
          <w:szCs w:val="22"/>
          <w:color w:val="auto"/>
        </w:rPr>
        <w:t xml:space="preserve"> You understand that you may take up to forty-five (45) days to consider this Agreement (the “</w:t>
      </w:r>
      <w:r>
        <w:rPr>
          <w:rFonts w:ascii="Times New Roman" w:cs="Times New Roman" w:eastAsia="Times New Roman" w:hAnsi="Times New Roman"/>
          <w:sz w:val="22"/>
          <w:szCs w:val="22"/>
          <w:b w:val="1"/>
          <w:bCs w:val="1"/>
          <w:i w:val="1"/>
          <w:iCs w:val="1"/>
          <w:color w:val="auto"/>
        </w:rPr>
        <w:t>Consideration Period</w:t>
      </w:r>
      <w:r>
        <w:rPr>
          <w:rFonts w:ascii="Times New Roman" w:cs="Times New Roman" w:eastAsia="Times New Roman" w:hAnsi="Times New Roman"/>
          <w:sz w:val="22"/>
          <w:szCs w:val="22"/>
          <w:color w:val="auto"/>
        </w:rPr>
        <w:t>”). The offer set forth in this Agreement, if not accepted by you before the end of the Consideration Period, will automatically expire. By signing below, you affirm that you were advised to consult with an attorney prior to signing this Agreement. You also acknowledge that at the time you were first provided this Agreement to consider, you were also provided with the attached document entitled “</w:t>
      </w:r>
      <w:r>
        <w:rPr>
          <w:rFonts w:ascii="Times New Roman" w:cs="Times New Roman" w:eastAsia="Times New Roman" w:hAnsi="Times New Roman"/>
          <w:sz w:val="22"/>
          <w:szCs w:val="22"/>
          <w:b w:val="1"/>
          <w:bCs w:val="1"/>
          <w:i w:val="1"/>
          <w:iCs w:val="1"/>
          <w:color w:val="auto"/>
        </w:rPr>
        <w:t>Information Concerning Reduction in Force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 You also understand you may revoke this Agreement within seven (7) days of signing this document and that the separation compensation to be provided to you pursuant to Section 3 will be provided only after the expiration of that seven (7) day revocation period.</w:t>
      </w:r>
    </w:p>
    <w:p>
      <w:pPr>
        <w:spacing w:after="0" w:line="193" w:lineRule="exact"/>
        <w:rPr>
          <w:rFonts w:ascii="Times New Roman" w:cs="Times New Roman" w:eastAsia="Times New Roman" w:hAnsi="Times New Roman"/>
          <w:sz w:val="22"/>
          <w:szCs w:val="22"/>
          <w:color w:val="010000"/>
        </w:rPr>
      </w:pPr>
    </w:p>
    <w:p>
      <w:pPr>
        <w:ind w:firstLine="6"/>
        <w:spacing w:after="0" w:line="258" w:lineRule="auto"/>
        <w:tabs>
          <w:tab w:leader="none" w:pos="646"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Agreement is effective on the eighth (8th) day after you sign it and without revocation by you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010000"/>
        </w:rPr>
      </w:pPr>
    </w:p>
    <w:p>
      <w:pPr>
        <w:ind w:firstLine="6"/>
        <w:spacing w:after="0" w:line="258" w:lineRule="auto"/>
        <w:tabs>
          <w:tab w:leader="none" w:pos="646"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California.</w:t>
      </w:r>
    </w:p>
    <w:p>
      <w:pPr>
        <w:spacing w:after="0" w:line="158" w:lineRule="exact"/>
        <w:rPr>
          <w:rFonts w:ascii="Times New Roman" w:cs="Times New Roman" w:eastAsia="Times New Roman" w:hAnsi="Times New Roman"/>
          <w:sz w:val="22"/>
          <w:szCs w:val="22"/>
          <w:color w:val="010000"/>
        </w:rPr>
      </w:pPr>
    </w:p>
    <w:p>
      <w:pPr>
        <w:ind w:firstLine="656"/>
        <w:spacing w:after="0" w:line="271" w:lineRule="auto"/>
        <w:tabs>
          <w:tab w:leader="none" w:pos="129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agree to abide by the terms outlined in this Agreement, please sign and return it to me. I wish you the best in your future endeavors.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Nextdoor,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Sophia Schwartz________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Sophia Schwartz, General Counsel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READ, UNDERSTOOD AND AGREED</w:t>
      </w:r>
    </w:p>
    <w:p>
      <w:pPr>
        <w:spacing w:after="0" w:line="200" w:lineRule="exact"/>
        <w:rPr>
          <w:sz w:val="20"/>
          <w:szCs w:val="20"/>
          <w:color w:val="auto"/>
        </w:rPr>
      </w:pPr>
    </w:p>
    <w:p>
      <w:pPr>
        <w:spacing w:after="0" w:line="276"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22"/>
          <w:szCs w:val="22"/>
          <w:u w:val="single" w:color="auto"/>
          <w:color w:val="auto"/>
        </w:rPr>
        <w:t>/s/John Orta____</w:t>
      </w:r>
      <w:r>
        <w:rPr>
          <w:rFonts w:ascii="Times New Roman" w:cs="Times New Roman" w:eastAsia="Times New Roman" w:hAnsi="Times New Roman"/>
          <w:sz w:val="22"/>
          <w:szCs w:val="22"/>
          <w:color w:val="auto"/>
        </w:rPr>
        <w:t>___________________</w:t>
      </w:r>
      <w:r>
        <w:rPr>
          <w:sz w:val="20"/>
          <w:szCs w:val="20"/>
          <w:color w:val="auto"/>
        </w:rPr>
        <w:tab/>
      </w:r>
      <w:r>
        <w:rPr>
          <w:rFonts w:ascii="Times New Roman" w:cs="Times New Roman" w:eastAsia="Times New Roman" w:hAnsi="Times New Roman"/>
          <w:sz w:val="21"/>
          <w:szCs w:val="21"/>
          <w:color w:val="auto"/>
        </w:rPr>
        <w:t>Date: May 8, 2024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 Orta</w:t>
      </w:r>
    </w:p>
    <w:p>
      <w:pPr>
        <w:sectPr>
          <w:pgSz w:w="11900" w:h="16838" w:orient="portrait"/>
          <w:cols w:equalWidth="0" w:num="1">
            <w:col w:w="11240"/>
          </w:cols>
          <w:pgMar w:left="320" w:top="126" w:right="339" w:bottom="1440" w:gutter="0" w:footer="0" w:header="0"/>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EMPLOYEE ATTESTATION REGARDING COMPANY PROPERTY</w:t>
      </w:r>
    </w:p>
    <w:p>
      <w:pPr>
        <w:spacing w:after="0" w:line="200" w:lineRule="exact"/>
        <w:rPr>
          <w:sz w:val="20"/>
          <w:szCs w:val="20"/>
          <w:color w:val="auto"/>
        </w:rPr>
      </w:pPr>
    </w:p>
    <w:p>
      <w:pPr>
        <w:spacing w:after="0" w:line="267" w:lineRule="exact"/>
        <w:rPr>
          <w:sz w:val="20"/>
          <w:szCs w:val="20"/>
          <w:color w:val="auto"/>
        </w:rPr>
      </w:pPr>
    </w:p>
    <w:p>
      <w:pPr>
        <w:ind w:right="800" w:hanging="1"/>
        <w:spacing w:after="0" w:line="282" w:lineRule="auto"/>
        <w:rPr>
          <w:sz w:val="20"/>
          <w:szCs w:val="20"/>
          <w:color w:val="auto"/>
        </w:rPr>
      </w:pPr>
      <w:r>
        <w:rPr>
          <w:rFonts w:ascii="Times New Roman" w:cs="Times New Roman" w:eastAsia="Times New Roman" w:hAnsi="Times New Roman"/>
          <w:sz w:val="21"/>
          <w:szCs w:val="21"/>
          <w:color w:val="auto"/>
        </w:rPr>
        <w:t>This attestation acknowledges that you continue to be bound by the Employee Invention Assignment and Confidentiality Agreement which (together with this attestation) is attached as an exhibit to your separation letter dated May 8, 2024.</w:t>
      </w:r>
    </w:p>
    <w:p>
      <w:pPr>
        <w:spacing w:after="0" w:line="40" w:lineRule="exact"/>
        <w:rPr>
          <w:sz w:val="20"/>
          <w:szCs w:val="20"/>
          <w:color w:val="auto"/>
        </w:rPr>
      </w:pPr>
    </w:p>
    <w:p>
      <w:pPr>
        <w:ind w:right="280" w:hanging="1"/>
        <w:spacing w:after="0" w:line="282" w:lineRule="auto"/>
        <w:rPr>
          <w:sz w:val="20"/>
          <w:szCs w:val="20"/>
          <w:color w:val="auto"/>
        </w:rPr>
      </w:pPr>
      <w:r>
        <w:rPr>
          <w:rFonts w:ascii="Times New Roman" w:cs="Times New Roman" w:eastAsia="Times New Roman" w:hAnsi="Times New Roman"/>
          <w:sz w:val="21"/>
          <w:szCs w:val="21"/>
          <w:color w:val="auto"/>
        </w:rPr>
        <w:t xml:space="preserve">Please review the following attestations carefully. Initial each attestation to confirm it is true and correct and confirm your commitment to comply with your post-employment obligations to Nextdoor, Inc. (hereinafter </w:t>
      </w:r>
      <w:r>
        <w:rPr>
          <w:rFonts w:ascii="Times New Roman" w:cs="Times New Roman" w:eastAsia="Times New Roman" w:hAnsi="Times New Roman"/>
          <w:sz w:val="21"/>
          <w:szCs w:val="21"/>
          <w:b w:val="1"/>
          <w:bCs w:val="1"/>
          <w:i w:val="1"/>
          <w:iCs w:val="1"/>
          <w:color w:val="auto"/>
        </w:rPr>
        <w:t>“Nextdoor”</w:t>
      </w:r>
      <w:r>
        <w:rPr>
          <w:rFonts w:ascii="Times New Roman" w:cs="Times New Roman" w:eastAsia="Times New Roman" w:hAnsi="Times New Roman"/>
          <w:sz w:val="21"/>
          <w:szCs w:val="21"/>
          <w:color w:val="auto"/>
        </w:rPr>
        <w:t xml:space="preserve"> or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10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Initial</w:t>
            </w:r>
          </w:p>
        </w:tc>
        <w:tc>
          <w:tcPr>
            <w:tcW w:w="10240" w:type="dxa"/>
            <w:vAlign w:val="bottom"/>
            <w:tcBorders>
              <w:top w:val="single" w:sz="8" w:color="auto"/>
              <w:right w:val="single" w:sz="8" w:color="auto"/>
            </w:tcBorders>
          </w:tcPr>
          <w:p>
            <w:pPr>
              <w:spacing w:after="0"/>
              <w:rPr>
                <w:sz w:val="24"/>
                <w:szCs w:val="24"/>
                <w:color w:val="auto"/>
              </w:rPr>
            </w:pPr>
          </w:p>
        </w:tc>
      </w:tr>
      <w:tr>
        <w:trPr>
          <w:trHeight w:val="21"/>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24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1020" w:type="dxa"/>
            <w:vAlign w:val="bottom"/>
            <w:tcBorders>
              <w:left w:val="single" w:sz="8" w:color="auto"/>
              <w:right w:val="single" w:sz="8" w:color="auto"/>
            </w:tcBorders>
          </w:tcPr>
          <w:p>
            <w:pPr>
              <w:spacing w:after="0"/>
              <w:rPr>
                <w:sz w:val="19"/>
                <w:szCs w:val="19"/>
                <w:color w:val="auto"/>
              </w:rPr>
            </w:pPr>
          </w:p>
        </w:tc>
        <w:tc>
          <w:tcPr>
            <w:tcW w:w="10240" w:type="dxa"/>
            <w:vAlign w:val="bottom"/>
            <w:tcBorders>
              <w:right w:val="single" w:sz="8" w:color="auto"/>
            </w:tcBorders>
          </w:tcPr>
          <w:p>
            <w:pPr>
              <w:ind w:left="60"/>
              <w:spacing w:after="0" w:line="228" w:lineRule="exact"/>
              <w:rPr>
                <w:sz w:val="20"/>
                <w:szCs w:val="20"/>
                <w:color w:val="auto"/>
              </w:rPr>
            </w:pPr>
            <w:r>
              <w:rPr>
                <w:rFonts w:ascii="Times New Roman" w:cs="Times New Roman" w:eastAsia="Times New Roman" w:hAnsi="Times New Roman"/>
                <w:sz w:val="20"/>
                <w:szCs w:val="20"/>
                <w:color w:val="auto"/>
              </w:rPr>
              <w:t>I attest that I have permanently deleted and erased all Nextdoor Proprietary Information from all Nextdoor property being</w:t>
            </w:r>
          </w:p>
        </w:tc>
      </w:tr>
      <w:tr>
        <w:trPr>
          <w:trHeight w:val="258"/>
        </w:trPr>
        <w:tc>
          <w:tcPr>
            <w:tcW w:w="1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JO</w:t>
            </w:r>
          </w:p>
        </w:tc>
        <w:tc>
          <w:tcPr>
            <w:tcW w:w="10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transferred to me, including erasure of external media or cloud storage connected to it.</w:t>
            </w:r>
          </w:p>
        </w:tc>
      </w:tr>
      <w:tr>
        <w:trPr>
          <w:trHeight w:val="21"/>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24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1020" w:type="dxa"/>
            <w:vAlign w:val="bottom"/>
            <w:tcBorders>
              <w:left w:val="single" w:sz="8" w:color="auto"/>
              <w:right w:val="single" w:sz="8" w:color="auto"/>
            </w:tcBorders>
          </w:tcPr>
          <w:p>
            <w:pPr>
              <w:spacing w:after="0"/>
              <w:rPr>
                <w:sz w:val="19"/>
                <w:szCs w:val="19"/>
                <w:color w:val="auto"/>
              </w:rPr>
            </w:pPr>
          </w:p>
        </w:tc>
        <w:tc>
          <w:tcPr>
            <w:tcW w:w="10240" w:type="dxa"/>
            <w:vAlign w:val="bottom"/>
            <w:tcBorders>
              <w:right w:val="single" w:sz="8" w:color="auto"/>
            </w:tcBorders>
          </w:tcPr>
          <w:p>
            <w:pPr>
              <w:ind w:left="60"/>
              <w:spacing w:after="0" w:line="228" w:lineRule="exact"/>
              <w:rPr>
                <w:sz w:val="20"/>
                <w:szCs w:val="20"/>
                <w:color w:val="auto"/>
              </w:rPr>
            </w:pPr>
            <w:r>
              <w:rPr>
                <w:rFonts w:ascii="Times New Roman" w:cs="Times New Roman" w:eastAsia="Times New Roman" w:hAnsi="Times New Roman"/>
                <w:sz w:val="20"/>
                <w:szCs w:val="20"/>
                <w:color w:val="auto"/>
              </w:rPr>
              <w:t>I attest that if I have used personal computer, server, or e-mail systems to receive, store, review, prepare or transmit any</w:t>
            </w:r>
          </w:p>
        </w:tc>
      </w:tr>
      <w:tr>
        <w:trPr>
          <w:trHeight w:val="229"/>
        </w:trPr>
        <w:tc>
          <w:tcPr>
            <w:tcW w:w="1020" w:type="dxa"/>
            <w:vAlign w:val="bottom"/>
            <w:tcBorders>
              <w:left w:val="single" w:sz="8" w:color="auto"/>
              <w:right w:val="single" w:sz="8" w:color="auto"/>
            </w:tcBorders>
          </w:tcPr>
          <w:p>
            <w:pPr>
              <w:spacing w:after="0"/>
              <w:rPr>
                <w:sz w:val="19"/>
                <w:szCs w:val="19"/>
                <w:color w:val="auto"/>
              </w:rPr>
            </w:pPr>
          </w:p>
        </w:tc>
        <w:tc>
          <w:tcPr>
            <w:tcW w:w="10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Company Information, including but not limited to, Confidential Information, I agree to permanently delete and erased such</w:t>
            </w:r>
          </w:p>
        </w:tc>
      </w:tr>
      <w:tr>
        <w:trPr>
          <w:trHeight w:val="258"/>
        </w:trPr>
        <w:tc>
          <w:tcPr>
            <w:tcW w:w="1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JO</w:t>
            </w:r>
          </w:p>
        </w:tc>
        <w:tc>
          <w:tcPr>
            <w:tcW w:w="10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Proprietary Information from those systems.</w:t>
            </w:r>
          </w:p>
        </w:tc>
      </w:tr>
      <w:tr>
        <w:trPr>
          <w:trHeight w:val="21"/>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2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JO</w:t>
            </w:r>
          </w:p>
        </w:tc>
        <w:tc>
          <w:tcPr>
            <w:tcW w:w="10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 attest that my Nextdoor laptop(s) are restored to factory settings so ownership can be transferred to me.</w:t>
            </w:r>
          </w:p>
        </w:tc>
      </w:tr>
      <w:tr>
        <w:trPr>
          <w:trHeight w:val="21"/>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240" w:type="dxa"/>
            <w:vAlign w:val="bottom"/>
            <w:tcBorders>
              <w:bottom w:val="single" w:sz="8" w:color="auto"/>
              <w:right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8, 2024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John Orta_</w:t>
      </w:r>
      <w:r>
        <w:rPr>
          <w:rFonts w:ascii="Times New Roman" w:cs="Times New Roman" w:eastAsia="Times New Roman" w:hAnsi="Times New Roman"/>
          <w:sz w:val="22"/>
          <w:szCs w:val="22"/>
          <w:color w:val="auto"/>
        </w:rPr>
        <w:t>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 Orta</w:t>
      </w:r>
    </w:p>
    <w:p>
      <w:pPr>
        <w:sectPr>
          <w:pgSz w:w="11900" w:h="16838" w:orient="portrait"/>
          <w:cols w:equalWidth="0" w:num="1">
            <w:col w:w="11260"/>
          </w:cols>
          <w:pgMar w:left="320" w:top="1404"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CONFIDENTIALITY AGREEMENT</w:t>
      </w:r>
    </w:p>
    <w:p>
      <w:pPr>
        <w:sectPr>
          <w:pgSz w:w="11900" w:h="16838" w:orient="portrait"/>
          <w:cols w:equalWidth="0" w:num="1">
            <w:col w:w="9019"/>
          </w:cols>
          <w:pgMar w:left="1440" w:top="1404" w:right="14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EQUITY REPORT</w:t>
      </w:r>
    </w:p>
    <w:p>
      <w:pPr>
        <w:sectPr>
          <w:pgSz w:w="11900" w:h="16838" w:orient="portrait"/>
          <w:cols w:equalWidth="0" w:num="1">
            <w:col w:w="9019"/>
          </w:cols>
          <w:pgMar w:left="1440" w:top="1404" w:right="1440" w:bottom="1440" w:gutter="0" w:footer="0" w:header="0"/>
        </w:sectPr>
      </w:pPr>
    </w:p>
    <w:bookmarkStart w:id="89" w:name="page90"/>
    <w:bookmarkEnd w:id="89"/>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INFORMATION CONCERNING REDUCTION IN FORCE</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NEXTDOOR, INC.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 April 30,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Explanation: Nextdoor, Inc. is reducing its workforce to reduce costs and to meet the general operational needs of the Company.</w:t>
      </w:r>
    </w:p>
    <w:p>
      <w:pPr>
        <w:spacing w:after="0" w:line="3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The Company considered the following factors when deciding which positions would be affected: (1) cost; (2) the future needs of the Company; (3) geographical scope; (4) aligning managerial versus non-managerial head count; and (5) performance.</w:t>
      </w:r>
    </w:p>
    <w:p>
      <w:pPr>
        <w:spacing w:after="0" w:line="219"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All of the employees whose positions are affected will be offered the following severance compensation in exchange for their agreement to a general release of claims: (a) cash severance; and (b) COBRA premium coverage, provided that the cash severance and COBRA amounts will vary based solely on employee level.</w:t>
      </w:r>
    </w:p>
    <w:p>
      <w:pPr>
        <w:spacing w:after="0" w:line="214"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22"/>
          <w:szCs w:val="22"/>
          <w:color w:val="auto"/>
        </w:rPr>
        <w:t>Pursuant to federal law, employees over the age of 40 will be allowed to consider their release agreements for 45 days and, after the agreement is executed, may revoke the agreement within 7 days. Employees under the age of 40 will have 5 business days to consider their release agreements but may not revoke their release agreements once they are signed.</w:t>
      </w:r>
    </w:p>
    <w:p>
      <w:pPr>
        <w:spacing w:after="0" w:line="19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2"/>
          <w:szCs w:val="22"/>
          <w:color w:val="auto"/>
        </w:rPr>
        <w:t>In layoff situations where an employer offers release packages to a group of employees, employment laws require the employer to disclose certain information to the affected employees over the age of 40 who are considering the release. The Agreement of which this document is a part satisfies this disclosure requirement. The table below identifies every position in the affected employee’s decisional unit within the Company, the age of the person holding the position, and whether the individual’s position is affected.</w:t>
      </w:r>
    </w:p>
    <w:p>
      <w:pPr>
        <w:spacing w:after="0" w:line="239" w:lineRule="exact"/>
        <w:rPr>
          <w:sz w:val="20"/>
          <w:szCs w:val="20"/>
          <w:color w:val="auto"/>
        </w:rPr>
      </w:pPr>
    </w:p>
    <w:tbl>
      <w:tblPr>
        <w:tblLayout w:type="fixed"/>
        <w:tblInd w:w="2050" w:type="dxa"/>
        <w:tblCellMar>
          <w:top w:w="0" w:type="dxa"/>
          <w:left w:w="0" w:type="dxa"/>
          <w:bottom w:w="0" w:type="dxa"/>
          <w:right w:w="0" w:type="dxa"/>
        </w:tblCellMar>
      </w:tblPr>
      <w:tr>
        <w:trPr>
          <w:trHeight w:val="216"/>
        </w:trPr>
        <w:tc>
          <w:tcPr>
            <w:tcW w:w="2460" w:type="dxa"/>
            <w:vAlign w:val="bottom"/>
            <w:tcBorders>
              <w:top w:val="single" w:sz="8" w:color="auto"/>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b w:val="1"/>
                <w:bCs w:val="1"/>
                <w:color w:val="auto"/>
              </w:rPr>
              <w:t>Position</w:t>
            </w:r>
          </w:p>
        </w:tc>
        <w:tc>
          <w:tcPr>
            <w:tcW w:w="98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rPr>
              <w:t>Age</w:t>
            </w:r>
          </w:p>
        </w:tc>
        <w:tc>
          <w:tcPr>
            <w:tcW w:w="136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rPr>
              <w:t>Position</w:t>
            </w:r>
          </w:p>
        </w:tc>
      </w:tr>
      <w:tr>
        <w:trPr>
          <w:trHeight w:val="284"/>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Affected?</w:t>
            </w:r>
          </w:p>
        </w:tc>
      </w:tr>
      <w:tr>
        <w:trPr>
          <w:trHeight w:val="263"/>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Head of People</w:t>
            </w:r>
          </w:p>
        </w:tc>
        <w:tc>
          <w:tcPr>
            <w:tcW w:w="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49</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NO</w:t>
            </w:r>
          </w:p>
        </w:tc>
      </w:tr>
      <w:tr>
        <w:trPr>
          <w:trHeight w:val="196"/>
        </w:trPr>
        <w:tc>
          <w:tcPr>
            <w:tcW w:w="246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Head of Data, Information</w:t>
            </w:r>
          </w:p>
        </w:tc>
        <w:tc>
          <w:tcPr>
            <w:tcW w:w="98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48</w:t>
            </w:r>
          </w:p>
        </w:tc>
        <w:tc>
          <w:tcPr>
            <w:tcW w:w="136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NO</w:t>
            </w:r>
          </w:p>
        </w:tc>
      </w:tr>
      <w:tr>
        <w:trPr>
          <w:trHeight w:val="283"/>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Systems, &amp; Trust</w:t>
            </w:r>
          </w:p>
        </w:tc>
        <w:tc>
          <w:tcPr>
            <w:tcW w:w="9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64"/>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Head of Revenue</w:t>
            </w:r>
          </w:p>
        </w:tc>
        <w:tc>
          <w:tcPr>
            <w:tcW w:w="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46</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YES</w:t>
            </w:r>
          </w:p>
        </w:tc>
      </w:tr>
      <w:tr>
        <w:trPr>
          <w:trHeight w:val="196"/>
        </w:trPr>
        <w:tc>
          <w:tcPr>
            <w:tcW w:w="246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Head of Legal &amp;</w:t>
            </w:r>
          </w:p>
        </w:tc>
        <w:tc>
          <w:tcPr>
            <w:tcW w:w="98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56</w:t>
            </w:r>
          </w:p>
        </w:tc>
        <w:tc>
          <w:tcPr>
            <w:tcW w:w="136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YES</w:t>
            </w:r>
          </w:p>
        </w:tc>
      </w:tr>
      <w:tr>
        <w:trPr>
          <w:trHeight w:val="283"/>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Corporate Development</w:t>
            </w:r>
          </w:p>
        </w:tc>
        <w:tc>
          <w:tcPr>
            <w:tcW w:w="9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64"/>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Chief Financial Officer</w:t>
            </w:r>
          </w:p>
        </w:tc>
        <w:tc>
          <w:tcPr>
            <w:tcW w:w="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36</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NO</w:t>
            </w:r>
          </w:p>
        </w:tc>
      </w:tr>
      <w:tr>
        <w:trPr>
          <w:trHeight w:val="264"/>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Head of Social Impact</w:t>
            </w:r>
          </w:p>
        </w:tc>
        <w:tc>
          <w:tcPr>
            <w:tcW w:w="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45</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YES</w:t>
            </w:r>
          </w:p>
        </w:tc>
      </w:tr>
    </w:tbl>
    <w:p>
      <w:pPr>
        <w:sectPr>
          <w:pgSz w:w="11900" w:h="16838" w:orient="portrait"/>
          <w:cols w:equalWidth="0" w:num="1">
            <w:col w:w="11220"/>
          </w:cols>
          <w:pgMar w:left="320" w:top="1440" w:right="35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0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AND 15D-14(A) UNDER THE EXCHANGE ACT,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Nirav Tolia, certify that:</w:t>
      </w:r>
    </w:p>
    <w:p>
      <w:pPr>
        <w:spacing w:after="0" w:line="252"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Nextdoor Holdings, Inc. (the “registrant”);</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2024</w:t>
      </w:r>
    </w:p>
    <w:p>
      <w:pPr>
        <w:spacing w:after="0" w:line="75" w:lineRule="exact"/>
        <w:rPr>
          <w:sz w:val="20"/>
          <w:szCs w:val="20"/>
          <w:color w:val="auto"/>
        </w:rPr>
      </w:pPr>
    </w:p>
    <w:p>
      <w:pPr>
        <w:ind w:left="7440"/>
        <w:spacing w:after="0"/>
        <w:tabs>
          <w:tab w:leader="none" w:pos="7900" w:val="left"/>
        </w:tabs>
        <w:rPr>
          <w:sz w:val="20"/>
          <w:szCs w:val="20"/>
          <w:color w:val="auto"/>
        </w:rPr>
      </w:pPr>
      <w:r>
        <w:rPr>
          <w:rFonts w:ascii="Times New Roman" w:cs="Times New Roman" w:eastAsia="Times New Roman" w:hAnsi="Times New Roman"/>
          <w:sz w:val="18"/>
          <w:szCs w:val="18"/>
          <w:color w:val="auto"/>
        </w:rPr>
        <w:t>By:</w:t>
        <w:tab/>
        <w:t xml:space="preserve">/s/ </w:t>
      </w:r>
      <w:r>
        <w:rPr>
          <w:rFonts w:ascii="Times New Roman" w:cs="Times New Roman" w:eastAsia="Times New Roman" w:hAnsi="Times New Roman"/>
          <w:sz w:val="18"/>
          <w:szCs w:val="18"/>
          <w:i w:val="1"/>
          <w:iCs w:val="1"/>
          <w:color w:val="auto"/>
        </w:rPr>
        <w:t>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35560</wp:posOffset>
            </wp:positionV>
            <wp:extent cx="21170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3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Nirav Tolia</w:t>
      </w:r>
    </w:p>
    <w:p>
      <w:pPr>
        <w:spacing w:after="0" w:line="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Executive Officer, President and Chairperson</w:t>
      </w:r>
    </w:p>
    <w:p>
      <w:pPr>
        <w:ind w:left="7440"/>
        <w:spacing w:after="0"/>
        <w:rPr>
          <w:sz w:val="20"/>
          <w:szCs w:val="20"/>
          <w:color w:val="auto"/>
        </w:rPr>
      </w:pPr>
      <w:r>
        <w:rPr>
          <w:rFonts w:ascii="Times New Roman" w:cs="Times New Roman" w:eastAsia="Times New Roman" w:hAnsi="Times New Roman"/>
          <w:sz w:val="18"/>
          <w:szCs w:val="18"/>
          <w:color w:val="auto"/>
        </w:rPr>
        <w:t>of the Board of Directors</w:t>
      </w:r>
    </w:p>
    <w:p>
      <w:pPr>
        <w:sectPr>
          <w:pgSz w:w="11900" w:h="16838" w:orient="portrait"/>
          <w:cols w:equalWidth="0" w:num="1">
            <w:col w:w="11240"/>
          </w:cols>
          <w:pgMar w:left="320" w:top="374"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5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RULE 13A-14(A) AND 15D-14(A) UNDER THE EXCHANGE ACT,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color w:val="201F1E"/>
        </w:rPr>
        <w:t>Matt Anderson</w:t>
      </w:r>
      <w:r>
        <w:rPr>
          <w:rFonts w:ascii="Times New Roman" w:cs="Times New Roman" w:eastAsia="Times New Roman" w:hAnsi="Times New Roman"/>
          <w:sz w:val="18"/>
          <w:szCs w:val="18"/>
          <w:color w:val="auto"/>
        </w:rPr>
        <w:t>, certify that:</w:t>
      </w:r>
    </w:p>
    <w:p>
      <w:pPr>
        <w:spacing w:after="0" w:line="252"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Nextdoor Holdings, Inc. (the “registrant”);</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4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2024</w:t>
      </w:r>
    </w:p>
    <w:p>
      <w:pPr>
        <w:ind w:left="7200"/>
        <w:spacing w:after="0" w:line="183" w:lineRule="auto"/>
        <w:tabs>
          <w:tab w:leader="none" w:pos="7640" w:val="left"/>
        </w:tabs>
        <w:rPr>
          <w:sz w:val="20"/>
          <w:szCs w:val="20"/>
          <w:color w:val="auto"/>
        </w:rPr>
      </w:pPr>
      <w:r>
        <w:rPr>
          <w:rFonts w:ascii="Times New Roman" w:cs="Times New Roman" w:eastAsia="Times New Roman" w:hAnsi="Times New Roman"/>
          <w:sz w:val="30"/>
          <w:szCs w:val="30"/>
          <w:color w:val="auto"/>
          <w:vertAlign w:val="subscript"/>
        </w:rPr>
        <w:t>By:</w:t>
      </w:r>
      <w:r>
        <w:rPr>
          <w:sz w:val="20"/>
          <w:szCs w:val="20"/>
          <w:color w:val="auto"/>
        </w:rPr>
        <w:tab/>
      </w:r>
      <w:r>
        <w:rPr>
          <w:rFonts w:ascii="Times New Roman" w:cs="Times New Roman" w:eastAsia="Times New Roman" w:hAnsi="Times New Roman"/>
          <w:sz w:val="16"/>
          <w:szCs w:val="16"/>
          <w:i w:val="1"/>
          <w:iCs w:val="1"/>
          <w:color w:val="auto"/>
        </w:rPr>
        <w:t xml:space="preserve">/s/ </w:t>
      </w:r>
      <w:r>
        <w:rPr>
          <w:rFonts w:ascii="Times New Roman" w:cs="Times New Roman" w:eastAsia="Times New Roman" w:hAnsi="Times New Roman"/>
          <w:sz w:val="16"/>
          <w:szCs w:val="16"/>
          <w:i w:val="1"/>
          <w:iCs w:val="1"/>
          <w:color w:val="201F1E"/>
        </w:rPr>
        <w:t>Matt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90170</wp:posOffset>
            </wp:positionV>
            <wp:extent cx="22117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12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201F1E"/>
        </w:rPr>
        <w:t>Matt Anderson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40"/>
          </w:cols>
          <w:pgMar w:left="320" w:top="40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ind w:right="40"/>
        <w:spacing w:after="0" w:line="31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In connection with the Quarterly Report of Nextdoor Holdings, Inc. (the “Company”) on Form 10-Q for the quarter ended June 30, 2024,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90" w:lineRule="exact"/>
        <w:rPr>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2024</w:t>
      </w:r>
    </w:p>
    <w:p>
      <w:pPr>
        <w:spacing w:after="0" w:line="42" w:lineRule="exact"/>
        <w:rPr>
          <w:sz w:val="20"/>
          <w:szCs w:val="20"/>
          <w:color w:val="auto"/>
        </w:rPr>
      </w:pPr>
    </w:p>
    <w:p>
      <w:pPr>
        <w:ind w:left="7200"/>
        <w:spacing w:after="0"/>
        <w:tabs>
          <w:tab w:leader="none" w:pos="7640" w:val="left"/>
        </w:tabs>
        <w:rPr>
          <w:sz w:val="20"/>
          <w:szCs w:val="20"/>
          <w:color w:val="auto"/>
        </w:rPr>
      </w:pPr>
      <w:r>
        <w:rPr>
          <w:rFonts w:ascii="Times New Roman" w:cs="Times New Roman" w:eastAsia="Times New Roman" w:hAnsi="Times New Roman"/>
          <w:sz w:val="36"/>
          <w:szCs w:val="36"/>
          <w:color w:val="auto"/>
          <w:vertAlign w:val="subscript"/>
        </w:rPr>
        <w:t>By:</w:t>
      </w:r>
      <w:r>
        <w:rPr>
          <w:sz w:val="20"/>
          <w:szCs w:val="20"/>
          <w:color w:val="auto"/>
        </w:rPr>
        <w:tab/>
      </w: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17"/>
          <w:szCs w:val="17"/>
          <w:i w:val="1"/>
          <w:iCs w:val="1"/>
          <w:color w:val="auto"/>
        </w:rPr>
        <w:t>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121920</wp:posOffset>
            </wp:positionV>
            <wp:extent cx="16459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Nirav Tolia</w:t>
      </w:r>
    </w:p>
    <w:p>
      <w:pPr>
        <w:spacing w:after="0" w:line="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ind w:left="7200"/>
        <w:spacing w:after="0"/>
        <w:rPr>
          <w:sz w:val="20"/>
          <w:szCs w:val="20"/>
          <w:color w:val="auto"/>
        </w:rPr>
      </w:pPr>
      <w:r>
        <w:rPr>
          <w:rFonts w:ascii="Times New Roman" w:cs="Times New Roman" w:eastAsia="Times New Roman" w:hAnsi="Times New Roman"/>
          <w:sz w:val="18"/>
          <w:szCs w:val="18"/>
          <w:color w:val="auto"/>
        </w:rPr>
        <w:t>Chairperson of the Board of Directors</w:t>
      </w:r>
    </w:p>
    <w:p>
      <w:pPr>
        <w:sectPr>
          <w:pgSz w:w="11900" w:h="16838" w:orient="portrait"/>
          <w:cols w:equalWidth="0" w:num="1">
            <w:col w:w="11240"/>
          </w:cols>
          <w:pgMar w:left="320" w:top="40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line="315"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0"/>
        <w:spacing w:after="0" w:line="349" w:lineRule="auto"/>
        <w:rPr>
          <w:sz w:val="20"/>
          <w:szCs w:val="20"/>
          <w:color w:val="auto"/>
        </w:rPr>
      </w:pPr>
      <w:r>
        <w:rPr>
          <w:rFonts w:ascii="Times New Roman" w:cs="Times New Roman" w:eastAsia="Times New Roman" w:hAnsi="Times New Roman"/>
          <w:sz w:val="18"/>
          <w:szCs w:val="18"/>
          <w:color w:val="auto"/>
        </w:rPr>
        <w:t>In connection with the Quarterly Report of Nextdoor Holdings, Inc. (the “Company”) on Form 10-Q for the quarter ended June 30, 2024,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73" w:lineRule="exact"/>
        <w:rPr>
          <w:sz w:val="20"/>
          <w:szCs w:val="20"/>
          <w:color w:val="auto"/>
        </w:rPr>
      </w:pPr>
    </w:p>
    <w:p>
      <w:pPr>
        <w:ind w:left="640" w:hanging="308"/>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0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2024</w:t>
      </w:r>
    </w:p>
    <w:p>
      <w:pPr>
        <w:spacing w:after="0" w:line="291" w:lineRule="exact"/>
        <w:rPr>
          <w:sz w:val="20"/>
          <w:szCs w:val="20"/>
          <w:color w:val="auto"/>
        </w:rPr>
      </w:pPr>
    </w:p>
    <w:p>
      <w:pPr>
        <w:ind w:left="7220"/>
        <w:spacing w:after="0"/>
        <w:tabs>
          <w:tab w:leader="none" w:pos="7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Matt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18415</wp:posOffset>
            </wp:positionV>
            <wp:extent cx="18942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Matt Anderson</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 and Treasurer</w:t>
      </w: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1"/>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lowerLetter"/>
      <w:start w:val="1"/>
    </w:lvl>
  </w:abstractNum>
  <w:abstractNum w:abstractNumId="26">
    <w:nsid w:val="7A6D8D3C"/>
    <w:multiLevelType w:val="hybridMultilevel"/>
    <w:lvl w:ilvl="0">
      <w:lvlJc w:val="left"/>
      <w:lvlText w:val="%1."/>
      <w:numFmt w:val="upperLetter"/>
      <w:start w:val="8"/>
    </w:lvl>
  </w:abstractNum>
  <w:abstractNum w:abstractNumId="27">
    <w:nsid w:val="4B588F54"/>
    <w:multiLevelType w:val="hybridMultilevel"/>
    <w:lvl w:ilvl="0">
      <w:lvlJc w:val="left"/>
      <w:lvlText w:val="%1."/>
      <w:numFmt w:val="lowerLetter"/>
      <w:start w:val="2"/>
    </w:lvl>
  </w:abstractNum>
  <w:abstractNum w:abstractNumId="28">
    <w:nsid w:val="542289EC"/>
    <w:multiLevelType w:val="hybridMultilevel"/>
    <w:lvl w:ilvl="0">
      <w:lvlJc w:val="left"/>
      <w:lvlText w:val="%1."/>
      <w:numFmt w:val="decimal"/>
      <w:start w:val="4"/>
    </w:lvl>
  </w:abstractNum>
  <w:abstractNum w:abstractNumId="29">
    <w:nsid w:val="6DE91B18"/>
    <w:multiLevelType w:val="hybridMultilevel"/>
    <w:lvl w:ilvl="0">
      <w:lvlJc w:val="left"/>
      <w:lvlText w:val="%1."/>
      <w:numFmt w:val="decimal"/>
      <w:start w:val="5"/>
    </w:lvl>
  </w:abstractNum>
  <w:abstractNum w:abstractNumId="30">
    <w:nsid w:val="38437FDB"/>
    <w:multiLevelType w:val="hybridMultilevel"/>
    <w:lvl w:ilvl="0">
      <w:lvlJc w:val="left"/>
      <w:lvlText w:val="%1."/>
      <w:numFmt w:val="upperLetter"/>
      <w:start w:val="8"/>
    </w:lvl>
  </w:abstractNum>
  <w:abstractNum w:abstractNumId="31">
    <w:nsid w:val="7644A45C"/>
    <w:multiLevelType w:val="hybridMultilevel"/>
    <w:lvl w:ilvl="0">
      <w:lvlJc w:val="left"/>
      <w:lvlText w:val="%1."/>
      <w:numFmt w:val="decimal"/>
      <w:start w:val="8"/>
    </w:lvl>
  </w:abstractNum>
  <w:abstractNum w:abstractNumId="32">
    <w:nsid w:val="32FFF902"/>
    <w:multiLevelType w:val="hybridMultilevel"/>
    <w:lvl w:ilvl="0">
      <w:lvlJc w:val="left"/>
      <w:lvlText w:val="%1."/>
      <w:numFmt w:val="lowerLetter"/>
      <w:start w:val="1"/>
    </w:lvl>
  </w:abstractNum>
  <w:abstractNum w:abstractNumId="33">
    <w:nsid w:val="684A481A"/>
    <w:multiLevelType w:val="hybridMultilevel"/>
    <w:lvl w:ilvl="0">
      <w:lvlJc w:val="left"/>
      <w:lvlText w:val="%1."/>
      <w:numFmt w:val="decimal"/>
      <w:start w:val="9"/>
    </w:lvl>
  </w:abstractNum>
  <w:abstractNum w:abstractNumId="34">
    <w:nsid w:val="579478FE"/>
    <w:multiLevelType w:val="hybridMultilevel"/>
    <w:lvl w:ilvl="0">
      <w:lvlJc w:val="left"/>
      <w:lvlText w:val="%1."/>
      <w:numFmt w:val="lowerLetter"/>
      <w:start w:val="1"/>
    </w:lvl>
  </w:abstractNum>
  <w:abstractNum w:abstractNumId="35">
    <w:nsid w:val="749ABB43"/>
    <w:multiLevelType w:val="hybridMultilevel"/>
    <w:lvl w:ilvl="0">
      <w:lvlJc w:val="left"/>
      <w:lvlText w:val="%1."/>
      <w:numFmt w:val="upperLetter"/>
      <w:start w:val="8"/>
    </w:lvl>
  </w:abstractNum>
  <w:abstractNum w:abstractNumId="36">
    <w:nsid w:val="3DC240FB"/>
    <w:multiLevelType w:val="hybridMultilevel"/>
    <w:lvl w:ilvl="0">
      <w:lvlJc w:val="left"/>
      <w:lvlText w:val="%1."/>
      <w:numFmt w:val="lowerLetter"/>
      <w:start w:val="2"/>
    </w:lvl>
  </w:abstractNum>
  <w:abstractNum w:abstractNumId="37">
    <w:nsid w:val="1BA026FA"/>
    <w:multiLevelType w:val="hybridMultilevel"/>
    <w:lvl w:ilvl="0">
      <w:lvlJc w:val="left"/>
      <w:lvlText w:val="%1."/>
      <w:numFmt w:val="decimal"/>
      <w:start w:val="10"/>
    </w:lvl>
  </w:abstractNum>
  <w:abstractNum w:abstractNumId="38">
    <w:nsid w:val="79A1DEAA"/>
    <w:multiLevelType w:val="hybridMultilevel"/>
    <w:lvl w:ilvl="0">
      <w:lvlJc w:val="left"/>
      <w:lvlText w:val="%1."/>
      <w:numFmt w:val="upperLetter"/>
      <w:start w:val="8"/>
    </w:lvl>
  </w:abstractNum>
  <w:abstractNum w:abstractNumId="39">
    <w:nsid w:val="75C6C33A"/>
    <w:multiLevelType w:val="hybridMultilevel"/>
    <w:lvl w:ilvl="0">
      <w:lvlJc w:val="left"/>
      <w:lvlText w:val="%1."/>
      <w:numFmt w:val="decimal"/>
      <w:start w:val="13"/>
    </w:lvl>
  </w:abstractNum>
  <w:abstractNum w:abstractNumId="40">
    <w:nsid w:val="12E685FB"/>
    <w:multiLevelType w:val="hybridMultilevel"/>
    <w:lvl w:ilvl="0">
      <w:lvlJc w:val="left"/>
      <w:lvlText w:val="%1."/>
      <w:numFmt w:val="upperLetter"/>
      <w:start w:val="8"/>
    </w:lvl>
  </w:abstractNum>
  <w:abstractNum w:abstractNumId="41">
    <w:nsid w:val="70C6A529"/>
    <w:multiLevelType w:val="hybridMultilevel"/>
    <w:lvl w:ilvl="0">
      <w:lvlJc w:val="left"/>
      <w:lvlText w:val="%1."/>
      <w:numFmt w:val="decimal"/>
      <w:start w:val="19"/>
    </w:lvl>
    <w:lvl w:ilvl="1">
      <w:lvlJc w:val="left"/>
      <w:lvlText w:val="%2."/>
      <w:numFmt w:val="decimal"/>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lowerLetter"/>
      <w:start w:val="1"/>
    </w:lvl>
  </w:abstractNum>
  <w:abstractNum w:abstractNumId="44">
    <w:nsid w:val="4F4EF005"/>
    <w:multiLevelType w:val="hybridMultilevel"/>
    <w:lvl w:ilvl="0">
      <w:lvlJc w:val="left"/>
      <w:lvlText w:val="%1."/>
      <w:numFmt w:val="upperLetter"/>
      <w:start w:val="10"/>
    </w:lvl>
  </w:abstractNum>
  <w:abstractNum w:abstractNumId="45">
    <w:nsid w:val="23F9C13C"/>
    <w:multiLevelType w:val="hybridMultilevel"/>
    <w:lvl w:ilvl="0">
      <w:lvlJc w:val="left"/>
      <w:lvlText w:val="%1."/>
      <w:numFmt w:val="lowerLetter"/>
      <w:start w:val="2"/>
    </w:lvl>
  </w:abstractNum>
  <w:abstractNum w:abstractNumId="46">
    <w:nsid w:val="649BB77C"/>
    <w:multiLevelType w:val="hybridMultilevel"/>
    <w:lvl w:ilvl="0">
      <w:lvlJc w:val="left"/>
      <w:lvlText w:val="%1."/>
      <w:numFmt w:val="decimal"/>
      <w:start w:val="4"/>
    </w:lvl>
  </w:abstractNum>
  <w:abstractNum w:abstractNumId="47">
    <w:nsid w:val="275AC794"/>
    <w:multiLevelType w:val="hybridMultilevel"/>
    <w:lvl w:ilvl="0">
      <w:lvlJc w:val="left"/>
      <w:lvlText w:val="%1."/>
      <w:numFmt w:val="decimal"/>
      <w:start w:val="5"/>
    </w:lvl>
  </w:abstractNum>
  <w:abstractNum w:abstractNumId="48">
    <w:nsid w:val="39386575"/>
    <w:multiLevelType w:val="hybridMultilevel"/>
    <w:lvl w:ilvl="0">
      <w:lvlJc w:val="left"/>
      <w:lvlText w:val="%1."/>
      <w:numFmt w:val="upperLetter"/>
      <w:start w:val="10"/>
    </w:lvl>
  </w:abstractNum>
  <w:abstractNum w:abstractNumId="49">
    <w:nsid w:val="1CF10FD8"/>
    <w:multiLevelType w:val="hybridMultilevel"/>
    <w:lvl w:ilvl="0">
      <w:lvlJc w:val="left"/>
      <w:lvlText w:val="%1."/>
      <w:numFmt w:val="decimal"/>
      <w:start w:val="8"/>
    </w:lvl>
  </w:abstractNum>
  <w:abstractNum w:abstractNumId="50">
    <w:nsid w:val="180115BE"/>
    <w:multiLevelType w:val="hybridMultilevel"/>
    <w:lvl w:ilvl="0">
      <w:lvlJc w:val="left"/>
      <w:lvlText w:val="%1."/>
      <w:numFmt w:val="lowerLetter"/>
      <w:start w:val="1"/>
    </w:lvl>
  </w:abstractNum>
  <w:abstractNum w:abstractNumId="51">
    <w:nsid w:val="235BA861"/>
    <w:multiLevelType w:val="hybridMultilevel"/>
    <w:lvl w:ilvl="0">
      <w:lvlJc w:val="left"/>
      <w:lvlText w:val="%1."/>
      <w:numFmt w:val="lowerLetter"/>
      <w:start w:val="3"/>
    </w:lvl>
  </w:abstractNum>
  <w:abstractNum w:abstractNumId="52">
    <w:nsid w:val="47398C89"/>
    <w:multiLevelType w:val="hybridMultilevel"/>
    <w:lvl w:ilvl="0">
      <w:lvlJc w:val="left"/>
      <w:lvlText w:val="%1."/>
      <w:numFmt w:val="decimal"/>
      <w:start w:val="9"/>
    </w:lvl>
  </w:abstractNum>
  <w:abstractNum w:abstractNumId="53">
    <w:nsid w:val="354FE9F9"/>
    <w:multiLevelType w:val="hybridMultilevel"/>
    <w:lvl w:ilvl="0">
      <w:lvlJc w:val="left"/>
      <w:lvlText w:val="%1."/>
      <w:numFmt w:val="upperLetter"/>
      <w:start w:val="10"/>
    </w:lvl>
  </w:abstractNum>
  <w:abstractNum w:abstractNumId="54">
    <w:nsid w:val="15B5AF5C"/>
    <w:multiLevelType w:val="hybridMultilevel"/>
    <w:lvl w:ilvl="0">
      <w:lvlJc w:val="left"/>
      <w:lvlText w:val="%1."/>
      <w:numFmt w:val="lowerLetter"/>
      <w:start w:val="1"/>
    </w:lvl>
  </w:abstractNum>
  <w:abstractNum w:abstractNumId="55">
    <w:nsid w:val="741226BB"/>
    <w:multiLevelType w:val="hybridMultilevel"/>
    <w:lvl w:ilvl="0">
      <w:lvlJc w:val="left"/>
      <w:lvlText w:val="%1."/>
      <w:numFmt w:val="decimal"/>
      <w:start w:val="10"/>
    </w:lvl>
  </w:abstractNum>
  <w:abstractNum w:abstractNumId="56">
    <w:nsid w:val="D34B6A8"/>
    <w:multiLevelType w:val="hybridMultilevel"/>
    <w:lvl w:ilvl="0">
      <w:lvlJc w:val="left"/>
      <w:lvlText w:val="%1."/>
      <w:numFmt w:val="upperLetter"/>
      <w:start w:val="10"/>
    </w:lvl>
  </w:abstractNum>
  <w:abstractNum w:abstractNumId="57">
    <w:nsid w:val="10233C99"/>
    <w:multiLevelType w:val="hybridMultilevel"/>
    <w:lvl w:ilvl="0">
      <w:lvlJc w:val="left"/>
      <w:lvlText w:val="%1."/>
      <w:numFmt w:val="decimal"/>
      <w:start w:val="13"/>
    </w:lvl>
  </w:abstractNum>
  <w:abstractNum w:abstractNumId="58">
    <w:nsid w:val="3F6AB60F"/>
    <w:multiLevelType w:val="hybridMultilevel"/>
    <w:lvl w:ilvl="0">
      <w:lvlJc w:val="left"/>
      <w:lvlText w:val="%1."/>
      <w:numFmt w:val="upperLetter"/>
      <w:start w:val="10"/>
    </w:lvl>
  </w:abstractNum>
  <w:abstractNum w:abstractNumId="59">
    <w:nsid w:val="61574095"/>
    <w:multiLevelType w:val="hybridMultilevel"/>
    <w:lvl w:ilvl="0">
      <w:lvlJc w:val="left"/>
      <w:lvlText w:val="%1."/>
      <w:numFmt w:val="decimal"/>
      <w:start w:val="19"/>
    </w:lvl>
    <w:lvl w:ilvl="1">
      <w:lvlJc w:val="left"/>
      <w:lvlText w:val="%2."/>
      <w:numFmt w:val="decimal"/>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jpe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jpe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87" Type="http://schemas.openxmlformats.org/officeDocument/2006/relationships/hyperlink" Target="https://www.sec.gov/Archives/edgar/data/0001846069/000184606924000163/kind-char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2024-08-07T15:35:33Z</dcterms:created>
  <dcterms:modified xsi:type="dcterms:W3CDTF">2024-08-07T15:35:33Z</dcterms:modified>
</cp:coreProperties>
</file>