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spacing w:lineRule="auto" w:line="288" w:before="0" w:after="0"/>
        <w:rPr>
          <w:rFonts w:ascii="Times New Roman;sans-serif" w:hAnsi="Times New Roman;sans-serif"/>
          <w:b/>
          <w:color w:val="000000"/>
          <w:sz w:val="16"/>
        </w:rPr>
      </w:pPr>
      <w:r>
        <w:rPr>
          <w:rFonts w:ascii="Times New Roman;sans-serif" w:hAnsi="Times New Roman;sans-serif"/>
          <w:b/>
          <w:color w:val="000000"/>
          <w:sz w:val="16"/>
        </w:rPr>
        <w:t>(Mark One)</w:t>
      </w:r>
    </w:p>
    <w:tbl>
      <w:tblPr>
        <w:tblW w:w="9075" w:type="dxa"/>
        <w:jc w:val="center"/>
        <w:tblInd w:w="0" w:type="dxa"/>
        <w:tblCellMar>
          <w:top w:w="28" w:type="dxa"/>
          <w:left w:w="28" w:type="dxa"/>
          <w:bottom w:w="28" w:type="dxa"/>
          <w:right w:w="28" w:type="dxa"/>
        </w:tblCellMar>
      </w:tblPr>
      <w:tblGrid>
        <w:gridCol w:w="141"/>
        <w:gridCol w:w="124"/>
        <w:gridCol w:w="126"/>
        <w:gridCol w:w="2538"/>
        <w:gridCol w:w="2538"/>
        <w:gridCol w:w="3608"/>
      </w:tblGrid>
      <w:tr>
        <w:trPr/>
        <w:tc>
          <w:tcPr>
            <w:tcW w:w="1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3608" w:type="dxa"/>
            <w:tcBorders/>
            <w:shd w:fill="auto" w:val="clear"/>
            <w:vAlign w:val="center"/>
          </w:tcPr>
          <w:p>
            <w:pPr>
              <w:pStyle w:val="TableContents"/>
              <w:spacing w:before="0" w:after="283"/>
              <w:rPr>
                <w:sz w:val="4"/>
                <w:szCs w:val="4"/>
              </w:rPr>
            </w:pPr>
            <w:r>
              <w:rPr>
                <w:sz w:val="4"/>
                <w:szCs w:val="4"/>
              </w:rPr>
            </w:r>
          </w:p>
        </w:tc>
      </w:tr>
      <w:tr>
        <w:trPr/>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color w:val="000000"/>
              </w:rPr>
            </w:pPr>
            <w:r>
              <w:rPr>
                <w:color w:val="000000"/>
              </w:rPr>
              <w:t> ☒</w:t>
            </w:r>
          </w:p>
        </w:tc>
        <w:tc>
          <w:tcPr>
            <w:tcW w:w="868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2023</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OR</w:t>
      </w:r>
    </w:p>
    <w:tbl>
      <w:tblPr>
        <w:tblW w:w="9011" w:type="dxa"/>
        <w:jc w:val="center"/>
        <w:tblInd w:w="0" w:type="dxa"/>
        <w:tblCellMar>
          <w:top w:w="28" w:type="dxa"/>
          <w:left w:w="28" w:type="dxa"/>
          <w:bottom w:w="28" w:type="dxa"/>
          <w:right w:w="28" w:type="dxa"/>
        </w:tblCellMar>
      </w:tblPr>
      <w:tblGrid>
        <w:gridCol w:w="124"/>
        <w:gridCol w:w="109"/>
        <w:gridCol w:w="109"/>
        <w:gridCol w:w="2536"/>
        <w:gridCol w:w="2536"/>
        <w:gridCol w:w="35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35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transition period from   to </w:t>
      </w:r>
    </w:p>
    <w:p>
      <w:pPr>
        <w:pStyle w:val="TextBody"/>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001-40246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Nextdoor Holdings,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5156" w:type="dxa"/>
        <w:jc w:val="left"/>
        <w:tblInd w:w="0" w:type="dxa"/>
        <w:tblCellMar>
          <w:top w:w="28" w:type="dxa"/>
          <w:left w:w="28" w:type="dxa"/>
          <w:bottom w:w="28" w:type="dxa"/>
          <w:right w:w="28" w:type="dxa"/>
        </w:tblCellMar>
      </w:tblPr>
      <w:tblGrid>
        <w:gridCol w:w="1091"/>
        <w:gridCol w:w="957"/>
        <w:gridCol w:w="967"/>
        <w:gridCol w:w="109"/>
        <w:gridCol w:w="109"/>
        <w:gridCol w:w="109"/>
        <w:gridCol w:w="528"/>
        <w:gridCol w:w="528"/>
        <w:gridCol w:w="758"/>
      </w:tblGrid>
      <w:tr>
        <w:trPr/>
        <w:tc>
          <w:tcPr>
            <w:tcW w:w="1091"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86-1776836</w:t>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(State or Other Jurisdiction of</w:t>
            </w:r>
          </w:p>
          <w:p>
            <w:pPr>
              <w:pStyle w:val="TableContents"/>
              <w:spacing w:lineRule="auto" w:line="240"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(I.R.S. Employer</w:t>
            </w:r>
          </w:p>
          <w:p>
            <w:pPr>
              <w:pStyle w:val="TableContents"/>
              <w:spacing w:lineRule="auto" w:line="240"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Identification Number)</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420 Taylor Street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San Francisco, California</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94102</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5156" w:type="dxa"/>
            <w:gridSpan w:val="9"/>
            <w:tcBorders/>
            <w:shd w:fill="auto" w:val="clear"/>
            <w:tcMar>
              <w:top w:w="0" w:type="dxa"/>
              <w:left w:w="0" w:type="dxa"/>
              <w:bottom w:w="0" w:type="dxa"/>
              <w:right w:w="0" w:type="dxa"/>
            </w:tcMar>
            <w:vAlign w:val="center"/>
          </w:tcPr>
          <w:p>
            <w:pPr>
              <w:pStyle w:val="TableContents"/>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(415) 344-0333</w:t>
            </w:r>
          </w:p>
          <w:p>
            <w:pPr>
              <w:pStyle w:val="TableContents"/>
              <w:spacing w:before="0" w:after="60"/>
              <w:jc w:val="center"/>
              <w:rPr/>
            </w:pPr>
            <w:r>
              <w:rPr/>
            </w:r>
          </w:p>
          <w:p>
            <w:pPr>
              <w:pStyle w:val="TableContents"/>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bl>
    <w:tbl>
      <w:tblPr>
        <w:tblW w:w="8384" w:type="dxa"/>
        <w:jc w:val="left"/>
        <w:tblInd w:w="0" w:type="dxa"/>
        <w:tblCellMar>
          <w:top w:w="28" w:type="dxa"/>
          <w:left w:w="28" w:type="dxa"/>
          <w:bottom w:w="28" w:type="dxa"/>
          <w:right w:w="28" w:type="dxa"/>
        </w:tblCellMar>
      </w:tblPr>
      <w:tblGrid>
        <w:gridCol w:w="1354"/>
        <w:gridCol w:w="1182"/>
        <w:gridCol w:w="1199"/>
        <w:gridCol w:w="474"/>
        <w:gridCol w:w="474"/>
        <w:gridCol w:w="476"/>
        <w:gridCol w:w="945"/>
        <w:gridCol w:w="945"/>
        <w:gridCol w:w="1335"/>
      </w:tblGrid>
      <w:tr>
        <w:trPr/>
        <w:tc>
          <w:tcPr>
            <w:tcW w:w="1354"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73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$0.0001 per share</w:t>
            </w:r>
          </w:p>
        </w:tc>
        <w:tc>
          <w:tcPr>
            <w:tcW w:w="142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KIND</w:t>
            </w:r>
          </w:p>
        </w:tc>
        <w:tc>
          <w:tcPr>
            <w:tcW w:w="32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spacing w:lineRule="auto" w:line="345" w:before="0" w:after="18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lineRule="auto" w:line="288" w:before="0" w:after="18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spacing w:lineRule="auto" w:line="288" w:before="0" w:after="18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bl>
    <w:p>
      <w:pPr>
        <w:pStyle w:val="TextBody"/>
        <w:spacing w:lineRule="auto" w:line="288" w:before="0" w:after="0"/>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jc w:val="both"/>
        <w:rPr/>
      </w:pPr>
      <w:r>
        <w:rPr/>
      </w:r>
    </w:p>
    <w:p>
      <w:pPr>
        <w:pStyle w:val="TextBody"/>
        <w:spacing w:lineRule="auto" w:line="264"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spacing w:before="0" w:after="180"/>
        <w:rPr/>
      </w:pPr>
      <w:r>
        <w:rPr/>
      </w:r>
    </w:p>
    <w:p>
      <w:pPr>
        <w:pStyle w:val="TextBody"/>
        <w:spacing w:lineRule="auto" w:line="345"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As of May 5, 2023, there were 159,130,899 shares of the registrant’s Class A common stock outstanding and 215,444,085 shares of the registrant’s Class B common stock outstanding.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40" w:before="0" w:after="0"/>
        <w:rPr>
          <w:color w:val="000000"/>
        </w:rPr>
      </w:pPr>
      <w:r>
        <w:rPr>
          <w:color w:val="000000"/>
        </w:rP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before="0" w:after="180"/>
        <w:jc w:val="both"/>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175" w:type="dxa"/>
        <w:jc w:val="left"/>
        <w:tblInd w:w="0" w:type="dxa"/>
        <w:tblCellMar>
          <w:top w:w="28" w:type="dxa"/>
          <w:left w:w="28" w:type="dxa"/>
          <w:bottom w:w="28" w:type="dxa"/>
          <w:right w:w="28" w:type="dxa"/>
        </w:tblCellMar>
      </w:tblPr>
      <w:tblGrid>
        <w:gridCol w:w="824"/>
        <w:gridCol w:w="723"/>
        <w:gridCol w:w="723"/>
        <w:gridCol w:w="2440"/>
        <w:gridCol w:w="2440"/>
        <w:gridCol w:w="2484"/>
        <w:gridCol w:w="158"/>
        <w:gridCol w:w="158"/>
        <w:gridCol w:w="225"/>
      </w:tblGrid>
      <w:tr>
        <w:trPr/>
        <w:tc>
          <w:tcPr>
            <w:tcW w:w="82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440" w:type="dxa"/>
            <w:tcBorders/>
            <w:shd w:fill="auto" w:val="clear"/>
            <w:vAlign w:val="center"/>
          </w:tcPr>
          <w:p>
            <w:pPr>
              <w:pStyle w:val="TableContents"/>
              <w:spacing w:before="0" w:after="283"/>
              <w:rPr>
                <w:sz w:val="4"/>
                <w:szCs w:val="4"/>
              </w:rPr>
            </w:pPr>
            <w:r>
              <w:rPr>
                <w:sz w:val="4"/>
                <w:szCs w:val="4"/>
              </w:rPr>
            </w:r>
          </w:p>
        </w:tc>
        <w:tc>
          <w:tcPr>
            <w:tcW w:w="2440" w:type="dxa"/>
            <w:tcBorders/>
            <w:shd w:fill="auto" w:val="clear"/>
            <w:vAlign w:val="center"/>
          </w:tcPr>
          <w:p>
            <w:pPr>
              <w:pStyle w:val="TableContents"/>
              <w:spacing w:before="0" w:after="283"/>
              <w:rPr>
                <w:sz w:val="4"/>
                <w:szCs w:val="4"/>
              </w:rPr>
            </w:pPr>
            <w:r>
              <w:rPr>
                <w:sz w:val="4"/>
                <w:szCs w:val="4"/>
              </w:rPr>
            </w:r>
          </w:p>
        </w:tc>
        <w:tc>
          <w:tcPr>
            <w:tcW w:w="248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3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3">
              <w:r>
                <w:rPr>
                  <w:rStyle w:val="InternetLink"/>
                  <w:rFonts w:ascii="Times New Roman;sans-serif" w:hAnsi="Times New Roman;sans-serif"/>
                  <w:b w:val="false"/>
                  <w:color w:val="0000FF"/>
                  <w:sz w:val="20"/>
                  <w:u w:val="single"/>
                </w:rPr>
                <w:t>Special Note Regarding Forward-Looking Statements</w:t>
              </w:r>
            </w:hyperlink>
          </w:p>
        </w:tc>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8abd49d24b98401a80fcb151ca3bbbd8_13">
              <w:r>
                <w:rPr>
                  <w:rStyle w:val="InternetLink"/>
                  <w:rFonts w:ascii="Times New Roman;sans-serif" w:hAnsi="Times New Roman;sans-serif"/>
                  <w:b w:val="false"/>
                  <w:color w:val="0000FF"/>
                  <w:sz w:val="20"/>
                  <w:u w:val="single"/>
                </w:rPr>
                <w:t>2</w:t>
              </w:r>
            </w:hyperlink>
          </w:p>
        </w:tc>
      </w:tr>
      <w:tr>
        <w:trPr/>
        <w:tc>
          <w:tcPr>
            <w:tcW w:w="963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6">
              <w:r>
                <w:rPr>
                  <w:rStyle w:val="InternetLink"/>
                  <w:rFonts w:ascii="Times New Roman;sans-serif" w:hAnsi="Times New Roman;sans-serif"/>
                  <w:b w:val="false"/>
                  <w:color w:val="0000FF"/>
                  <w:sz w:val="20"/>
                  <w:u w:val="single"/>
                </w:rPr>
                <w:t>Risk Factor Summary</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6">
              <w:r>
                <w:rPr>
                  <w:rStyle w:val="InternetLink"/>
                  <w:rFonts w:ascii="Times New Roman;sans-serif" w:hAnsi="Times New Roman;sans-serif"/>
                  <w:b w:val="false"/>
                  <w:color w:val="0000FF"/>
                  <w:sz w:val="20"/>
                  <w:u w:val="single"/>
                </w:rPr>
                <w:t>4</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9">
              <w:r>
                <w:rPr>
                  <w:rStyle w:val="InternetLink"/>
                  <w:rFonts w:ascii="Times New Roman;sans-serif" w:hAnsi="Times New Roman;sans-serif"/>
                  <w:b w:val="false"/>
                  <w:color w:val="0000FF"/>
                  <w:sz w:val="20"/>
                  <w:u w:val="single"/>
                </w:rPr>
                <w:t>Part I - Financial Information</w:t>
              </w:r>
            </w:hyperlink>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22">
              <w:r>
                <w:rPr>
                  <w:rStyle w:val="InternetLink"/>
                  <w:rFonts w:ascii="Times New Roman;sans-serif" w:hAnsi="Times New Roman;sans-serif"/>
                  <w:b w:val="false"/>
                  <w:color w:val="0000FF"/>
                  <w:sz w:val="20"/>
                  <w:u w:val="single"/>
                </w:rPr>
                <w:t>Financial Statements (Unaudited)</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22">
              <w:r>
                <w:rPr>
                  <w:rStyle w:val="InternetLink"/>
                  <w:rFonts w:ascii="Times New Roman;sans-serif" w:hAnsi="Times New Roman;sans-serif"/>
                  <w:b w:val="false"/>
                  <w:color w:val="0000FF"/>
                  <w:sz w:val="20"/>
                  <w:u w:val="single"/>
                </w:rPr>
                <w:t>6</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25">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25">
              <w:r>
                <w:rPr>
                  <w:rStyle w:val="InternetLink"/>
                  <w:rFonts w:ascii="Times New Roman;sans-serif" w:hAnsi="Times New Roman;sans-serif"/>
                  <w:b w:val="false"/>
                  <w:color w:val="0000FF"/>
                  <w:sz w:val="20"/>
                  <w:u w:val="single"/>
                </w:rPr>
                <w:t>6</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31">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31">
              <w:r>
                <w:rPr>
                  <w:rStyle w:val="InternetLink"/>
                  <w:rFonts w:ascii="Times New Roman;sans-serif" w:hAnsi="Times New Roman;sans-serif"/>
                  <w:b w:val="false"/>
                  <w:color w:val="0000FF"/>
                  <w:sz w:val="20"/>
                  <w:u w:val="single"/>
                </w:rPr>
                <w:t>7</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34">
              <w:r>
                <w:rPr>
                  <w:rStyle w:val="InternetLink"/>
                  <w:rFonts w:ascii="Times New Roman;sans-serif" w:hAnsi="Times New Roman;sans-serif"/>
                  <w:b w:val="false"/>
                  <w:color w:val="0000FF"/>
                  <w:sz w:val="20"/>
                  <w:u w:val="single"/>
                </w:rPr>
                <w:t>Condensed Consolidated Statements of Comprehensive Loss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34">
              <w:r>
                <w:rPr>
                  <w:rStyle w:val="InternetLink"/>
                  <w:rFonts w:ascii="Times New Roman;sans-serif" w:hAnsi="Times New Roman;sans-serif"/>
                  <w:b w:val="false"/>
                  <w:color w:val="0000FF"/>
                  <w:sz w:val="20"/>
                  <w:u w:val="single"/>
                </w:rPr>
                <w:t>8</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37">
              <w:r>
                <w:rPr>
                  <w:rStyle w:val="InternetLink"/>
                </w:rPr>
                <w:t>Condensed Consolidated Statements of</w:t>
              </w:r>
            </w:hyperlink>
            <w:hyperlink w:anchor="i8abd49d24b98401a80fcb151ca3bbbd8_37">
              <w:r>
                <w:rPr>
                  <w:rStyle w:val="InternetLink"/>
                </w:rPr>
                <w:t xml:space="preserve"> Stockholders’ Equity</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37">
              <w:r>
                <w:rPr>
                  <w:rStyle w:val="InternetLink"/>
                  <w:rFonts w:ascii="Times New Roman;sans-serif" w:hAnsi="Times New Roman;sans-serif"/>
                  <w:b w:val="false"/>
                  <w:color w:val="0000FF"/>
                  <w:sz w:val="20"/>
                  <w:u w:val="single"/>
                </w:rPr>
                <w:t>9</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40">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40">
              <w:r>
                <w:rPr>
                  <w:rStyle w:val="InternetLink"/>
                  <w:rFonts w:ascii="Times New Roman;sans-serif" w:hAnsi="Times New Roman;sans-serif"/>
                  <w:b w:val="false"/>
                  <w:color w:val="0000FF"/>
                  <w:sz w:val="20"/>
                  <w:u w:val="single"/>
                </w:rPr>
                <w:t>10</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43">
              <w:r>
                <w:rPr>
                  <w:rStyle w:val="InternetLink"/>
                  <w:rFonts w:ascii="Times New Roman;sans-serif" w:hAnsi="Times New Roman;sans-serif"/>
                  <w:b w:val="false"/>
                  <w:color w:val="0000FF"/>
                  <w:sz w:val="20"/>
                  <w:u w:val="single"/>
                </w:rPr>
                <w:t>Notes to Condensed Consolidated Financial Statements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43">
              <w:r>
                <w:rPr>
                  <w:rStyle w:val="InternetLink"/>
                  <w:rFonts w:ascii="Times New Roman;sans-serif" w:hAnsi="Times New Roman;sans-serif"/>
                  <w:b w:val="false"/>
                  <w:color w:val="0000FF"/>
                  <w:sz w:val="20"/>
                  <w:u w:val="single"/>
                </w:rPr>
                <w:t>10</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85">
              <w:r>
                <w:rPr>
                  <w:rStyle w:val="InternetLink"/>
                  <w:rFonts w:ascii="Times New Roman;sans-serif" w:hAnsi="Times New Roman;sans-serif"/>
                  <w:b w:val="false"/>
                  <w:color w:val="0000FF"/>
                  <w:sz w:val="20"/>
                  <w:u w:val="single"/>
                </w:rPr>
                <w:t>20</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21">
              <w:r>
                <w:rPr>
                  <w:rStyle w:val="InternetLink"/>
                  <w:rFonts w:ascii="Times New Roman;sans-serif" w:hAnsi="Times New Roman;sans-serif"/>
                  <w:b w:val="false"/>
                  <w:color w:val="0000FF"/>
                  <w:sz w:val="20"/>
                  <w:u w:val="single"/>
                </w:rPr>
                <w:t>Quantitative and Qualitative Disclosures About Market Risk</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21">
              <w:r>
                <w:rPr>
                  <w:rStyle w:val="InternetLink"/>
                  <w:rFonts w:ascii="Times New Roman;sans-serif" w:hAnsi="Times New Roman;sans-serif"/>
                  <w:b w:val="false"/>
                  <w:color w:val="0000FF"/>
                  <w:sz w:val="20"/>
                  <w:u w:val="single"/>
                </w:rPr>
                <w:t>30</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24">
              <w:r>
                <w:rPr>
                  <w:rStyle w:val="InternetLink"/>
                  <w:rFonts w:ascii="Times New Roman;sans-serif" w:hAnsi="Times New Roman;sans-serif"/>
                  <w:b w:val="false"/>
                  <w:color w:val="0000FF"/>
                  <w:sz w:val="20"/>
                  <w:u w:val="single"/>
                </w:rPr>
                <w:t>Controls and Procedures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24">
              <w:r>
                <w:rPr>
                  <w:rStyle w:val="InternetLink"/>
                  <w:rFonts w:ascii="Times New Roman;sans-serif" w:hAnsi="Times New Roman;sans-serif"/>
                  <w:b w:val="false"/>
                  <w:color w:val="0000FF"/>
                  <w:sz w:val="20"/>
                  <w:u w:val="single"/>
                </w:rPr>
                <w:t>30</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27">
              <w:r>
                <w:rPr>
                  <w:rStyle w:val="InternetLink"/>
                  <w:rFonts w:ascii="Times New Roman;sans-serif" w:hAnsi="Times New Roman;sans-serif"/>
                  <w:b w:val="false"/>
                  <w:color w:val="0000FF"/>
                  <w:sz w:val="20"/>
                  <w:u w:val="single"/>
                </w:rPr>
                <w:t>Part II - Other Information</w:t>
              </w:r>
            </w:hyperlink>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30">
              <w:r>
                <w:rPr>
                  <w:rStyle w:val="InternetLink"/>
                  <w:rFonts w:ascii="Times New Roman;sans-serif" w:hAnsi="Times New Roman;sans-serif"/>
                  <w:b w:val="false"/>
                  <w:color w:val="0000FF"/>
                  <w:sz w:val="20"/>
                  <w:u w:val="single"/>
                </w:rPr>
                <w:t>Legal Proceedings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30">
              <w:r>
                <w:rPr>
                  <w:rStyle w:val="InternetLink"/>
                  <w:rFonts w:ascii="Times New Roman;sans-serif" w:hAnsi="Times New Roman;sans-serif"/>
                  <w:b w:val="false"/>
                  <w:color w:val="0000FF"/>
                  <w:sz w:val="20"/>
                  <w:u w:val="single"/>
                </w:rPr>
                <w:t>32</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FF"/>
                <w:sz w:val="20"/>
                <w:u w:val="single"/>
              </w:rPr>
              <w:t>R</w:t>
            </w:r>
            <w:hyperlink w:anchor="i8abd49d24b98401a80fcb151ca3bbbd8_133">
              <w:r>
                <w:rPr>
                  <w:rStyle w:val="InternetLink"/>
                </w:rPr>
                <w:t>isk Factors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33">
              <w:r>
                <w:rPr>
                  <w:rStyle w:val="InternetLink"/>
                  <w:rFonts w:ascii="Times New Roman;sans-serif" w:hAnsi="Times New Roman;sans-serif"/>
                  <w:b w:val="false"/>
                  <w:color w:val="0000FF"/>
                  <w:sz w:val="20"/>
                  <w:u w:val="single"/>
                </w:rPr>
                <w:t>33</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Unregistered Sales of Equity Securities and Use of Proceeds</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36">
              <w:r>
                <w:rPr>
                  <w:rStyle w:val="InternetLink"/>
                  <w:rFonts w:ascii="Times New Roman;sans-serif" w:hAnsi="Times New Roman;sans-serif"/>
                  <w:b w:val="false"/>
                  <w:color w:val="0000FF"/>
                  <w:sz w:val="20"/>
                  <w:u w:val="single"/>
                </w:rPr>
                <w:t>62</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39">
              <w:r>
                <w:rPr>
                  <w:rStyle w:val="InternetLink"/>
                  <w:rFonts w:ascii="Times New Roman;sans-serif" w:hAnsi="Times New Roman;sans-serif"/>
                  <w:b w:val="false"/>
                  <w:color w:val="0000FF"/>
                  <w:sz w:val="20"/>
                  <w:u w:val="single"/>
                </w:rPr>
                <w:t>Defaults Upon Senior Securities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39">
              <w:r>
                <w:rPr>
                  <w:rStyle w:val="InternetLink"/>
                  <w:rFonts w:ascii="Times New Roman;sans-serif" w:hAnsi="Times New Roman;sans-serif"/>
                  <w:b w:val="false"/>
                  <w:color w:val="0000FF"/>
                  <w:sz w:val="20"/>
                  <w:u w:val="single"/>
                </w:rPr>
                <w:t>62</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42">
              <w:r>
                <w:rPr>
                  <w:rStyle w:val="InternetLink"/>
                  <w:rFonts w:ascii="Times New Roman;sans-serif" w:hAnsi="Times New Roman;sans-serif"/>
                  <w:b w:val="false"/>
                  <w:color w:val="0000FF"/>
                  <w:sz w:val="20"/>
                  <w:u w:val="single"/>
                </w:rPr>
                <w:t>Mine Safety Disclosures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42">
              <w:r>
                <w:rPr>
                  <w:rStyle w:val="InternetLink"/>
                  <w:rFonts w:ascii="Times New Roman;sans-serif" w:hAnsi="Times New Roman;sans-serif"/>
                  <w:b w:val="false"/>
                  <w:color w:val="0000FF"/>
                  <w:sz w:val="20"/>
                  <w:u w:val="single"/>
                </w:rPr>
                <w:t>63</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45">
              <w:r>
                <w:rPr>
                  <w:rStyle w:val="InternetLink"/>
                  <w:rFonts w:ascii="Times New Roman;sans-serif" w:hAnsi="Times New Roman;sans-serif"/>
                  <w:b w:val="false"/>
                  <w:color w:val="0000FF"/>
                  <w:sz w:val="20"/>
                  <w:u w:val="single"/>
                </w:rPr>
                <w:t>Other Information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45">
              <w:r>
                <w:rPr>
                  <w:rStyle w:val="InternetLink"/>
                  <w:rFonts w:ascii="Times New Roman;sans-serif" w:hAnsi="Times New Roman;sans-serif"/>
                  <w:b w:val="false"/>
                  <w:color w:val="0000FF"/>
                  <w:sz w:val="20"/>
                  <w:u w:val="single"/>
                </w:rPr>
                <w:t>63</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abd49d24b98401a80fcb151ca3bbbd8_148">
              <w:r>
                <w:rPr>
                  <w:rStyle w:val="InternetLink"/>
                  <w:rFonts w:ascii="Times New Roman;sans-serif" w:hAnsi="Times New Roman;sans-serif"/>
                  <w:b w:val="false"/>
                  <w:color w:val="0000FF"/>
                  <w:sz w:val="20"/>
                  <w:u w:val="single"/>
                </w:rPr>
                <w:t>Exhibits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48">
              <w:r>
                <w:rPr>
                  <w:rStyle w:val="InternetLink"/>
                  <w:rFonts w:ascii="Times New Roman;sans-serif" w:hAnsi="Times New Roman;sans-serif"/>
                  <w:b w:val="false"/>
                  <w:color w:val="0000FF"/>
                  <w:sz w:val="20"/>
                  <w:u w:val="single"/>
                </w:rPr>
                <w:t>64</w:t>
              </w:r>
            </w:hyperlink>
          </w:p>
        </w:tc>
      </w:tr>
      <w:tr>
        <w:trPr/>
        <w:tc>
          <w:tcPr>
            <w:tcW w:w="9634"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51">
              <w:r>
                <w:rPr>
                  <w:rStyle w:val="InternetLink"/>
                  <w:rFonts w:ascii="Times New Roman;sans-serif" w:hAnsi="Times New Roman;sans-serif"/>
                  <w:b w:val="false"/>
                  <w:color w:val="0000FF"/>
                  <w:sz w:val="20"/>
                  <w:u w:val="single"/>
                </w:rPr>
                <w:t>Signatures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abd49d24b98401a80fcb151ca3bbbd8_151">
              <w:r>
                <w:rPr>
                  <w:rStyle w:val="InternetLink"/>
                  <w:rFonts w:ascii="Times New Roman;sans-serif" w:hAnsi="Times New Roman;sans-serif"/>
                  <w:b w:val="false"/>
                  <w:color w:val="0000FF"/>
                  <w:sz w:val="20"/>
                  <w:u w:val="single"/>
                </w:rPr>
                <w:t>65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w:t>
                      </w:r>
                    </w:p>
                  </w:txbxContent>
                </v:textbox>
              </v:rect>
            </w:pict>
          </mc:Fallback>
        </mc:AlternateContent>
      </w:r>
    </w:p>
    <w:p>
      <w:pPr>
        <w:pStyle w:val="TextBody"/>
        <w:spacing w:lineRule="auto" w:line="288" w:before="0" w:after="180"/>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0"/>
        <w:ind w:left="0" w:right="0" w:firstLine="720"/>
        <w:jc w:val="both"/>
        <w:rPr/>
      </w:pPr>
      <w:r>
        <w:rPr>
          <w:rFonts w:ascii="Times New Roman;sans-serif" w:hAnsi="Times New Roman;sans-serif"/>
          <w:b w:val="false"/>
          <w:color w:val="000000"/>
          <w:sz w:val="20"/>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 “targets,” and variations of such words and similar expressions are intended to identify forward-looking statements.</w:t>
      </w:r>
      <w:r>
        <w:rPr>
          <w:color w:val="000000"/>
        </w:rPr>
        <w:t xml:space="preserve"> </w:t>
      </w:r>
      <w:r>
        <w:rPr>
          <w:rFonts w:ascii="Times New Roman;sans-serif" w:hAnsi="Times New Roman;sans-serif"/>
          <w:b w:val="false"/>
          <w:color w:val="000000"/>
          <w:sz w:val="20"/>
        </w:rPr>
        <w:t>Forward-looking statements in this Quarterly Report may include, for example, statements about:</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anticipated growth, including our ability to scale new neighbor growth, our ability to grow engagement by our existing neighbor base and our ability to increase monetization of our platform;</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our ability to scale our business and monetization efforts;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political, economic, and macroeconomic climate, whether in the advertising industry in general, or among specific types of advertisers or within particular geographies, including but not limited to the impacts related to recent turmoil in the global banking system, labor shortages, supply chain disruptions, a potential recession, inflation, and rising interest rates;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expand our business operations abroad by opening new and expanding within existing neighborhoods outside of the United States;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respond to general economic conditions;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invest in, and the ultimate success of, technologies aimed at enhancing our business solutions and delivering additional value to our platform;</w:t>
      </w:r>
    </w:p>
    <w:p>
      <w:pPr>
        <w:pStyle w:val="TextBody"/>
        <w:spacing w:before="0" w:after="0"/>
        <w:ind w:left="0" w:right="0" w:firstLine="36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our ability to manage growth effectively;</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our ability to achieve and maintain profitability in the future;</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our ability to access sources of capital to finance operations and growth;</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the success of strategic relationships with third parties;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our ability to maintain the listing of our Class A common stock on the New York Stock Exchange;</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changes in applicable laws or regulations, both within and outside of the United States;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the impact of the regulatory environment and complexities with compliance related to such environment;</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the inability to develop and maintain effective internal controls;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as a result of interruptions, delays, or failures resulting from earthquakes, fires, floods, adverse weather conditions, other natural disasters, power loss, terrorism, pandemics, geopolitical conflict (including the war in Ukraine), other physical security threats, cyber-attacks, or other catastrophic events;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our ability to raise financing in the future;</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our success in retaining or recruiting, or changes required in, our officers, key employees, or directors;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our financial performance; and</w:t>
      </w:r>
    </w:p>
    <w:p>
      <w:pPr>
        <w:pStyle w:val="TextBody"/>
        <w:spacing w:before="0" w:after="0"/>
        <w:ind w:left="0" w:right="0" w:firstLine="36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other factors detailed in Part II, Item 1A, “Risk Factors” in this Quarterly Report.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as of the date of this filing about future events and trends that we believe may affect our financial condition, results of operations, business strategy, short-</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w:t>
                      </w:r>
                    </w:p>
                  </w:txbxContent>
                </v:textbox>
              </v:rect>
            </w:pict>
          </mc:Fallback>
        </mc:AlternateContent>
      </w:r>
    </w:p>
    <w:p>
      <w:pPr>
        <w:pStyle w:val="TextBody"/>
        <w:spacing w:lineRule="auto" w:line="288" w:before="0" w:after="180"/>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w:t>
                      </w:r>
                    </w:p>
                  </w:txbxContent>
                </v:textbox>
              </v:rect>
            </w:pict>
          </mc:Fallback>
        </mc:AlternateContent>
      </w:r>
    </w:p>
    <w:p>
      <w:pPr>
        <w:pStyle w:val="TextBody"/>
        <w:spacing w:lineRule="auto" w:line="288" w:before="0" w:after="180"/>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Adverse global economic and financial conditions could harm our business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highly competitive. Competition presents an ongoing threat to the success of our business.</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plan to continue expanding our international operations where we have limited operating experience and may be subject to increased business, regulatory, and economic risks that could seriously harm our business, operating results,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If we need additional capital in the future, it may not be available on favorable terms, if at all.</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Technologies have been developed that can block the display of advertisements on the Nextdoor platform, which could adversely impact our business, operating results,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Security breaches, including improper access to or disclosure of our data or our neighbors’ data, or other hacking and phishing attacks on our or third-party systems, could harm our reputation and adversely affect our business.</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w:t>
                      </w:r>
                    </w:p>
                  </w:txbxContent>
                </v:textbox>
              </v:rect>
            </w:pict>
          </mc:Fallback>
        </mc:AlternateContent>
      </w:r>
    </w:p>
    <w:p>
      <w:pPr>
        <w:pStyle w:val="TextBody"/>
        <w:spacing w:lineRule="auto" w:line="288" w:before="0" w:after="180"/>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Certain of our market opportunities and key metric estimates could prove to be inaccurate, and any real or perceived inaccuracies may harm our reputation and negatively affect our business.</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may have greater than anticipated tax liabilities, which could harm our business, revenue and financial results.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liable as a result of content or information that is published or made available on our platform.</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conditions.</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could be involved in legal disputes that are expensive and time consuming, and, if resolved adversely, could harm our business, operating results,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Failure to maintain effective systems of internal controls and disclosure controls could have a material adverse effect on our business, operating results,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If we are unable to protect our intellectual property, the value of our brands and other intangible assets may be diminished, and our business, operating results, and financial condition may be adversely affected.</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use of “open source” software could subject us to possible litigation or could prevent us from offering products that include open source software or require us to obtain licenses on unfavorable terms.</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license technology from third parties, and our inability to maintain those licenses could harm our business.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price of our Class A common stock has been and may continue to be volatile.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dual class structure of our common stock may adversely affect the trading market for our Class A common stock.</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do not intend to pay cash dividends for the foreseeable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w:t>
                      </w:r>
                    </w:p>
                  </w:txbxContent>
                </v:textbox>
              </v:rect>
            </w:pict>
          </mc:Fallback>
        </mc:AlternateContent>
      </w:r>
    </w:p>
    <w:p>
      <w:pPr>
        <w:pStyle w:val="TextBody"/>
        <w:spacing w:lineRule="auto" w:line="288" w:before="0" w:after="180"/>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p>
      <w:pPr>
        <w:pStyle w:val="TextBody"/>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CellMar>
          <w:top w:w="28" w:type="dxa"/>
          <w:left w:w="28" w:type="dxa"/>
          <w:bottom w:w="28" w:type="dxa"/>
          <w:right w:w="28" w:type="dxa"/>
        </w:tblCellMar>
      </w:tblPr>
      <w:tblGrid>
        <w:gridCol w:w="2789"/>
        <w:gridCol w:w="2288"/>
        <w:gridCol w:w="2246"/>
        <w:gridCol w:w="221"/>
        <w:gridCol w:w="866"/>
        <w:gridCol w:w="114"/>
        <w:gridCol w:w="109"/>
        <w:gridCol w:w="109"/>
        <w:gridCol w:w="109"/>
        <w:gridCol w:w="239"/>
        <w:gridCol w:w="938"/>
        <w:gridCol w:w="177"/>
      </w:tblGrid>
      <w:tr>
        <w:trPr/>
        <w:tc>
          <w:tcPr>
            <w:tcW w:w="2789" w:type="dxa"/>
            <w:tcBorders/>
            <w:shd w:fill="auto" w:val="clear"/>
            <w:vAlign w:val="center"/>
          </w:tcPr>
          <w:p>
            <w:pPr>
              <w:pStyle w:val="TableContents"/>
              <w:spacing w:before="0" w:after="283"/>
              <w:rPr>
                <w:sz w:val="4"/>
                <w:szCs w:val="4"/>
              </w:rPr>
            </w:pPr>
            <w:r>
              <w:rPr>
                <w:sz w:val="4"/>
                <w:szCs w:val="4"/>
              </w:rPr>
            </w:r>
          </w:p>
        </w:tc>
        <w:tc>
          <w:tcPr>
            <w:tcW w:w="2288" w:type="dxa"/>
            <w:tcBorders/>
            <w:shd w:fill="auto" w:val="clear"/>
            <w:vAlign w:val="center"/>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7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55,236 </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507,010 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$373 and $422 as of March 31, 2023 and December 31, 2022, respectively</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29,770 </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12,185 </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52,555 </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4,535 </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7,766 </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22,362 </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45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53,831 </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7)</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2,500,000 shares authorized, 158,918 and 153,693 shares issued and outstanding as of March 31, 2023 and December 31, 2022, respectively</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500,000 shares authorized, 215,596 and 218,029 shares issued and outstanding as of March 31, 2023 and December 31, 2022, respectively</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1,249,043 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1,231,482 </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(651,971)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(618,255)</w:t>
            </w:r>
          </w:p>
        </w:tc>
        <w:tc>
          <w:tcPr>
            <w:tcW w:w="1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611,068 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694,786 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699,562 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180"/>
                        <w:ind w:left="0" w:right="0" w:firstLine="3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w:t>
                      </w:r>
                    </w:p>
                  </w:txbxContent>
                </v:textbox>
              </v:rect>
            </w:pict>
          </mc:Fallback>
        </mc:AlternateContent>
      </w:r>
    </w:p>
    <w:p>
      <w:pPr>
        <w:pStyle w:val="TextBody"/>
        <w:spacing w:lineRule="auto" w:line="288" w:before="0" w:after="180"/>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p>
      <w:pPr>
        <w:pStyle w:val="TextBody"/>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CellMar>
          <w:top w:w="28" w:type="dxa"/>
          <w:left w:w="28" w:type="dxa"/>
          <w:bottom w:w="28" w:type="dxa"/>
          <w:right w:w="28" w:type="dxa"/>
        </w:tblCellMar>
      </w:tblPr>
      <w:tblGrid>
        <w:gridCol w:w="2526"/>
        <w:gridCol w:w="2049"/>
        <w:gridCol w:w="2073"/>
        <w:gridCol w:w="109"/>
        <w:gridCol w:w="109"/>
        <w:gridCol w:w="155"/>
        <w:gridCol w:w="155"/>
        <w:gridCol w:w="301"/>
        <w:gridCol w:w="1108"/>
        <w:gridCol w:w="155"/>
        <w:gridCol w:w="109"/>
        <w:gridCol w:w="109"/>
        <w:gridCol w:w="109"/>
        <w:gridCol w:w="211"/>
        <w:gridCol w:w="768"/>
        <w:gridCol w:w="159"/>
      </w:tblGrid>
      <w:tr>
        <w:trPr/>
        <w:tc>
          <w:tcPr>
            <w:tcW w:w="2526"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6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65" w:type="dxa"/>
            <w:gridSpan w:val="6"/>
            <w:tcBorders/>
            <w:shd w:fill="auto" w:val="clear"/>
          </w:tcPr>
          <w:p>
            <w:pPr>
              <w:pStyle w:val="TableContents"/>
              <w:spacing w:before="0" w:after="283"/>
              <w:rPr>
                <w:sz w:val="4"/>
                <w:szCs w:val="4"/>
              </w:rPr>
            </w:pPr>
            <w:r>
              <w:rPr>
                <w:sz w:val="4"/>
                <w:szCs w:val="4"/>
              </w:rPr>
            </w:r>
          </w:p>
        </w:tc>
      </w:tr>
      <w:tr>
        <w:trPr/>
        <w:tc>
          <w:tcPr>
            <w:tcW w:w="66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Class A and Class B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373,025 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381,877 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LOSS </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CellMar>
          <w:top w:w="28" w:type="dxa"/>
          <w:left w:w="28" w:type="dxa"/>
          <w:bottom w:w="28" w:type="dxa"/>
          <w:right w:w="28" w:type="dxa"/>
        </w:tblCellMar>
      </w:tblPr>
      <w:tblGrid>
        <w:gridCol w:w="2219"/>
        <w:gridCol w:w="1932"/>
        <w:gridCol w:w="1969"/>
        <w:gridCol w:w="109"/>
        <w:gridCol w:w="109"/>
        <w:gridCol w:w="194"/>
        <w:gridCol w:w="194"/>
        <w:gridCol w:w="375"/>
        <w:gridCol w:w="1419"/>
        <w:gridCol w:w="194"/>
        <w:gridCol w:w="109"/>
        <w:gridCol w:w="109"/>
        <w:gridCol w:w="109"/>
        <w:gridCol w:w="211"/>
        <w:gridCol w:w="794"/>
        <w:gridCol w:w="159"/>
      </w:tblGrid>
      <w:tr>
        <w:trPr/>
        <w:tc>
          <w:tcPr>
            <w:tcW w:w="2219"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91" w:type="dxa"/>
            <w:gridSpan w:val="6"/>
            <w:tcBorders/>
            <w:shd w:fill="auto" w:val="clear"/>
          </w:tcPr>
          <w:p>
            <w:pPr>
              <w:pStyle w:val="TableContents"/>
              <w:spacing w:before="0" w:after="283"/>
              <w:rPr>
                <w:sz w:val="4"/>
                <w:szCs w:val="4"/>
              </w:rPr>
            </w:pPr>
            <w:r>
              <w:rPr>
                <w:sz w:val="4"/>
                <w:szCs w:val="4"/>
              </w:rPr>
            </w:r>
          </w:p>
        </w:tc>
      </w:tr>
      <w:tr>
        <w:trPr/>
        <w:tc>
          <w:tcPr>
            <w:tcW w:w="6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88" w:type="dxa"/>
            <w:gridSpan w:val="3"/>
            <w:tcBorders/>
            <w:shd w:fill="auto" w:val="clear"/>
            <w:vAlign w:val="center"/>
          </w:tcPr>
          <w:p>
            <w:pPr>
              <w:pStyle w:val="TableContents"/>
              <w:spacing w:before="0" w:after="283"/>
              <w:ind w:left="0" w:right="0" w:hanging="180"/>
              <w:rPr>
                <w:sz w:val="4"/>
                <w:szCs w:val="4"/>
              </w:rPr>
            </w:pPr>
            <w:r>
              <w:rPr>
                <w:sz w:val="4"/>
                <w:szCs w:val="4"/>
              </w:rPr>
            </w:r>
          </w:p>
        </w:tc>
        <w:tc>
          <w:tcPr>
            <w:tcW w:w="1491" w:type="dxa"/>
            <w:gridSpan w:val="6"/>
            <w:tcBorders/>
            <w:shd w:fill="auto" w:val="clea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 (loss) on available-for-sale marketable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(32,206)</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(34,460)</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2785" w:type="dxa"/>
        <w:jc w:val="center"/>
        <w:tblInd w:w="0" w:type="dxa"/>
        <w:tblCellMar>
          <w:top w:w="28" w:type="dxa"/>
          <w:left w:w="28" w:type="dxa"/>
          <w:bottom w:w="28" w:type="dxa"/>
          <w:right w:w="28" w:type="dxa"/>
        </w:tblCellMar>
      </w:tblPr>
      <w:tblGrid>
        <w:gridCol w:w="649"/>
        <w:gridCol w:w="268"/>
        <w:gridCol w:w="269"/>
        <w:gridCol w:w="109"/>
        <w:gridCol w:w="109"/>
        <w:gridCol w:w="109"/>
        <w:gridCol w:w="153"/>
        <w:gridCol w:w="153"/>
        <w:gridCol w:w="475"/>
        <w:gridCol w:w="261"/>
        <w:gridCol w:w="154"/>
        <w:gridCol w:w="109"/>
        <w:gridCol w:w="109"/>
        <w:gridCol w:w="109"/>
        <w:gridCol w:w="251"/>
        <w:gridCol w:w="331"/>
        <w:gridCol w:w="109"/>
        <w:gridCol w:w="109"/>
        <w:gridCol w:w="109"/>
        <w:gridCol w:w="109"/>
        <w:gridCol w:w="368"/>
        <w:gridCol w:w="368"/>
        <w:gridCol w:w="196"/>
        <w:gridCol w:w="109"/>
        <w:gridCol w:w="109"/>
        <w:gridCol w:w="109"/>
        <w:gridCol w:w="268"/>
        <w:gridCol w:w="453"/>
        <w:gridCol w:w="150"/>
        <w:gridCol w:w="230"/>
        <w:gridCol w:w="230"/>
        <w:gridCol w:w="231"/>
        <w:gridCol w:w="202"/>
        <w:gridCol w:w="900"/>
        <w:gridCol w:w="114"/>
        <w:gridCol w:w="109"/>
        <w:gridCol w:w="109"/>
        <w:gridCol w:w="109"/>
        <w:gridCol w:w="235"/>
        <w:gridCol w:w="685"/>
        <w:gridCol w:w="131"/>
        <w:gridCol w:w="109"/>
        <w:gridCol w:w="109"/>
        <w:gridCol w:w="109"/>
        <w:gridCol w:w="292"/>
        <w:gridCol w:w="1120"/>
        <w:gridCol w:w="164"/>
        <w:gridCol w:w="109"/>
        <w:gridCol w:w="109"/>
        <w:gridCol w:w="109"/>
        <w:gridCol w:w="196"/>
        <w:gridCol w:w="736"/>
        <w:gridCol w:w="154"/>
      </w:tblGrid>
      <w:tr>
        <w:trPr/>
        <w:tc>
          <w:tcPr>
            <w:tcW w:w="64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66"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6"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Stockholders’Equity</w:t>
            </w:r>
          </w:p>
        </w:tc>
        <w:tc>
          <w:tcPr>
            <w:tcW w:w="1413" w:type="dxa"/>
            <w:gridSpan w:val="6"/>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5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1,231,482 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(618,255)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from Class B to Class A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215,596 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1,249,043 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(651,971)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66"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6"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Stockholders’Equity</w:t>
            </w:r>
          </w:p>
        </w:tc>
        <w:tc>
          <w:tcPr>
            <w:tcW w:w="1413" w:type="dxa"/>
            <w:gridSpan w:val="6"/>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5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1,225,815 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(480,339)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acquisition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(32,948)</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307,228 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1,242,955 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(513,287)</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727,666 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10076" w:type="dxa"/>
            <w:gridSpan w:val="42"/>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4694" w:type="dxa"/>
            <w:gridSpan w:val="18"/>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7" w:type="dxa"/>
            <w:gridSpan w:val="15"/>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10076" w:type="dxa"/>
            <w:gridSpan w:val="42"/>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4694" w:type="dxa"/>
            <w:gridSpan w:val="18"/>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7" w:type="dxa"/>
            <w:gridSpan w:val="15"/>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8128" w:type="dxa"/>
        <w:jc w:val="left"/>
        <w:tblInd w:w="0" w:type="dxa"/>
        <w:tblCellMar>
          <w:top w:w="28" w:type="dxa"/>
          <w:left w:w="28" w:type="dxa"/>
          <w:bottom w:w="28" w:type="dxa"/>
          <w:right w:w="28" w:type="dxa"/>
        </w:tblCellMar>
      </w:tblPr>
      <w:tblGrid>
        <w:gridCol w:w="2059"/>
        <w:gridCol w:w="1806"/>
        <w:gridCol w:w="1820"/>
        <w:gridCol w:w="196"/>
        <w:gridCol w:w="723"/>
        <w:gridCol w:w="109"/>
        <w:gridCol w:w="109"/>
        <w:gridCol w:w="109"/>
        <w:gridCol w:w="109"/>
        <w:gridCol w:w="196"/>
        <w:gridCol w:w="738"/>
        <w:gridCol w:w="154"/>
      </w:tblGrid>
      <w:tr>
        <w:trPr/>
        <w:tc>
          <w:tcPr>
            <w:tcW w:w="2059"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85"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(318,245)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marketable securities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 net of repurchases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transaction costs related to the Reverse Recapitalization</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(313,844)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521,812 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disclosures:</w:t>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and early exercised stock options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arising from obtaining right-of-use assets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not yet settled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180"/>
        <w:jc w:val="center"/>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 Description of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2022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2022.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2023 or any other future interim or annual period.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Company’s significant accounting policies disclosed in Note 2 to the consolidated financial statements described in the Company’s Annual Report on Form 10-K as of and for the year ended December 31, 2022 that have had a material impact on the Company’s condensed consolidated financial statements and related notes.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spacing w:lineRule="auto" w:line="288" w:before="0" w:after="180"/>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Instruments—Credit Losses (Topic 326): Measurement of Credit Losses on Financial Instruments</w:t>
      </w:r>
      <w:r>
        <w:rPr>
          <w:rFonts w:ascii="Times New Roman;sans-serif" w:hAnsi="Times New Roman;sans-serif"/>
          <w:b w:val="false"/>
          <w:color w:val="000000"/>
          <w:sz w:val="20"/>
        </w:rPr>
        <w:t xml:space="preserve">, and has since issued various amendments including ASU 2018-19, ASU 2019-04, and ASU 2019-05. The guidance and related amendments modify the accounting for credit losses for most financial assets and require the use of an expected loss model, replacing the currently used incurred loss method. Under this model, entities will be required to estimate the lifetime expected credit loss on such instruments and record an allowance to offset the amortized cost basis of the financial asset, resulting in a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presentation of the amount expected to be collected on the financial asset. The Company adopted this standard as of January 1, 2023, and the adoption did not have an impact on the Company’s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3. Deferred 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advertising arrangements the Company requires payment upfront from its customers. The Company records deferred revenue when it collects cash from customers in advance of revenue recognition. As of March 31, 2023 and December 31, 2022, deferred revenue was $6.8 million and $6.0 million, respectively, and included within accrued expenses and other current liabilities on the condensed consolidated balance sheets. For the three months ended March 31, 2023 and 2022, revenue recognized from deferred revenue at the beginning of each period was $2.6 million and $2.9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4. Cash Equivalents and Marketable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costs, unrealized gains and losses, and estimated fair values of the Company’s cash equivalents and marketable securities were as follows (in thousands):</w:t>
      </w:r>
    </w:p>
    <w:tbl>
      <w:tblPr>
        <w:tblW w:w="7525" w:type="dxa"/>
        <w:jc w:val="left"/>
        <w:tblInd w:w="0" w:type="dxa"/>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11"/>
        <w:gridCol w:w="691"/>
        <w:gridCol w:w="109"/>
        <w:gridCol w:w="109"/>
        <w:gridCol w:w="109"/>
        <w:gridCol w:w="109"/>
        <w:gridCol w:w="211"/>
        <w:gridCol w:w="826"/>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525" w:type="dxa"/>
        <w:jc w:val="left"/>
        <w:tblInd w:w="0" w:type="dxa"/>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11"/>
        <w:gridCol w:w="691"/>
        <w:gridCol w:w="109"/>
        <w:gridCol w:w="109"/>
        <w:gridCol w:w="109"/>
        <w:gridCol w:w="109"/>
        <w:gridCol w:w="211"/>
        <w:gridCol w:w="826"/>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marketable securities are designated as available-for-sale securities as of March 31, 2023 and December 31, 2022. No investments had been in an unrealized loss position for greater than 12 months as of March 31, 2023 and December 31, 2022.</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contractual maturities of the Company’s marketable securities (in thousands):</w:t>
      </w:r>
    </w:p>
    <w:tbl>
      <w:tblPr>
        <w:tblW w:w="5561" w:type="dxa"/>
        <w:jc w:val="left"/>
        <w:tblInd w:w="0" w:type="dxa"/>
        <w:tblCellMar>
          <w:top w:w="28" w:type="dxa"/>
          <w:left w:w="28" w:type="dxa"/>
          <w:bottom w:w="28" w:type="dxa"/>
          <w:right w:w="28" w:type="dxa"/>
        </w:tblCellMar>
      </w:tblPr>
      <w:tblGrid>
        <w:gridCol w:w="815"/>
        <w:gridCol w:w="714"/>
        <w:gridCol w:w="720"/>
        <w:gridCol w:w="229"/>
        <w:gridCol w:w="898"/>
        <w:gridCol w:w="118"/>
        <w:gridCol w:w="109"/>
        <w:gridCol w:w="109"/>
        <w:gridCol w:w="109"/>
        <w:gridCol w:w="308"/>
        <w:gridCol w:w="1207"/>
        <w:gridCol w:w="225"/>
      </w:tblGrid>
      <w:tr>
        <w:trPr/>
        <w:tc>
          <w:tcPr>
            <w:tcW w:w="81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Estimated Fair Value </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to four years</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133,578 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507,010 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561" w:type="dxa"/>
        <w:jc w:val="left"/>
        <w:tblInd w:w="0" w:type="dxa"/>
        <w:tblCellMar>
          <w:top w:w="28" w:type="dxa"/>
          <w:left w:w="28" w:type="dxa"/>
          <w:bottom w:w="28" w:type="dxa"/>
          <w:right w:w="28" w:type="dxa"/>
        </w:tblCellMar>
      </w:tblPr>
      <w:tblGrid>
        <w:gridCol w:w="815"/>
        <w:gridCol w:w="714"/>
        <w:gridCol w:w="720"/>
        <w:gridCol w:w="229"/>
        <w:gridCol w:w="898"/>
        <w:gridCol w:w="118"/>
        <w:gridCol w:w="109"/>
        <w:gridCol w:w="109"/>
        <w:gridCol w:w="109"/>
        <w:gridCol w:w="308"/>
        <w:gridCol w:w="1207"/>
        <w:gridCol w:w="225"/>
      </w:tblGrid>
      <w:tr>
        <w:trPr/>
        <w:tc>
          <w:tcPr>
            <w:tcW w:w="81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3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Estimated Fair Value </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471,378 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to four years</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530,474 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5. Fair Value Measurements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recurring basis are classified by level within the fair value hierarchy. There were no financial assets or liabilities measured using Level 3 inputs as of March 31, 2023 and December 31, 2022. The following table presents information about the Company’s financial assets that are measured at fair value on a recurring basis (in thousands):</w:t>
      </w:r>
    </w:p>
    <w:tbl>
      <w:tblPr>
        <w:tblW w:w="8081" w:type="dxa"/>
        <w:jc w:val="left"/>
        <w:tblInd w:w="0" w:type="dxa"/>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4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tbl>
      <w:tblPr>
        <w:tblW w:w="8081" w:type="dxa"/>
        <w:jc w:val="left"/>
        <w:tblInd w:w="0" w:type="dxa"/>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pStyle w:val="TextBody"/>
        <w:spacing w:lineRule="auto" w:line="288" w:before="0" w:after="180"/>
        <w:jc w:val="both"/>
        <w:rPr/>
      </w:pPr>
      <w:r>
        <w:rPr>
          <w:rFonts w:ascii="Times New Roman;sans-serif" w:hAnsi="Times New Roman;sans-serif"/>
          <w:b w:val="false"/>
          <w:color w:val="000000"/>
          <w:sz w:val="20"/>
        </w:rPr>
        <w:br/>
      </w:r>
      <w:r>
        <w:rPr>
          <w:rFonts w:ascii="Times New Roman;sans-serif" w:hAnsi="Times New Roman;sans-serif"/>
          <w:b/>
          <w:i/>
          <w:color w:val="000000"/>
          <w:sz w:val="20"/>
        </w:rPr>
        <w:t xml:space="preserve">Assets and Liabilities Measured at Fair Value on a Recurring Basis </w:t>
      </w:r>
    </w:p>
    <w:p>
      <w:pPr>
        <w:pStyle w:val="TextBody"/>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certain financial instruments, including cash held in banks, accounts receivable, and accounts payable approximate fair value due to their short-term maturities and are excluded from the fair value table above.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Financial Instruments, Assets, and Liabilities Not Recorded at Fair Value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assets not recorded at fair value (in thousands):</w:t>
      </w:r>
    </w:p>
    <w:tbl>
      <w:tblPr>
        <w:tblW w:w="7482" w:type="dxa"/>
        <w:jc w:val="left"/>
        <w:tblInd w:w="0" w:type="dxa"/>
        <w:tblCellMar>
          <w:top w:w="28" w:type="dxa"/>
          <w:left w:w="28" w:type="dxa"/>
          <w:bottom w:w="28" w:type="dxa"/>
          <w:right w:w="28" w:type="dxa"/>
        </w:tblCellMar>
      </w:tblPr>
      <w:tblGrid>
        <w:gridCol w:w="504"/>
        <w:gridCol w:w="444"/>
        <w:gridCol w:w="447"/>
        <w:gridCol w:w="318"/>
        <w:gridCol w:w="928"/>
        <w:gridCol w:w="164"/>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482" w:type="dxa"/>
        <w:jc w:val="left"/>
        <w:tblInd w:w="0" w:type="dxa"/>
        <w:tblCellMar>
          <w:top w:w="28" w:type="dxa"/>
          <w:left w:w="28" w:type="dxa"/>
          <w:bottom w:w="28" w:type="dxa"/>
          <w:right w:w="28" w:type="dxa"/>
        </w:tblCellMar>
      </w:tblPr>
      <w:tblGrid>
        <w:gridCol w:w="504"/>
        <w:gridCol w:w="444"/>
        <w:gridCol w:w="447"/>
        <w:gridCol w:w="318"/>
        <w:gridCol w:w="928"/>
        <w:gridCol w:w="164"/>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there were no financial instruments or liabilities that were not recorded at fair value.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6. Leases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On January 30, 2023, the Company entered into a lease amendment for its headquarters lease. The lease amendment extended the lease term through April 30, 2032, and resulted in an increase to right-of-use assets and operating lease liabilities. The Company's lease agreements generally do not contain any material residual value guarantees or material restrictive covenants.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were as follows (in thousands):</w:t>
      </w:r>
    </w:p>
    <w:tbl>
      <w:tblPr>
        <w:tblW w:w="4238" w:type="dxa"/>
        <w:jc w:val="left"/>
        <w:tblInd w:w="0" w:type="dxa"/>
        <w:tblCellMar>
          <w:top w:w="28" w:type="dxa"/>
          <w:left w:w="28" w:type="dxa"/>
          <w:bottom w:w="28" w:type="dxa"/>
          <w:right w:w="28" w:type="dxa"/>
        </w:tblCellMar>
      </w:tblPr>
      <w:tblGrid>
        <w:gridCol w:w="651"/>
        <w:gridCol w:w="572"/>
        <w:gridCol w:w="576"/>
        <w:gridCol w:w="229"/>
        <w:gridCol w:w="671"/>
        <w:gridCol w:w="118"/>
        <w:gridCol w:w="118"/>
        <w:gridCol w:w="118"/>
        <w:gridCol w:w="118"/>
        <w:gridCol w:w="229"/>
        <w:gridCol w:w="671"/>
        <w:gridCol w:w="167"/>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the Company’s operating leases was as follows (in thousands):</w:t>
      </w:r>
    </w:p>
    <w:tbl>
      <w:tblPr>
        <w:tblW w:w="8303" w:type="dxa"/>
        <w:jc w:val="left"/>
        <w:tblInd w:w="0" w:type="dxa"/>
        <w:tblCellMar>
          <w:top w:w="28" w:type="dxa"/>
          <w:left w:w="28" w:type="dxa"/>
          <w:bottom w:w="28" w:type="dxa"/>
          <w:right w:w="28" w:type="dxa"/>
        </w:tblCellMar>
      </w:tblPr>
      <w:tblGrid>
        <w:gridCol w:w="2126"/>
        <w:gridCol w:w="1864"/>
        <w:gridCol w:w="1874"/>
        <w:gridCol w:w="229"/>
        <w:gridCol w:w="671"/>
        <w:gridCol w:w="118"/>
        <w:gridCol w:w="118"/>
        <w:gridCol w:w="118"/>
        <w:gridCol w:w="118"/>
        <w:gridCol w:w="229"/>
        <w:gridCol w:w="671"/>
        <w:gridCol w:w="167"/>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terms and discount rates for operating leases were as follows:</w:t>
      </w:r>
    </w:p>
    <w:tbl>
      <w:tblPr>
        <w:tblW w:w="5626" w:type="dxa"/>
        <w:jc w:val="left"/>
        <w:tblInd w:w="0" w:type="dxa"/>
        <w:tblCellMar>
          <w:top w:w="28" w:type="dxa"/>
          <w:left w:w="28" w:type="dxa"/>
          <w:bottom w:w="28" w:type="dxa"/>
          <w:right w:w="28" w:type="dxa"/>
        </w:tblCellMar>
      </w:tblPr>
      <w:tblGrid>
        <w:gridCol w:w="1410"/>
        <w:gridCol w:w="1241"/>
        <w:gridCol w:w="1249"/>
        <w:gridCol w:w="203"/>
        <w:gridCol w:w="203"/>
        <w:gridCol w:w="271"/>
        <w:gridCol w:w="109"/>
        <w:gridCol w:w="109"/>
        <w:gridCol w:w="109"/>
        <w:gridCol w:w="203"/>
        <w:gridCol w:w="203"/>
        <w:gridCol w:w="316"/>
      </w:tblGrid>
      <w:tr>
        <w:trPr/>
        <w:tc>
          <w:tcPr>
            <w:tcW w:w="1410"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future minimum lease payments under operating leases were as follows (in thousands):</w:t>
      </w:r>
    </w:p>
    <w:tbl>
      <w:tblPr>
        <w:tblW w:w="4340" w:type="dxa"/>
        <w:jc w:val="left"/>
        <w:tblInd w:w="0" w:type="dxa"/>
        <w:tblCellMar>
          <w:top w:w="28" w:type="dxa"/>
          <w:left w:w="28" w:type="dxa"/>
          <w:bottom w:w="28" w:type="dxa"/>
          <w:right w:w="28" w:type="dxa"/>
        </w:tblCellMar>
      </w:tblPr>
      <w:tblGrid>
        <w:gridCol w:w="1177"/>
        <w:gridCol w:w="1034"/>
        <w:gridCol w:w="1043"/>
        <w:gridCol w:w="211"/>
        <w:gridCol w:w="721"/>
        <w:gridCol w:w="154"/>
      </w:tblGrid>
      <w:tr>
        <w:trPr/>
        <w:tc>
          <w:tcPr>
            <w:tcW w:w="1177"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lease payments that were not fixed at commencement or lease modification.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Note 7. Commitments and Contingencies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March 31, 2023 and December 31,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often includes standard indemnification provisions in its arrangements with its customers, partners, suppliers, and vendors. Pursuant to these provisions, the Company may be obligated to indemnify such parties for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months ended March 31, 2023 and 2022, the Company did not incur material costs to defend lawsuits or settle claims related to these indemnifications. The Company believes the fair value of these liabilities is not material and accordingly has no liabilities recorded for these agreements as of March 31, 2023 and December 31,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Opportunity Finance Network Loan Agreement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2022, the Company entered into a credit agreement with Opportunity Finance Network (“OFN”) to lend up to an aggregate of $15.0 million, unsecured, over the course of 24 months. OFN is a national network of community development financial institutions (“CDFIs”). OFN will use the loan proceeds to make low-cost, fixed-rate loans to OFN-member CDFIs that on-lend those loan proceeds to fund affordable housing, community facilities, small businesses, nonprofit organizations, consumer finance, and other eligible financing extended by such CDFIs. OFN may borrow in increments of $2.0 million or more and may not borrow more than $7.5 million within the first 12 months immediately following the closing date of June 29, 2022. Each disbursement made by the Company will bear interest at a rate of 0.75% per annum and will be due quarterly from OFN. The outstanding principal, plus any accrued and unpaid interest, for each disbursement becomes due and payable 10 years following the disbursement date. During the three months ended March 31, 2023, no disbursements were made related to this loan. During the year ended December 31, 2022, the Company made one loan disbursement of $5.0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8. Common Stock and Stockholders’ Equity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Common Stock Subject to Repurchase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(deficit). As of March 31, 2023 and December 31, 2022, the Company had less than $0.1 million and $0.2 million recorded in accrued expenses and other current liabilities related to 19,156 and 101,593 unvested shares of common stock subject to repurchase,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Equity Incentive Plans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br/>
        <w:br/>
        <w:t xml:space="preserve">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months ended March 31, 2023, 559,707 shares of Class A common stock were purchased under the 2021 ESPP.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Company currently anticipates that the Share Repurchase Program will extend through June 30, 2024, or such shorter period if $100.0 million in aggregate of shares of the Company’s Class A common stock have been repurchased. The Share Repurchase Program does not obligate the Company to repurchase any dollar amount or number of shares, and the program may be extended, modified, suspended, or discontinued at any time.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did not repurchase or retire any shares of its Class A common stock. As of March 31, 2023, the Company had $22.8 million available for future share repurchases under the Share Repurchase Program.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Options and RSUs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three to four years. RSUs granted for Class A common stock generally vest on a quarterly basis over three to four years.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for the three months ended March 31, 2023 and related information is as follows (in thousands, except per share data):</w:t>
      </w:r>
    </w:p>
    <w:tbl>
      <w:tblPr>
        <w:tblW w:w="10205" w:type="dxa"/>
        <w:jc w:val="left"/>
        <w:tblInd w:w="0" w:type="dxa"/>
        <w:tblCellMar>
          <w:top w:w="28" w:type="dxa"/>
          <w:left w:w="28" w:type="dxa"/>
          <w:bottom w:w="28" w:type="dxa"/>
          <w:right w:w="28" w:type="dxa"/>
        </w:tblCellMar>
      </w:tblPr>
      <w:tblGrid>
        <w:gridCol w:w="873"/>
        <w:gridCol w:w="767"/>
        <w:gridCol w:w="769"/>
        <w:gridCol w:w="494"/>
        <w:gridCol w:w="354"/>
        <w:gridCol w:w="355"/>
        <w:gridCol w:w="109"/>
        <w:gridCol w:w="109"/>
        <w:gridCol w:w="109"/>
        <w:gridCol w:w="409"/>
        <w:gridCol w:w="991"/>
        <w:gridCol w:w="211"/>
        <w:gridCol w:w="109"/>
        <w:gridCol w:w="109"/>
        <w:gridCol w:w="109"/>
        <w:gridCol w:w="824"/>
        <w:gridCol w:w="824"/>
        <w:gridCol w:w="827"/>
        <w:gridCol w:w="109"/>
        <w:gridCol w:w="109"/>
        <w:gridCol w:w="109"/>
        <w:gridCol w:w="295"/>
        <w:gridCol w:w="1009"/>
        <w:gridCol w:w="222"/>
      </w:tblGrid>
      <w:tr>
        <w:trPr/>
        <w:tc>
          <w:tcPr>
            <w:tcW w:w="87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2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55,388 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54,409 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31,193 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11,366 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expected to vest at March 31, 2023</w:t>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54,429 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$1.21 per share and $3.28 per share during the three months ended March 31, 2023 and 2022, respectively.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the options exercised was $0.2 million and $9.8 million for the three months ended March 31, 2023 and 2022, respectively.</w:t>
        <w:br/>
        <w:br/>
        <w:t xml:space="preserve">A summary of the Company’s RSU activity for the three months ended March 31, 2023 and related information is as follows (in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thousands, except per share data):</w:t>
      </w:r>
    </w:p>
    <w:tbl>
      <w:tblPr>
        <w:tblW w:w="7646" w:type="dxa"/>
        <w:jc w:val="left"/>
        <w:tblInd w:w="0" w:type="dxa"/>
        <w:tblCellMar>
          <w:top w:w="28" w:type="dxa"/>
          <w:left w:w="28" w:type="dxa"/>
          <w:bottom w:w="28" w:type="dxa"/>
          <w:right w:w="28" w:type="dxa"/>
        </w:tblCellMar>
      </w:tblPr>
      <w:tblGrid>
        <w:gridCol w:w="979"/>
        <w:gridCol w:w="858"/>
        <w:gridCol w:w="863"/>
        <w:gridCol w:w="469"/>
        <w:gridCol w:w="469"/>
        <w:gridCol w:w="471"/>
        <w:gridCol w:w="109"/>
        <w:gridCol w:w="109"/>
        <w:gridCol w:w="109"/>
        <w:gridCol w:w="773"/>
        <w:gridCol w:w="1873"/>
        <w:gridCol w:w="564"/>
      </w:tblGrid>
      <w:tr>
        <w:trPr/>
        <w:tc>
          <w:tcPr>
            <w:tcW w:w="97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5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5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5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5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calculate the fair value of employee and non-employee stock option grants made during the following periods:</w:t>
      </w:r>
    </w:p>
    <w:tbl>
      <w:tblPr>
        <w:tblW w:w="7383" w:type="dxa"/>
        <w:jc w:val="left"/>
        <w:tblInd w:w="0" w:type="dxa"/>
        <w:tblCellMar>
          <w:top w:w="28" w:type="dxa"/>
          <w:left w:w="28" w:type="dxa"/>
          <w:bottom w:w="28" w:type="dxa"/>
          <w:right w:w="28" w:type="dxa"/>
        </w:tblCellMar>
      </w:tblPr>
      <w:tblGrid>
        <w:gridCol w:w="1136"/>
        <w:gridCol w:w="996"/>
        <w:gridCol w:w="1002"/>
        <w:gridCol w:w="109"/>
        <w:gridCol w:w="109"/>
        <w:gridCol w:w="479"/>
        <w:gridCol w:w="479"/>
        <w:gridCol w:w="479"/>
        <w:gridCol w:w="479"/>
        <w:gridCol w:w="483"/>
        <w:gridCol w:w="109"/>
        <w:gridCol w:w="109"/>
        <w:gridCol w:w="109"/>
        <w:gridCol w:w="380"/>
        <w:gridCol w:w="380"/>
        <w:gridCol w:w="545"/>
      </w:tblGrid>
      <w:tr>
        <w:trPr/>
        <w:tc>
          <w:tcPr>
            <w:tcW w:w="113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32" w:type="dxa"/>
            <w:gridSpan w:val="6"/>
            <w:tcBorders/>
            <w:shd w:fill="auto" w:val="clea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66.7% - 66.8%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53.9% -55.6%</w:t>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$5.58 - $6.06</w:t>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expense in the condensed consolidated statements of operations as follows (in thousands):</w:t>
      </w:r>
    </w:p>
    <w:tbl>
      <w:tblPr>
        <w:tblW w:w="6338" w:type="dxa"/>
        <w:jc w:val="left"/>
        <w:tblInd w:w="0" w:type="dxa"/>
        <w:tblCellMar>
          <w:top w:w="28" w:type="dxa"/>
          <w:left w:w="28" w:type="dxa"/>
          <w:bottom w:w="28" w:type="dxa"/>
          <w:right w:w="28" w:type="dxa"/>
        </w:tblCellMar>
      </w:tblPr>
      <w:tblGrid>
        <w:gridCol w:w="835"/>
        <w:gridCol w:w="736"/>
        <w:gridCol w:w="739"/>
        <w:gridCol w:w="109"/>
        <w:gridCol w:w="109"/>
        <w:gridCol w:w="207"/>
        <w:gridCol w:w="207"/>
        <w:gridCol w:w="402"/>
        <w:gridCol w:w="1374"/>
        <w:gridCol w:w="207"/>
        <w:gridCol w:w="109"/>
        <w:gridCol w:w="109"/>
        <w:gridCol w:w="109"/>
        <w:gridCol w:w="211"/>
        <w:gridCol w:w="721"/>
        <w:gridCol w:w="154"/>
      </w:tblGrid>
      <w:tr>
        <w:trPr/>
        <w:tc>
          <w:tcPr>
            <w:tcW w:w="83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$151.6 million of unrecognized stock-based compensation expense, which is expected to be recognized over a weighted average period of 2.1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9. Net Loss Per Share Attributable to Common Stockholders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 (in thousands, except per share data):</w:t>
      </w:r>
    </w:p>
    <w:tbl>
      <w:tblPr>
        <w:tblW w:w="10205" w:type="dxa"/>
        <w:jc w:val="left"/>
        <w:tblInd w:w="0" w:type="dxa"/>
        <w:tblCellMar>
          <w:top w:w="28" w:type="dxa"/>
          <w:left w:w="28" w:type="dxa"/>
          <w:bottom w:w="28" w:type="dxa"/>
          <w:right w:w="28" w:type="dxa"/>
        </w:tblCellMar>
      </w:tblPr>
      <w:tblGrid>
        <w:gridCol w:w="1589"/>
        <w:gridCol w:w="1369"/>
        <w:gridCol w:w="1372"/>
        <w:gridCol w:w="109"/>
        <w:gridCol w:w="109"/>
        <w:gridCol w:w="109"/>
        <w:gridCol w:w="109"/>
        <w:gridCol w:w="109"/>
        <w:gridCol w:w="109"/>
        <w:gridCol w:w="211"/>
        <w:gridCol w:w="754"/>
        <w:gridCol w:w="109"/>
        <w:gridCol w:w="109"/>
        <w:gridCol w:w="109"/>
        <w:gridCol w:w="109"/>
        <w:gridCol w:w="211"/>
        <w:gridCol w:w="754"/>
        <w:gridCol w:w="109"/>
        <w:gridCol w:w="109"/>
        <w:gridCol w:w="109"/>
        <w:gridCol w:w="109"/>
        <w:gridCol w:w="211"/>
        <w:gridCol w:w="649"/>
        <w:gridCol w:w="109"/>
        <w:gridCol w:w="109"/>
        <w:gridCol w:w="109"/>
        <w:gridCol w:w="109"/>
        <w:gridCol w:w="211"/>
        <w:gridCol w:w="754"/>
        <w:gridCol w:w="158"/>
      </w:tblGrid>
      <w:tr>
        <w:trPr/>
        <w:tc>
          <w:tcPr>
            <w:tcW w:w="1589"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1" w:type="dxa"/>
            <w:gridSpan w:val="1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746" w:type="dxa"/>
            <w:gridSpan w:val="12"/>
            <w:tcBorders/>
            <w:shd w:fill="auto" w:val="clear"/>
          </w:tcPr>
          <w:p>
            <w:pPr>
              <w:pStyle w:val="TableContents"/>
              <w:spacing w:before="0" w:after="283"/>
              <w:rPr>
                <w:sz w:val="4"/>
                <w:szCs w:val="4"/>
              </w:rPr>
            </w:pPr>
            <w:r>
              <w:rPr>
                <w:sz w:val="4"/>
                <w:szCs w:val="4"/>
              </w:rPr>
            </w:r>
          </w:p>
        </w:tc>
      </w:tr>
      <w:tr>
        <w:trPr/>
        <w:tc>
          <w:tcPr>
            <w:tcW w:w="4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2"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450" w:type="dxa"/>
            <w:gridSpan w:val="6"/>
            <w:tcBorders/>
            <w:shd w:fill="auto" w:val="clear"/>
          </w:tcPr>
          <w:p>
            <w:pPr>
              <w:pStyle w:val="TableContents"/>
              <w:spacing w:before="0" w:after="283"/>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r>
      <w:tr>
        <w:trPr/>
        <w:tc>
          <w:tcPr>
            <w:tcW w:w="4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Class A and Class B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302,897 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outstanding have been excluded from the computations of diluted net loss per share because such securities have an anti-dilutive impact due to losses reported (in thousands):</w:t>
      </w:r>
    </w:p>
    <w:tbl>
      <w:tblPr>
        <w:tblW w:w="8093" w:type="dxa"/>
        <w:jc w:val="left"/>
        <w:tblInd w:w="0" w:type="dxa"/>
        <w:tblCellMar>
          <w:top w:w="28" w:type="dxa"/>
          <w:left w:w="28" w:type="dxa"/>
          <w:bottom w:w="28" w:type="dxa"/>
          <w:right w:w="28" w:type="dxa"/>
        </w:tblCellMar>
      </w:tblPr>
      <w:tblGrid>
        <w:gridCol w:w="1827"/>
        <w:gridCol w:w="1602"/>
        <w:gridCol w:w="1611"/>
        <w:gridCol w:w="109"/>
        <w:gridCol w:w="109"/>
        <w:gridCol w:w="254"/>
        <w:gridCol w:w="254"/>
        <w:gridCol w:w="360"/>
        <w:gridCol w:w="361"/>
        <w:gridCol w:w="256"/>
        <w:gridCol w:w="109"/>
        <w:gridCol w:w="109"/>
        <w:gridCol w:w="109"/>
        <w:gridCol w:w="387"/>
        <w:gridCol w:w="334"/>
        <w:gridCol w:w="302"/>
      </w:tblGrid>
      <w:tr>
        <w:trPr/>
        <w:tc>
          <w:tcPr>
            <w:tcW w:w="1827"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r>
      <w:tr>
        <w:trPr/>
        <w:tc>
          <w:tcPr>
            <w:tcW w:w="5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1350" w:type="dxa"/>
            <w:gridSpan w:val="6"/>
            <w:tcBorders/>
            <w:shd w:fill="auto" w:val="clear"/>
          </w:tcPr>
          <w:p>
            <w:pPr>
              <w:pStyle w:val="TableContents"/>
              <w:spacing w:before="0" w:after="283"/>
              <w:rPr>
                <w:sz w:val="4"/>
                <w:szCs w:val="4"/>
              </w:rPr>
            </w:pPr>
            <w:r>
              <w:rPr>
                <w:sz w:val="4"/>
                <w:szCs w:val="4"/>
              </w:rPr>
            </w:r>
          </w:p>
        </w:tc>
      </w:tr>
      <w:tr>
        <w:trPr/>
        <w:tc>
          <w:tcPr>
            <w:tcW w:w="5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59,911</w:t>
            </w:r>
          </w:p>
        </w:tc>
      </w:tr>
      <w:tr>
        <w:trPr/>
        <w:tc>
          <w:tcPr>
            <w:tcW w:w="5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4,290</w:t>
            </w:r>
          </w:p>
        </w:tc>
      </w:tr>
      <w:tr>
        <w:trPr/>
        <w:tc>
          <w:tcPr>
            <w:tcW w:w="5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stock options subject to repurchase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r>
      <w:tr>
        <w:trPr/>
        <w:tc>
          <w:tcPr>
            <w:tcW w:w="5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w:t>
            </w:r>
          </w:p>
        </w:tc>
      </w:tr>
      <w:tr>
        <w:trPr/>
        <w:tc>
          <w:tcPr>
            <w:tcW w:w="5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r>
      <w:tr>
        <w:trPr/>
        <w:tc>
          <w:tcPr>
            <w:tcW w:w="5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Contingently issuable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5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69,196 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income tax expense for the three months ended March 31, 2023 and 2022 of $0.3 million and less than $0.1 million, respectively, both of which were primarily related to foreign taxes.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Note 11. Geographical Information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geography based on the customers’ location was as follows (in thousands):</w:t>
      </w:r>
    </w:p>
    <w:tbl>
      <w:tblPr>
        <w:tblW w:w="5227" w:type="dxa"/>
        <w:jc w:val="left"/>
        <w:tblInd w:w="0" w:type="dxa"/>
        <w:tblCellMar>
          <w:top w:w="28" w:type="dxa"/>
          <w:left w:w="28" w:type="dxa"/>
          <w:bottom w:w="28" w:type="dxa"/>
          <w:right w:w="28" w:type="dxa"/>
        </w:tblCellMar>
      </w:tblPr>
      <w:tblGrid>
        <w:gridCol w:w="435"/>
        <w:gridCol w:w="381"/>
        <w:gridCol w:w="383"/>
        <w:gridCol w:w="109"/>
        <w:gridCol w:w="109"/>
        <w:gridCol w:w="207"/>
        <w:gridCol w:w="207"/>
        <w:gridCol w:w="402"/>
        <w:gridCol w:w="1374"/>
        <w:gridCol w:w="207"/>
        <w:gridCol w:w="109"/>
        <w:gridCol w:w="109"/>
        <w:gridCol w:w="109"/>
        <w:gridCol w:w="211"/>
        <w:gridCol w:w="721"/>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long-lived assets are located in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76"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March 31, 2023, Nextdoor was in more than 305,000 neighborhoods around the world and in 1 in 3 households in the United States.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Key business metrics for the three months ended March 31, 2023 are as follows: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Weekly Active Users (“WAUs”) were 42.4 million, an increase of 16% compared to the three months ended March 31, 2022.</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Average revenue per weekly active user (“ARPU”) was $1.17, a decrease of 16% compared to the three months ended March 31, 2022.</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Results as of and for the three months ended March 31, 2023 are as follows: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Revenue for the three months ended March 31, 2023 was $49.8 million, a decrease of 2% compared to the three months ended March 31, 2022.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Total costs and expenses for the three months ended March 31, 2023 were $88.6 million, an increase of 5% compared to the three months ended March 31, 2022.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Net loss for the three months ended March 31, 2023 increased 2% to $33.7 million, compared to $32.9 million for the three months ended March 31, 2022.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Adjusted EBITDA loss for the three months ended March 31, 2023 increased 9% to $21.7 million, compared to $19.9 million for the three months ended March 31, 2022.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Cash, cash equivalents, and marketable securities were $574.8 million as of March 31, 2023.</w:t>
      </w:r>
    </w:p>
    <w:p>
      <w:pPr>
        <w:pStyle w:val="TextBody"/>
        <w:spacing w:lineRule="auto" w:line="276" w:before="0" w:after="18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Non-GAAP Financial Measure</w:t>
      </w:r>
      <w:r>
        <w:rPr>
          <w:color w:val="000000"/>
        </w:rPr>
        <w:t xml:space="preserve">” </w:t>
      </w:r>
      <w:r>
        <w:rPr>
          <w:rFonts w:ascii="Times New Roman;sans-serif" w:hAnsi="Times New Roman;sans-serif"/>
          <w:b w:val="false"/>
          <w:color w:val="000000"/>
          <w:sz w:val="20"/>
        </w:rPr>
        <w:t>below for more information and for a reconciliation of net loss, the most directly comparable financial measure calculated and presented in accordance with U.S. generally accepted accounting principles (“GAAP”), to Adjusted EBITDA.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measures presented in our unaudited condensed consolidated financial statements, we use the following key business metrics to evaluate our business, measure our performance, develop financial forecasts, and make strategic decisions: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Weekly Active Users (WAU)</w:t>
      </w:r>
    </w:p>
    <w:p>
      <w:pPr>
        <w:pStyle w:val="TextBody"/>
        <w:spacing w:lineRule="auto" w:line="276" w:before="0" w:after="180"/>
        <w:jc w:val="both"/>
        <w:rPr/>
      </w:pPr>
      <w:r>
        <w:rPr>
          <w:rFonts w:ascii="Times New Roman;sans-serif" w:hAnsi="Times New Roman;sans-serif"/>
          <w:b w:val="false"/>
          <w:color w:val="000000"/>
          <w:sz w:val="20"/>
        </w:rPr>
        <w:t>We define a WAU as a Nextdoor user who opens our application, logs on to our website, or engages with an email with monetizable content at least once during a defined 7-day period.</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w:t>
      </w:r>
    </w:p>
    <w:p>
      <w:pPr>
        <w:pStyle w:val="TextBody"/>
        <w:spacing w:lineRule="auto" w:line="288" w:before="0" w:after="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ood. We also present WAUs by geography because we are more advanced in engagement and monetization in the United States than internationally. </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WAU for the three months ended March 31, 2023 and 2022 were 42.4 million and 36.7 million, respectively, which represents 16% growth period over period. As illustrated below, our international WAUs have generally grown at a faster rate than our U.S. WAUs, and we expect this international growth to continue to outpace U.S. growth in the near term.</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Quarterly Average Weekly Active Users</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extBody"/>
        <w:spacing w:before="0" w:after="180"/>
        <w:jc w:val="center"/>
        <w:rPr/>
      </w:pPr>
      <w:r>
        <w:rPr/>
        <w:drawing>
          <wp:inline distT="0" distB="63500" distL="0" distR="0">
            <wp:extent cx="5048250" cy="314325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5048250" cy="314325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before="0" w:after="180"/>
        <w:jc w:val="center"/>
        <w:rPr/>
      </w:pPr>
      <w:r>
        <w:rPr/>
        <w:drawing>
          <wp:inline distT="0" distB="63500" distL="0" distR="0">
            <wp:extent cx="2952750" cy="304800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2952750" cy="3048000"/>
                    </a:xfrm>
                    <a:prstGeom prst="rect">
                      <a:avLst/>
                    </a:prstGeom>
                  </pic:spPr>
                </pic:pic>
              </a:graphicData>
            </a:graphic>
          </wp:inline>
        </w:drawing>
      </w:r>
      <w:r>
        <w:rPr/>
        <w:drawing>
          <wp:inline distT="0" distB="63500" distL="0" distR="0">
            <wp:extent cx="2952750" cy="304800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2952750" cy="3048000"/>
                    </a:xfrm>
                    <a:prstGeom prst="rect">
                      <a:avLst/>
                    </a:prstGeom>
                  </pic:spPr>
                </pic:pic>
              </a:graphicData>
            </a:graphic>
          </wp:inline>
        </w:drawing>
      </w:r>
    </w:p>
    <w:p>
      <w:pPr>
        <w:pStyle w:val="TextBody"/>
        <w:spacing w:before="0" w:after="180"/>
        <w:jc w:val="both"/>
        <w:rPr/>
      </w:pPr>
      <w:r>
        <w:rPr/>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Average Revenue per Weekly Active User (ARPU) </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 </w:t>
      </w:r>
    </w:p>
    <w:p>
      <w:pPr>
        <w:pStyle w:val="TextBody"/>
        <w:spacing w:lineRule="auto" w:line="276" w:before="0" w:after="180"/>
        <w:jc w:val="both"/>
        <w:rPr/>
      </w:pPr>
      <w:r>
        <w:rPr>
          <w:rFonts w:ascii="Times New Roman;sans-serif" w:hAnsi="Times New Roman;sans-serif"/>
          <w:b w:val="false"/>
          <w:color w:val="000000"/>
          <w:sz w:val="20"/>
        </w:rPr>
        <w:t xml:space="preserve">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w:t>
      </w:r>
      <w:r>
        <w:rPr>
          <w:rFonts w:ascii="Times New Roman;sans-serif" w:hAnsi="Times New Roman;sans-serif"/>
          <w:b w:val="false"/>
          <w:color w:val="000000"/>
          <w:sz w:val="20"/>
          <w:highlight w:val="white"/>
        </w:rPr>
        <w:t xml:space="preserve">Our ARPU for the three months ended March 31, 2023 and </w:t>
      </w:r>
      <w:r>
        <w:rPr>
          <w:rFonts w:ascii="Times New Roman;sans-serif" w:hAnsi="Times New Roman;sans-serif"/>
          <w:b w:val="false"/>
          <w:color w:val="000000"/>
          <w:sz w:val="20"/>
        </w:rPr>
        <w:t>2022</w:t>
      </w:r>
      <w:r>
        <w:rPr>
          <w:color w:val="000000"/>
          <w:highlight w:val="white"/>
        </w:rPr>
        <w:t xml:space="preserve"> </w:t>
      </w:r>
      <w:r>
        <w:rPr>
          <w:rFonts w:ascii="Times New Roman;sans-serif" w:hAnsi="Times New Roman;sans-serif"/>
          <w:b w:val="false"/>
          <w:color w:val="000000"/>
          <w:sz w:val="20"/>
          <w:highlight w:val="white"/>
        </w:rPr>
        <w:t>was $1.17 and $1.39, respectively, with the decrease due to stronger WAU growth relative to a slight decline in revenue.</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Quarterly ARPU</w:t>
      </w:r>
    </w:p>
    <w:p>
      <w:pPr>
        <w:pStyle w:val="TextBody"/>
        <w:spacing w:before="0" w:after="180"/>
        <w:jc w:val="center"/>
        <w:rPr/>
      </w:pPr>
      <w:r>
        <w:rPr/>
        <w:drawing>
          <wp:inline distT="0" distB="63500" distL="0" distR="0">
            <wp:extent cx="5048250" cy="3143250"/>
            <wp:effectExtent l="0" t="0" r="0" b="0"/>
            <wp:docPr id="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4" descr=""/>
                    <pic:cNvPicPr>
                      <a:picLocks noChangeAspect="1" noChangeArrowheads="1"/>
                    </pic:cNvPicPr>
                  </pic:nvPicPr>
                  <pic:blipFill>
                    <a:blip r:embed="rId5"/>
                    <a:stretch>
                      <a:fillRect/>
                    </a:stretch>
                  </pic:blipFill>
                  <pic:spPr bwMode="auto">
                    <a:xfrm>
                      <a:off x="0" y="0"/>
                      <a:ext cx="5048250" cy="3143250"/>
                    </a:xfrm>
                    <a:prstGeom prst="rect">
                      <a:avLst/>
                    </a:prstGeom>
                  </pic:spPr>
                </pic:pic>
              </a:graphicData>
            </a:graphic>
          </wp:inline>
        </w:drawing>
      </w:r>
    </w:p>
    <w:p>
      <w:pPr>
        <w:pStyle w:val="TextBody"/>
        <w:spacing w:before="0" w:after="180"/>
        <w:jc w:val="center"/>
        <w:rPr/>
      </w:pPr>
      <w:r>
        <w:rPr/>
        <w:drawing>
          <wp:inline distT="0" distB="63500" distL="0" distR="0">
            <wp:extent cx="2952750" cy="3048000"/>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6"/>
                    <a:stretch>
                      <a:fillRect/>
                    </a:stretch>
                  </pic:blipFill>
                  <pic:spPr bwMode="auto">
                    <a:xfrm>
                      <a:off x="0" y="0"/>
                      <a:ext cx="2952750" cy="3048000"/>
                    </a:xfrm>
                    <a:prstGeom prst="rect">
                      <a:avLst/>
                    </a:prstGeom>
                  </pic:spPr>
                </pic:pic>
              </a:graphicData>
            </a:graphic>
          </wp:inline>
        </w:drawing>
      </w:r>
      <w:r>
        <w:rPr/>
        <w:drawing>
          <wp:inline distT="0" distB="63500" distL="0" distR="0">
            <wp:extent cx="2952750" cy="3048000"/>
            <wp:effectExtent l="0" t="0" r="0" b="0"/>
            <wp:docPr id="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6" descr=""/>
                    <pic:cNvPicPr>
                      <a:picLocks noChangeAspect="1" noChangeArrowheads="1"/>
                    </pic:cNvPicPr>
                  </pic:nvPicPr>
                  <pic:blipFill>
                    <a:blip r:embed="rId7"/>
                    <a:stretch>
                      <a:fillRect/>
                    </a:stretch>
                  </pic:blipFill>
                  <pic:spPr bwMode="auto">
                    <a:xfrm>
                      <a:off x="0" y="0"/>
                      <a:ext cx="2952750" cy="30480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delivering and supporting our advertising products and credit card transaction fees related to processing customer transactions.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our neighbor support team, our outsourced neighbor support function, and verification costs. </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pStyle w:val="TextBody"/>
        <w:spacing w:lineRule="auto" w:line="288" w:before="0" w:after="180"/>
        <w:rPr/>
      </w:pPr>
      <w:r>
        <w:rPr>
          <w:rFonts w:ascii="Times New Roman;sans-serif" w:hAnsi="Times New Roman;sans-serif"/>
          <w:b/>
          <w:i/>
          <w:color w:val="000000"/>
          <w:sz w:val="20"/>
        </w:rPr>
        <w:t>Interest Income</w:t>
      </w:r>
      <w:r>
        <w:rPr>
          <w:color w:val="000000"/>
        </w:rPr>
        <w:t xml:space="preserve"> </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our cash, cash equivalents, and marketable securities.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unrealized gains and losses from the re-measurement of monetary assets and liabilities denominated in non-functional currencies, and foreign currency transaction gains and losses.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tbl>
      <w:tblPr>
        <w:tblW w:w="6489" w:type="dxa"/>
        <w:jc w:val="center"/>
        <w:tblInd w:w="0" w:type="dxa"/>
        <w:tblCellMar>
          <w:top w:w="28" w:type="dxa"/>
          <w:left w:w="28" w:type="dxa"/>
          <w:bottom w:w="28" w:type="dxa"/>
          <w:right w:w="28" w:type="dxa"/>
        </w:tblCellMar>
      </w:tblPr>
      <w:tblGrid>
        <w:gridCol w:w="863"/>
        <w:gridCol w:w="760"/>
        <w:gridCol w:w="761"/>
        <w:gridCol w:w="109"/>
        <w:gridCol w:w="109"/>
        <w:gridCol w:w="196"/>
        <w:gridCol w:w="196"/>
        <w:gridCol w:w="379"/>
        <w:gridCol w:w="1432"/>
        <w:gridCol w:w="196"/>
        <w:gridCol w:w="109"/>
        <w:gridCol w:w="109"/>
        <w:gridCol w:w="109"/>
        <w:gridCol w:w="211"/>
        <w:gridCol w:w="796"/>
        <w:gridCol w:w="154"/>
      </w:tblGrid>
      <w:tr>
        <w:trPr/>
        <w:tc>
          <w:tcPr>
            <w:tcW w:w="86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88" w:type="dxa"/>
            <w:gridSpan w:val="6"/>
            <w:tcBorders/>
            <w:shd w:fill="auto" w:val="clea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Costs and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6338" w:type="dxa"/>
        <w:jc w:val="center"/>
        <w:tblInd w:w="0" w:type="dxa"/>
        <w:tblCellMar>
          <w:top w:w="28" w:type="dxa"/>
          <w:left w:w="28" w:type="dxa"/>
          <w:bottom w:w="28" w:type="dxa"/>
          <w:right w:w="28" w:type="dxa"/>
        </w:tblCellMar>
      </w:tblPr>
      <w:tblGrid>
        <w:gridCol w:w="837"/>
        <w:gridCol w:w="736"/>
        <w:gridCol w:w="737"/>
        <w:gridCol w:w="109"/>
        <w:gridCol w:w="109"/>
        <w:gridCol w:w="207"/>
        <w:gridCol w:w="207"/>
        <w:gridCol w:w="402"/>
        <w:gridCol w:w="1374"/>
        <w:gridCol w:w="207"/>
        <w:gridCol w:w="109"/>
        <w:gridCol w:w="109"/>
        <w:gridCol w:w="109"/>
        <w:gridCol w:w="211"/>
        <w:gridCol w:w="721"/>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unaudited condensed consolidated statements of operations as a percentage of revenue for each of the periods presented:</w:t>
      </w:r>
    </w:p>
    <w:tbl>
      <w:tblPr>
        <w:tblW w:w="6591" w:type="dxa"/>
        <w:jc w:val="center"/>
        <w:tblInd w:w="0" w:type="dxa"/>
        <w:tblCellMar>
          <w:top w:w="28" w:type="dxa"/>
          <w:left w:w="28" w:type="dxa"/>
          <w:bottom w:w="28" w:type="dxa"/>
          <w:right w:w="28" w:type="dxa"/>
        </w:tblCellMar>
      </w:tblPr>
      <w:tblGrid>
        <w:gridCol w:w="1037"/>
        <w:gridCol w:w="912"/>
        <w:gridCol w:w="915"/>
        <w:gridCol w:w="109"/>
        <w:gridCol w:w="109"/>
        <w:gridCol w:w="370"/>
        <w:gridCol w:w="370"/>
        <w:gridCol w:w="370"/>
        <w:gridCol w:w="370"/>
        <w:gridCol w:w="920"/>
        <w:gridCol w:w="109"/>
        <w:gridCol w:w="109"/>
        <w:gridCol w:w="109"/>
        <w:gridCol w:w="233"/>
        <w:gridCol w:w="233"/>
        <w:gridCol w:w="316"/>
      </w:tblGrid>
      <w:tr>
        <w:trPr/>
        <w:tc>
          <w:tcPr>
            <w:tcW w:w="103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09" w:type="dxa"/>
            <w:gridSpan w:val="6"/>
            <w:tcBorders/>
            <w:shd w:fill="auto" w:val="clea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 a percentage of 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9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Note: Certain figures may not sum due to rounding.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2023 and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tbl>
      <w:tblPr>
        <w:tblW w:w="8112" w:type="dxa"/>
        <w:jc w:val="center"/>
        <w:tblInd w:w="0" w:type="dxa"/>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64"/>
        <w:gridCol w:w="166"/>
        <w:gridCol w:w="271"/>
        <w:gridCol w:w="109"/>
        <w:gridCol w:w="109"/>
        <w:gridCol w:w="109"/>
        <w:gridCol w:w="109"/>
        <w:gridCol w:w="109"/>
        <w:gridCol w:w="109"/>
        <w:gridCol w:w="109"/>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decreased by $1.2 million, or 2%, for the three months ended March 31, 2023 compared to the three months ended March 31, 2022. The decrease was primarily due to a decline in advertiser demand for our product offerings, which we believe was driven by reduced marketer spending as a result of a more challenging macroeconomic environment. This was partially offset by increased user engagement as measured by a 16% increase in Q1 WAUs. ARPU decreased 16% in the three months ended March 31, 2023 compared to the three months ended March 31, 2022, reflecting year-over-year WAU growth versus the decrease in revenue.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7803" w:type="dxa"/>
        <w:jc w:val="center"/>
        <w:tblInd w:w="0" w:type="dxa"/>
        <w:tblCellMar>
          <w:top w:w="28" w:type="dxa"/>
          <w:left w:w="28" w:type="dxa"/>
          <w:bottom w:w="28" w:type="dxa"/>
          <w:right w:w="28" w:type="dxa"/>
        </w:tblCellMar>
      </w:tblPr>
      <w:tblGrid>
        <w:gridCol w:w="911"/>
        <w:gridCol w:w="802"/>
        <w:gridCol w:w="807"/>
        <w:gridCol w:w="230"/>
        <w:gridCol w:w="672"/>
        <w:gridCol w:w="119"/>
        <w:gridCol w:w="119"/>
        <w:gridCol w:w="119"/>
        <w:gridCol w:w="119"/>
        <w:gridCol w:w="230"/>
        <w:gridCol w:w="672"/>
        <w:gridCol w:w="119"/>
        <w:gridCol w:w="109"/>
        <w:gridCol w:w="109"/>
        <w:gridCol w:w="109"/>
        <w:gridCol w:w="211"/>
        <w:gridCol w:w="466"/>
        <w:gridCol w:w="109"/>
        <w:gridCol w:w="109"/>
        <w:gridCol w:w="109"/>
        <w:gridCol w:w="109"/>
        <w:gridCol w:w="128"/>
        <w:gridCol w:w="128"/>
        <w:gridCol w:w="271"/>
        <w:gridCol w:w="109"/>
        <w:gridCol w:w="109"/>
        <w:gridCol w:w="109"/>
        <w:gridCol w:w="109"/>
        <w:gridCol w:w="109"/>
        <w:gridCol w:w="109"/>
        <w:gridCol w:w="109"/>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$0.9 million, or 9%, for the three months ended March 31, 2023 compared to the three months ended March 31, 2022. The increase was primarily due to $0.7 million higher third-party hosting costs due to increased user growth and engagement and a $0.3 million increase in allocated personnel-related costs.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8068" w:type="dxa"/>
        <w:jc w:val="left"/>
        <w:tblInd w:w="0" w:type="dxa"/>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$4.0 million, or 14%, for the three months ended March 31, 2023 compared to the three months ended March 31, 2022. The increase was primarily due to a $4.0 million increase in personnel-related costs primarily driven by an increase in headcount.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8576" w:type="dxa"/>
        <w:jc w:val="left"/>
        <w:tblInd w:w="0" w:type="dxa"/>
        <w:tblCellMar>
          <w:top w:w="28" w:type="dxa"/>
          <w:left w:w="28" w:type="dxa"/>
          <w:bottom w:w="28" w:type="dxa"/>
          <w:right w:w="28" w:type="dxa"/>
        </w:tblCellMar>
      </w:tblPr>
      <w:tblGrid>
        <w:gridCol w:w="1041"/>
        <w:gridCol w:w="916"/>
        <w:gridCol w:w="922"/>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6"/>
        <w:gridCol w:w="219"/>
        <w:gridCol w:w="271"/>
        <w:gridCol w:w="109"/>
        <w:gridCol w:w="109"/>
        <w:gridCol w:w="109"/>
        <w:gridCol w:w="109"/>
        <w:gridCol w:w="109"/>
        <w:gridCol w:w="109"/>
        <w:gridCol w:w="109"/>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performance marketing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Neighbor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and marketing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by $1.9 million, or 6%, for the three months ended March 31, 2023 compared to the three months ended March 31, 2022. The decrease was primarily due to a $4.1 million decrease in performance marketing costs for user acquisition as focus shifted to organic user acquisition channels and a $1.0 million decrease in performance marketing costs to attract small and mid-sized customers, partially offset by a $3.5 million increase in personnel-related and other costs, which was driven by an increase in headcount.</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963" w:type="dxa"/>
        <w:jc w:val="left"/>
        <w:tblInd w:w="0" w:type="dxa"/>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271"/>
        <w:gridCol w:w="109"/>
        <w:gridCol w:w="109"/>
        <w:gridCol w:w="109"/>
        <w:gridCol w:w="109"/>
        <w:gridCol w:w="109"/>
        <w:gridCol w:w="109"/>
        <w:gridCol w:w="109"/>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$1.3 million, or 9%, for the three months ended March 31, 2023 compared to the three months ended March 31, 2022. The increase was primarily due to a $2.4 million increase in personnel-related costs which was driven by an increase in headcount, partially offset by a $0.9 million decrease in professional fees.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7844" w:type="dxa"/>
        <w:jc w:val="left"/>
        <w:tblInd w:w="0" w:type="dxa"/>
        <w:tblCellMar>
          <w:top w:w="28" w:type="dxa"/>
          <w:left w:w="28" w:type="dxa"/>
          <w:bottom w:w="28" w:type="dxa"/>
          <w:right w:w="28" w:type="dxa"/>
        </w:tblCellMar>
      </w:tblPr>
      <w:tblGrid>
        <w:gridCol w:w="911"/>
        <w:gridCol w:w="802"/>
        <w:gridCol w:w="807"/>
        <w:gridCol w:w="247"/>
        <w:gridCol w:w="721"/>
        <w:gridCol w:w="127"/>
        <w:gridCol w:w="127"/>
        <w:gridCol w:w="127"/>
        <w:gridCol w:w="127"/>
        <w:gridCol w:w="247"/>
        <w:gridCol w:w="546"/>
        <w:gridCol w:w="127"/>
        <w:gridCol w:w="109"/>
        <w:gridCol w:w="109"/>
        <w:gridCol w:w="109"/>
        <w:gridCol w:w="211"/>
        <w:gridCol w:w="616"/>
        <w:gridCol w:w="109"/>
        <w:gridCol w:w="109"/>
        <w:gridCol w:w="109"/>
        <w:gridCol w:w="109"/>
        <w:gridCol w:w="140"/>
        <w:gridCol w:w="140"/>
        <w:gridCol w:w="141"/>
        <w:gridCol w:w="109"/>
        <w:gridCol w:w="109"/>
        <w:gridCol w:w="109"/>
        <w:gridCol w:w="109"/>
        <w:gridCol w:w="109"/>
        <w:gridCol w:w="109"/>
        <w:gridCol w:w="109"/>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(NM = Not Meaningful)</w:t>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$5.0 million for the three months ended March 31, 2023 compared to the three months ended March 31, 2022. The increase was primarily driven by higher interest rates.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874" w:type="dxa"/>
        <w:jc w:val="left"/>
        <w:tblInd w:w="0" w:type="dxa"/>
        <w:tblCellMar>
          <w:top w:w="28" w:type="dxa"/>
          <w:left w:w="28" w:type="dxa"/>
          <w:bottom w:w="28" w:type="dxa"/>
          <w:right w:w="28" w:type="dxa"/>
        </w:tblCellMar>
      </w:tblPr>
      <w:tblGrid>
        <w:gridCol w:w="911"/>
        <w:gridCol w:w="802"/>
        <w:gridCol w:w="807"/>
        <w:gridCol w:w="247"/>
        <w:gridCol w:w="633"/>
        <w:gridCol w:w="127"/>
        <w:gridCol w:w="127"/>
        <w:gridCol w:w="127"/>
        <w:gridCol w:w="127"/>
        <w:gridCol w:w="247"/>
        <w:gridCol w:w="633"/>
        <w:gridCol w:w="127"/>
        <w:gridCol w:w="109"/>
        <w:gridCol w:w="109"/>
        <w:gridCol w:w="109"/>
        <w:gridCol w:w="211"/>
        <w:gridCol w:w="361"/>
        <w:gridCol w:w="109"/>
        <w:gridCol w:w="109"/>
        <w:gridCol w:w="109"/>
        <w:gridCol w:w="109"/>
        <w:gridCol w:w="218"/>
        <w:gridCol w:w="218"/>
        <w:gridCol w:w="271"/>
        <w:gridCol w:w="109"/>
        <w:gridCol w:w="109"/>
        <w:gridCol w:w="109"/>
        <w:gridCol w:w="109"/>
        <w:gridCol w:w="109"/>
        <w:gridCol w:w="109"/>
        <w:gridCol w:w="109"/>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decreased by $0.1 million, or 37%, for the three months ended March 31, 2023 compared to the three months ended March 31, 2022. The decrease was primarily due to the periodic re-measurement of monetary assets and liabilities denominated in non-functional currencies.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8009" w:type="dxa"/>
        <w:jc w:val="left"/>
        <w:tblInd w:w="0" w:type="dxa"/>
        <w:tblCellMar>
          <w:top w:w="28" w:type="dxa"/>
          <w:left w:w="28" w:type="dxa"/>
          <w:bottom w:w="28" w:type="dxa"/>
          <w:right w:w="28" w:type="dxa"/>
        </w:tblCellMar>
      </w:tblPr>
      <w:tblGrid>
        <w:gridCol w:w="911"/>
        <w:gridCol w:w="802"/>
        <w:gridCol w:w="807"/>
        <w:gridCol w:w="282"/>
        <w:gridCol w:w="623"/>
        <w:gridCol w:w="145"/>
        <w:gridCol w:w="145"/>
        <w:gridCol w:w="145"/>
        <w:gridCol w:w="145"/>
        <w:gridCol w:w="282"/>
        <w:gridCol w:w="483"/>
        <w:gridCol w:w="145"/>
        <w:gridCol w:w="109"/>
        <w:gridCol w:w="109"/>
        <w:gridCol w:w="109"/>
        <w:gridCol w:w="211"/>
        <w:gridCol w:w="466"/>
        <w:gridCol w:w="109"/>
        <w:gridCol w:w="109"/>
        <w:gridCol w:w="109"/>
        <w:gridCol w:w="109"/>
        <w:gridCol w:w="233"/>
        <w:gridCol w:w="233"/>
        <w:gridCol w:w="271"/>
        <w:gridCol w:w="109"/>
        <w:gridCol w:w="109"/>
        <w:gridCol w:w="109"/>
        <w:gridCol w:w="109"/>
        <w:gridCol w:w="109"/>
        <w:gridCol w:w="109"/>
        <w:gridCol w:w="109"/>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increased by $0.3 million, or 975%, for the three months ended March 31, 2023 compared to the three months ended March 31, 2022. The increase was primarily due to foreign income tax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generated losses from our operations, as reflected in our accumulated deficit of $652.0 million as of March 31, 2023.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expansion of our business.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$574.8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 Moreover, any instability in the U.S. or international banking systems may impact liquidity both in the short term and long term.</w:t>
      </w:r>
    </w:p>
    <w:p>
      <w:pPr>
        <w:pStyle w:val="TextBody"/>
        <w:spacing w:before="0" w:after="0"/>
        <w:ind w:left="0" w:right="0" w:hanging="36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We currently anticipate that the Share Repurchase Program will extend through June 30, 2024, or such shorter period if $100.0 million in aggregate of shares of our Class A common stock have been repurchased. The Share Repurchase Program does not obligate us to repurchase any dollar amount or number of shares, and the program may be extended, modified, suspended, or discontinued at any time. During the three months ended March 31, 2023, we did not repurchase or retire any shares of Class A common stock. As of March 31, 2023, we had $22.8 million available for future share repurchases under the Share Repurchase Program. </w:t>
      </w:r>
    </w:p>
    <w:p>
      <w:pPr>
        <w:pStyle w:val="TextBody"/>
        <w:spacing w:before="0" w:after="0"/>
        <w:jc w:val="both"/>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908" w:type="dxa"/>
        <w:jc w:val="center"/>
        <w:tblInd w:w="0" w:type="dxa"/>
        <w:tblCellMar>
          <w:top w:w="28" w:type="dxa"/>
          <w:left w:w="28" w:type="dxa"/>
          <w:bottom w:w="28" w:type="dxa"/>
          <w:right w:w="28" w:type="dxa"/>
        </w:tblCellMar>
      </w:tblPr>
      <w:tblGrid>
        <w:gridCol w:w="1521"/>
        <w:gridCol w:w="1337"/>
        <w:gridCol w:w="1341"/>
        <w:gridCol w:w="211"/>
        <w:gridCol w:w="796"/>
        <w:gridCol w:w="109"/>
        <w:gridCol w:w="109"/>
        <w:gridCol w:w="109"/>
        <w:gridCol w:w="109"/>
        <w:gridCol w:w="211"/>
        <w:gridCol w:w="901"/>
        <w:gridCol w:w="154"/>
      </w:tblGrid>
      <w:tr>
        <w:trPr/>
        <w:tc>
          <w:tcPr>
            <w:tcW w:w="1521"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(311,540)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during the three months ended March 31, 2023 was $13.7 million which resulted from a net loss of $33.7 million, adjusted for non-cash charges of $15.1 million and net cash inflows of $4.9 million from changes in operating assets and liabilities. Non-cash charges primarily consisted of $15.8 million of stock-based compensation expense and $1.5 million of depreciation and amortization expense. The net cash inflows from changes in operating assets and liabilities were primarily due to a $2.5 million decrease in prepaid expenses and other current assets, a $1.7 million decrease in accounts receivable, a $1.3 million decrease in operating lease right-of-use assets due to normal amortization, a $0.5 million increase in accounts payable, and a $0.3 million increase in accrued expenses and other current liabilities. These amounts were partially offset by a $1.5 million decrease in operating lease liabilities due to lease payments.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during the three months ended March 31, 2022 was $5.5 million which resulted from a net loss of $32.9 million, adjusted for non-cash charges of $12.7 million and net cash inflows of $14.8 million from changes in operating assets and liabilities. Non-cash charges primarily consisted of $12.1 million of stock-based compensation expense and $1.3 million of depreciation and amortization expense. The net cash inflows from changes in operating assets and liabilities were primarily due to a $7.8 million decrease in accounts receivable, a $5.6 million increase in accrued expenses and other current liabilities, and a $4.5 million decrease in prepaid expenses and other current assets. These amounts were partially offset by a $3.1 million decrease in accounts payable.</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three months ended March 31, 2023 was $24.7 million, which consisted of proceeds from maturities of marketable securities of $172.0 million and proceeds from sales of marketable securities of $42.7 million. This was partially offset by purchases of marketable securities of $190.0 million.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three months ended March 31, 2022 was $311.5 million, which consisted of purchases of marketable securities of $318.2 million and the purchase of property and equipment of $0.6 million. This was offset by proceeds from maturities of marketable securities of $7.3 million.</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three months ended March 31, 2023 was $1.6 million, which consisted of $1.1 million of proceeds from the issuance of common stock under the employee stock purchase plan, and $0.5 million of proceeds from the exercise of stock options, net of repurchases.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three months ended March 31, 2022 was $3.1 million, which consisted of $4.1 million of proceeds from the exercise of stock options, net of repurchases, offset by tax withholdings on release of restricted stock units of $0.7 million, and the payment of deferred transaction costs of $0.3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that represents our net loss adjusted for depreciation and amortization, stock-based compensation, net interest income, provision for income taxes, and any acquisition-related costs. </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loss, the most comparable GAAP measure, to Adjusted EBITDA:</w:t>
      </w:r>
    </w:p>
    <w:tbl>
      <w:tblPr>
        <w:tblW w:w="6699" w:type="dxa"/>
        <w:jc w:val="center"/>
        <w:tblInd w:w="0" w:type="dxa"/>
        <w:tblCellMar>
          <w:top w:w="28" w:type="dxa"/>
          <w:left w:w="28" w:type="dxa"/>
          <w:bottom w:w="28" w:type="dxa"/>
          <w:right w:w="28" w:type="dxa"/>
        </w:tblCellMar>
      </w:tblPr>
      <w:tblGrid>
        <w:gridCol w:w="937"/>
        <w:gridCol w:w="824"/>
        <w:gridCol w:w="833"/>
        <w:gridCol w:w="109"/>
        <w:gridCol w:w="109"/>
        <w:gridCol w:w="196"/>
        <w:gridCol w:w="196"/>
        <w:gridCol w:w="379"/>
        <w:gridCol w:w="1432"/>
        <w:gridCol w:w="196"/>
        <w:gridCol w:w="109"/>
        <w:gridCol w:w="109"/>
        <w:gridCol w:w="109"/>
        <w:gridCol w:w="211"/>
        <w:gridCol w:w="796"/>
        <w:gridCol w:w="154"/>
      </w:tblGrid>
      <w:tr>
        <w:trPr/>
        <w:tc>
          <w:tcPr>
            <w:tcW w:w="93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88" w:type="dxa"/>
            <w:gridSpan w:val="6"/>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requiring estimates, assumptions, and judgments as compared to the critical accounting policies and estimates as described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Recently Issued Accounting Pronouncements </w:t>
      </w:r>
    </w:p>
    <w:p>
      <w:pPr>
        <w:pStyle w:val="TextBody"/>
        <w:spacing w:lineRule="auto" w:line="288" w:before="0" w:after="180"/>
        <w:jc w:val="both"/>
        <w:rPr/>
      </w:pPr>
      <w:r>
        <w:rPr>
          <w:rFonts w:ascii="Times New Roman;sans-serif" w:hAnsi="Times New Roman;sans-serif"/>
          <w:b w:val="false"/>
          <w:color w:val="000000"/>
          <w:sz w:val="20"/>
        </w:rPr>
        <w:t>Refer to</w:t>
      </w:r>
      <w:r>
        <w:rPr>
          <w:color w:val="000000"/>
        </w:rPr>
        <w:t xml:space="preserve"> </w:t>
      </w:r>
      <w:r>
        <w:rPr>
          <w:rFonts w:ascii="Times New Roman;sans-serif" w:hAnsi="Times New Roman;sans-serif"/>
          <w:b w:val="false"/>
          <w:color w:val="000000"/>
          <w:sz w:val="20"/>
        </w:rPr>
        <w:t>Note 2</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more information regarding recently issued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of $67.8 million and marketable securities of $507.0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March 31, 2023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pStyle w:val="TextBody"/>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Limitations on the Effectiveness of Disclosure Controls and Procedures</w:t>
      </w:r>
    </w:p>
    <w:p>
      <w:pPr>
        <w:pStyle w:val="TextBody"/>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continue to grow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pStyle w:val="TextBody"/>
        <w:spacing w:before="0" w:after="0"/>
        <w:jc w:val="both"/>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Adverse global economic and financial conditions could harm our business and financial condition.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Adverse global economic and financial events and the effects thereof, such as the persisting impacts of the COVID-19 pandemic, the war in Ukraine, inflation, rising interest rates, potential recessions, fluctuations in foreign exchange rates, recent turmoil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pStyle w:val="TextBody"/>
        <w:spacing w:before="0" w:after="0"/>
        <w:jc w:val="both"/>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decreases in neighbor or advertiser engagement on the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slower than anticipated growth in, or lack of growth or decreases in, the number of neighbors on the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macroeconomic conditions, whether in the advertising industry in general, among specific types of advertisers or within particular geographies, including but not limited to the recent turmoil in the global banking system, labor shortages, supply chain disruptions, a potential recession, inflation and rising interest rates;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platform changes (such as the migration to our proprietary ad server) or inventory management decisions that change the size, format, frequency, or relative prominence of advertisements displayed on the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competitors offering more attractive pricing for advertisements that we are unable or unwilling to match;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decrease in the quantity or quality of advertisements shown to neighbors;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to laws, third-party policies or applications that limit our ability to deliver, target, or measure the effectiveness of advertising, including changes by mobile operating system and browser providers such as Apple and Google;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to demographics of our neighbors that make us less attractive to advertisers;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neighbors who exercise opt-out rights under privacy laws to restrict the advertisements they receive;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neighbors that upload content or take other actions that are deemed to be hostile, inappropriate, illicit, objectionable, illegal, or otherwise not consistent with the brand of our advertisers;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adverse government actions or legislative, regulatory, or other legal developments;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neighbor behavior or changes to the platform that may affect, among other things, the safety and security of other neighbors or the cultivation of a positive and inclusive online community;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adverse media reports or other negative publicity involving 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implementing or enforcing policies, such as advertising policies, community guidelines, and other terms or service that are perceived negatively by advertisers;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develop and improve our products for advertisers;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limitations in, or reductions to, the availability, accuracy, utility, and security of analytics and measurement solutions offered by us or third parties that are intended to demonstrate the value of our advertisements to advertisers;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to our data privacy practices that affect the type or manner of advertising that we are able to provide, including as a result of changes to laws, regulations or regulatory actions, such as the GDPR, European Directive 2002/58/EC (the “ePrivacy Directive”), UK General Data Protection Regulation (“UK GDPR”), UK Data Protection Act 2018, the CCPA, Nevada’s Online Privacy Law, the CDPA, the VCPDA, the CPRA, and other U.S. state privacy laws, or changes to third-party policies.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attract and retain advertisers depends on our ability to collect and use data and develop products to enable us to effectively deliver and accurately measure advertisements on the Nextdoor platform.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(“ITP”)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start phasing out third-party cookies in its Google Chrome browser, beginning in the second half of 2024, and, more recently, that it intends to limit access by mobile applications to advertising identifiers on Android devices. These web and mobile browser developers have also implemented and may continue to implement changes and restrictions in browser or device functionality that limit our ability to communicate with or understand the identity of our neighbors.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add new neighbors or retain current neighbors, or if current neighbors engage less with the Nextdoor platform, our business, operating results, and financial condition would be adversely impacted.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the current growth rate, if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neighbor base slows or reverses, we may be required to incur significantly higher marketing expenses than we currently anticipate in order to acquire new neighbors or retain current neighbors.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could negatively impact our ability to grow, retain and engage current and prospective neighbors, including but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neighbors increasing their engagement with competitors’ platforms, products or services instead of, or more frequently than, our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the amount of time neighbors spend across all applications and platforms, including our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failing to introduce platform enhancements that neighbors find engaging or if we introduce new features, terms, policies or procedures, or make changes to our platform, that are not favorably received by current or prospective neighbors;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technical or other problems frustrating the neighbor experience, such as problems that prevent us from delivering our service in a fast and reliable manner;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neighbors having difficulty installing, updating or otherwise accessing the Nextdoor platform on mobile devices through the app or web browsers;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neighbor behavior on the Nextdoor platform changing, including a decrease in the quality and frequency of content shares on the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decreases in neighbor or advertiser sentiment due to questions about the quality or usefulness of our platform, concerns about the nature of content made available on the platform, concerns related to privacy, safety, security, well-being or other factors;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mandated by legislation, government and regulatory authorities, or litigation that adversely impact our platform or neighbors;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third parties preventing their content from being displayed on the Nextdoor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we may make to how we promote different features on our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initiatives designed to attract and retain neighbors and engagement are unsuccessful or discontinued, whether as a result of actions by us, third parties, or otherwise;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we, or other partners and companies in the industry are the subject of adverse media reports or other negative publicity;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we are unable to combat spam, harassment, cyberbullying or other hostile, inappropriate, abusive or offensive content or usage on our platform;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we cannot preserve and enhance our brand and reputation as a trusted neighborhood networking community.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highly competitive. Competition presents an ongoing threat to the success of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Moreover, Google recently announced that it intends to limit access by mobile applications to advertising identifiers on Android devices, likely by the end of 2024.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compete depends upon many factors both within and beyond our control,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popularity, usefulness, ease of use, performance, and reliability of our platform compared to our competitors’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size and composition of our neighbor base;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engagement of neighbors with our platform and competing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first- and third-party data available to us relative to our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attract and retain advertisers who use our free or paid advertisements services;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and market acceptance of developments and enhancements to our platform or our competitors’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safety and security efforts and our ability to protect neighbor data and to provide neighbors with control over their data;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distribute our platform to new and existing neighbors;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effectively monetize our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successful implementation of platform changes, such as the migration to our proprietary ad server;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frequency, size, format, quality, and relative prominence of the advertisements displayed by us or our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customer service and support efforts;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marketing and selling efforts, including our ability to measure the effectiveness of our advertisements and to provide advertisers with a compelling return on their investments;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establish and maintain publisher interest in integrating their content with our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mandated by legislation, regulatory authorities, or litigation, some of which may have a disproportionate effect on 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acquisitions or consolidation within our industry, which may result in more formidable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attract, retain, and motivate talented employees, particularly software engineers, designers, and managers;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cost-effectively manage and grow our operations; and</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reputation and brand strength relative to those of our competitors.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compete effectively, our neighbor base and level of neighbor engagement may decrease, we may become less attractive to advertisers and our business, operating results, and financial condition may be adversely affected.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majority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network infrastructure is provided by third parties, including AWS.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our revenue growth has slowed in recent quarters, since inception, we have experienced rapid growth and expect to continue to invest broadly across our organization to support our growth. Although we have experienced rapid growth historically, we may not return to prior growth rates or sustain our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as we have grown, our business has become increasingly complex and requires more resources. To manage any future growth effectively, we must continue to improve and expand our information technology and financial infrastructure, our operating and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systems and controls, and our ability to manage headcount, capital, and processes in an efficient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recent turmoil in the global banking system, labor shortages, supply chain disruptions, a potential recession, rising interest rates and inflation, the war in Ukraine and the persisting impacts of the COVID-19 pandemic.</w:t>
      </w:r>
    </w:p>
    <w:p>
      <w:pPr>
        <w:pStyle w:val="TextBody"/>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or our industry generally are unable to provide a high-quality and secure customer experience in the various locales in which we operate, our brand could suffer reputational damage and our business results could be harmed.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Unfavorable media coverage negatively affects our business from time to time.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plan to continue expanding our international operations where we have limited operating experience and may be subject to increased business, regulatory, and economic risks that could seriously harm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expanding our business operations abroad by opening new and expanding within existing neighborhoods outside of the United States. As of March 31, 2023, the Nextdoor platform was accessible in 11 countries (including the United States) and had over 305,000 neighborhoods. We plan to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political, social and economic instability, including as a result of acts of war or terrorism, including the war in Ukraine;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risks related to the legal and regulatory environment in foreign jurisdictions, including with respect to privacy and data protection, and unexpected changes in laws, regulatory requirements, and enforcement;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potential damage to our brand and reputation due to compliance with local laws, including potential censorship and requirements to provide neighbor information to local authorities;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enhanced difficulty in reviewing content on the Nextdoor platform and enforcing community standards across different languages and countries;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fluctuations in currency exchange rates;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compliance with multiple U.S. and international tax jurisdictions and management of tax impact of global operations;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potentially higher levels of credit risk and payment fraud;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difficulties integrating any foreign acquisitions;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burdens of complying with a variety of foreign laws, including laws related to taxation, content removal, data localization, data transfer, consents, payments, and regulatory oversight;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reduced protection for intellectual property rights in some countries;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difficulties in staffing and managing global operations and the increased travel, infrastructure, and legal compliance costs associated with multiple international locations.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need additional capital in the future, it may not be available on favorable terms, if at all.</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pStyle w:val="TextBody"/>
        <w:spacing w:before="0" w:after="0"/>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plan to continue to make acquisitions, which could harm our financial condition or operating results and may adversely affect the price of our Class A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we have made, and intend to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the persisting impacts of the COVID-19 pandemic, and workforce participation rates.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also depends in large part on the continued services of senior management and other key personnel. In particular, we are dependent on the services of Sarah Friar, our Chief Executive Officer and President, who is critical to the future vision and strategic direction of our business. We rely on our leadership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core values may conflict with the short-term interests of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Security and Technology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are dependent on third-party software and service providers, including the GAM platform, for management and delivery of advertisements on the Nextdoor platform. As such, the continued use of third-party software and service providers, including GAM,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rely on third-party technology providers in our business, we rely on the cybersecurity practices and policies adopted by these third parties. Our ability to monitor our third-party technology providers’ cybersecurity practices is limited.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including email providers, mobile data networks, and geolocation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verify our neighbors’ accounts through several methods, including but not limited to email, SMS text message, phone calls, geolocation and mailed invitations. For example, we utilize email providers, mobile data networks, and geolocation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Technologies have been developed that can block the display of advertisements on the Nextdoor platform, which could adversely impact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Security breaches, including improper access to or disclosure of our data or our neighbors’ data, or other hacking and phishing attacks on our or third-party systems, could harm our reputation and adversely affect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trend towards working from home and using private residential networks to access the Internet, which has arisen in response to the persisting impacts of the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Security breaches may cause interruptions to our platform, degrade the neighbor experience, cause neighbors or advertisers to lose confidence and trust in our platform, impair our internal systems, or result in financial harm to our company.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pStyle w:val="TextBody"/>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 security breach of our system could trigger a breach of our agreements with partners that we rely on to deliver our services and expose us to significant loss.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liability or cancellation of service under these agreements. The damages payable to the counterparty as well as the impact to our service could be substantial and create substantial costs and loss of business.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the release of iOS 14.5 brought with it a number of new changes, including the need for neighbors using the app to opt in before their identifier for advertisers (“IDFA”)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three months ended March 31, 2023,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in May 2022, Apple introduced changes for the Apple mail client available on its operating systems, including iOS 15, iPadOS 15, and macOS 12, which have impacted, and are expected to continue to impact our ability to track individual users and devices, and measure the effectiveness of our advertisements. Moreover, Google recently announced that it intends to limit access by mobile applications to advertising identifiers on Android devices, likely by the end of 2024. As a result, advertisers may find our products less appealing and may seek alternative platforms on which to run their advertising campaigns.</w:t>
      </w: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platform and internal systems rely on software and hardware that is highly technical, and any errors, bugs, or vulnerabilities in these systems, or failures to address or mitigate technical limitations in our systems, could adversely affect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inquiries, litigation, or liability for fines, damages, or other remedies, any of which could adversely affect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Social and ethical issues may result in reputational harm and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results difficult to predict.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generate revenues from our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acquire, retain, and grow our neighbors and neighbor engagement on our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ability to attract and retain advertisers;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ability to recognize revenue or collect payments from advertisers in a particular period;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fluctuations in spending by our advertisers due to macroeconomic conditions, seasonality, episodic regional or global events, including the persisting impacts of the COVID-19 pandemic, or other factors;</w:t>
      </w:r>
    </w:p>
    <w:p>
      <w:pPr>
        <w:pStyle w:val="TextBody"/>
        <w:spacing w:before="0" w:after="0"/>
        <w:ind w:left="0" w:right="0" w:firstLine="36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changes in domestic and global business and macroeconomic conditions, including the recent turmoil in the global banking system, potential recession, the continued rise of inflation and interest rates, persisting impacts of the COVID-19 pandemic, and the war in Ukraine; </w:t>
      </w:r>
    </w:p>
    <w:p>
      <w:pPr>
        <w:pStyle w:val="TextBody"/>
        <w:spacing w:before="0" w:after="0"/>
        <w:ind w:left="0" w:right="0" w:firstLine="360"/>
        <w:jc w:val="both"/>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fluctuations in internet usage generally;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number, prominence, size, format, quality and relevancy of advertisements shown to neighbors;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success of technologies designed to block the display of advertisements;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to third-party policies or applications that limit our ability to deliver, target, or measure the effectiveness of advertising, including changes by mobile operating system and browser providers such as Apple and Google;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pricing of our advertisements;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cost of and mix of new and existing sales and marketing and promotional efforts;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availability of our platform and app on mobile devices and other third-party platforms;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to our platform or the development and introduction of new products or services by our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advertising industry association rules and standards that limit our ability to deliver, target or measure the effectiveness of advertising, such as the Network Advertising Initiative, and Interactive Advertising Bureau;</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neighbor behavior or platform changes that may reduce traffic to features of the platform that we monetize;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system failures, disruptions, breaches of security or privacy, whether on our platform or on those of third parties, and the costs associated with any such breaches and remediation;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negative publicity associated with our platform, including as a result of content on our platform, security breaches and neighbor privacy concerns that may result in advertisers reducing or eliminating their spend with 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health epidemics, such as the COVID-19 pandemic, influenza, and other highly communicable diseases or viruses;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of incurring additional expenses, such as increases in sales and marketing or research and development, including as a result of the persisting impacts of the COVID-19 pandemic;</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adverse litigation judgments, settlements, or other litigation-related costs;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the legislative or regulatory environment, including with respect to privacy and cybersecurity, or actions by governments or regulators, including fines, orders, or consent decrees;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U.S. generally accepted accounting principles.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believe that our rapid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Certain of our market opportunities and key metric estimates could prove to be inaccurate, and any real or perceived inaccuracies may harm our reputation and negatively affect our business.</w:t>
      </w:r>
    </w:p>
    <w:p>
      <w:pPr>
        <w:pStyle w:val="TextBody"/>
        <w:spacing w:lineRule="auto" w:line="288" w:before="0" w:after="180"/>
        <w:jc w:val="both"/>
        <w:rPr/>
      </w:pPr>
      <w:r>
        <w:rPr>
          <w:rFonts w:ascii="Times New Roman;sans-serif" w:hAnsi="Times New Roman;sans-serif"/>
          <w:b w:val="false"/>
          <w:color w:val="000000"/>
          <w:sz w:val="20"/>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section, which could cause actual results to 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such measurements. For example, in 2021, Apple introduced changes for the Apple mail client available on its operating systems, including iOS 15, iPadOS 15, and macOS 12,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net losses each year since we began operations in 2007, including net losses of $33.7 million and $32.9 million for the three months ended March 31, 2023 and 2022, respectively. We have an accumulated deficit of $652.0 million as of March 31, 2023.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hiring additional team members, developing and enhancing our platform, marketing and sales, and enhancing our infrastructure. Our expansion efforts may prove more expensive than we anticipate, and we may not succeed in increasing our revenues sufficiently to offset these higher expenses.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use our U.S. federal and state net operating losses to offset future taxable income may be subject to certain limitations which could subject our business to higher tax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gross U.S. federal net operating loss (“NOL”) carryforwards of approximately $382.1 million and gross state NOL carryforwards of approximately $234.8 million, which if not utilized, will begin to expire for federal and state income tax purposes beginning in 2028. To the extent that we continue to generate taxable losses, unused losses will carry forward to offset future taxable income, if any. Under the 2017 Tax Cuts and Jobs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financial results may be adversely affected by changes in accounting principles generally accepted in the United States and our financial estimates may be different from our financial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currency exchange rates fluctuate substantially in the future, our operating results, which are reported in U.S. dollars, could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have greater than anticipated tax liabilities, which could harm our business, revenue and financial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 In August 2022, President Biden signed into law the Inflation Reduction Act of 2022 (“IRA”). The IRA includes a 15% corporate alternative minimum tax for companies with modified GAAP net income in excess of $1 billion, a 1% excise tax on certain stock repurchases, and numerous environmental and green energy tax credits. Currently, we are not subject to the corporate alternative minimum tax. We are currently evaluating the impacts of the excise tax on our Share Repurchase Program, however we do not currently expect the new law to have a material impact on our results of operations. </w:t>
      </w:r>
    </w:p>
    <w:p>
      <w:pPr>
        <w:pStyle w:val="TextBody"/>
        <w:spacing w:before="0" w:after="0"/>
        <w:jc w:val="both"/>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As of March 31, 2023, we had $22.8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TextBody"/>
        <w:spacing w:before="0" w:after="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liable as a result of content or information that is published or made available on our platform.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many U.S. federal and state and foreign laws and regulations that involve matters central to our business, including laws and regulations that involve data privacy and protection, intellectual property (including copyright and patent laws), content regulation,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newsfeed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Actions by governments that restrict access to the Nextdoor platform in their countries, or that otherwise impair our ability to sell advertising in their countries, could substantially harm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Moreover in February 2023, the U.S. Supreme Court heard a case concerning the scope of CDA protection; a ruling in that case is expected later in 2023 and could narrow the judicial interpretation of the statute, exposing us to additional lawsuits and potential judgments that could seriously harm our business. We could incur significant costs investigating and defending such claims and, if we are found liable, significant damages.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Digital Services Act (the “DSA”), signed into law in the European Union on October 19, 2022, is a package of legislation intended to update the liability and safety rules for digital platforms, products, and services. The DSA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The United Kingdom, similarly, has proposed a draft Online Safety Bill, which, if passed, would create requirements around monitoring and handling harmful content and require us to expend resources to try to comply with the new regulations or incur liability. Similarly, Australia’s Online Safety Act 2021, which went into effect in January 2022, may impose new obligations and liabilities on platforms with respect to certain types of harmful content. These new and proposed laws, together with any changes to the existing laws and regulations within the jurisdictions in which we operate could require us to expend additional resources to maintain compliance with any new or evolving regulations. As a result, we may incur additional liability, and our business, operating results, and financial condition could be harmed.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a new privacy law, the CPRA, which became effective January 1, 2023 (with a look back to January 1, 2022). The CPRA significantly modifies the CCPA, including by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expanding consumers’ rights and establishing a new state agency that is vested with authority to implement and enforce the CPRA. Other states have also passed comparable legislation, with unique compliance requirements relevant to our business. For example, Virginia, Colorado, Connecticut, and Utah have all passed data privacy laws that go into effect at various times in 2023,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and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European Union rules with respect to cross-border transfers of personal data out of the EEA and the United Kingdom. Recent legal developments in Europe have created complexity and uncertainty regarding transfers of personal data from the EEA and the United Kingdom to the United States. On July 16, 2020, the Court of Justice of the European Union (the “CJEU”) invalidated the EU-U.S. Privacy Shield Framework (the “Privacy Shield”) under which personal data could be transferred from the EEA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To safeguard data transfers from the EEA to other jurisdictions, including the USA, we currently utilize standard contractual contracts approved by the EU Commission.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CJEU decision may result in different EEA data protection regulators applying differing standards for the transfer of personal data from the EEA to the United States, and even require ad hoc verification of measures taken with respect to data flows. Therefore, as a result of this CJEU decision, we may be required to review, amend and take additional steps to legitimize impacted personal data transfers. As supervisory authorities issue further guidance on personal data export mechanisms, including circumstances where the standard contractual clauses cannot be used, and/or start taking enforcement action, we could suffer increased costs to ensure compliance as well as additional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 The EU Commission has also published revised standard contractual clauses for data transfers from the EEA: the revised clauses must be used for relevant new data transfers from September 27, 2021; existing standard contractual clauses arrangements were migrated to the revised clauses by December 27, 2022.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EU Commission and the United States have made progress in their negotiations to reach a new agreement on a framework for data privacy for trans-Atlantic data transfers, it is unclear when they will implement the new data privacy framework. They agreed to the Trans-Atlantic Data Privacy Framework in March 2022, President Biden signed an Executive Order on Enhancing Safeguards for United States Signals Intelligence Activities on October 7, 2022, and on December 13, 2022, the EU Commission issued a draft adequacy decision. On February 28, 2023, the European Data Protection Board issued a non-binding opinion that both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applauded improvements to and expressed concern with certain aspects of the EU-U.S. data privacy framework. Next, the Committee of representative of EU Member States will need to approve the new framework.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relationship between the United Kingdom and the European Union in relation to certain aspects of data protection law remains unclear, and it is unclear how U.K. data protection laws and regulations, including those regarding data transfers to and from the United Kingdom, will develop in the medium to longer term. For example, while the EU Commission has adopted an adequacy decision in favor of the United Kingdom, enabling data transfers from EU member states to the United Kingdom without additional safeguards, the decision will automatically expire in June 2025 unless the EU Commission re-assesses and renews/extends it. These developments and this uncertainty will lead to additional costs and increase our overall risk exposure.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 and U.K. privacy laws on cookies and e-marketing. In the E.U. and the U.K., regulators are increasingly focusing on compliance with current national laws that implement the ePrivacy Directive.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December 2021 European court decision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pStyle w:val="TextBody"/>
        <w:spacing w:before="0" w:after="0"/>
        <w:jc w:val="both"/>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could be involved in legal disputes that are expensive and time consuming, and, if resolved adversely, could harm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patents and other intellectual property rights have asserted, and may in the future attempt to assert, intellectual property claims against us to extract value through licensing or other settlements.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Exposure to United Kingdom political developments, including the effect of its withdrawal from the European Union, could be costly and difficult to comply with and could adversely impact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a referendum was passed in the United Kingdom to leave the European Union, commonly referred to as “Brexit.” This decision created an uncertain political and economic environment in the United Kingdom and other European Union countries, and the formal process for leaving the European Union has taken years to complete. Although the United Kingdom and the European Union have recently entered into a trade and cooperation agreement, the long-term nature of the United Kingdom’s relationship with the European Union remains unclear and there is considerable uncertainty as to their future political and economic relations. The political and economic instability created by Brexit has caused and may continue to cause significant volatility in global financial markets and uncertainty regarding the regulation of cybersecurity in the United Kingdom. In addition, Brexit could lead to legal uncertainty and potentially divergent national laws and regulations as the United Kingdom determines which European Union laws to replace or replicate. For example, as discussed above, although the European Commission has adopted an adequacy decision in favor of the United Kingdom, enabling data transfers from EU member states to the United Kingdom without additional safeguards, uncertainty remains regarding how data transfers to and from the United Kingdom will be regulated in the long term. Brexit could also have the effect of disrupting the free movement of goods, services, capital, and people between the United Kingdom, the European Union, and elsewhere. The full effect of Brexit is uncertain and depends on any current and future agreements the United Kingdom makes with the European Union and others. Consequently, no assurance can be given about the impact of these developments, and our operational, tax, and other policies may require reassessment and our business, operating results, and financial condition may be seriously harmed.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obligations associated with operating as a public company require significant resources and management attention and have, and will continue to, cause us to incur additional expenses, which will adversely affect our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as a public company has and is expected to continue to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prepare and distribute periodic public reports and other stockholder communications in compliance with our obligations under the federal securities laws;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create or expand the roles and duties of our Board of Directors and committees of the Board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institute more comprehensive financial reporting and disclosure compliance functions;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establish new and enhance existing internal policies, including those relating to disclosure controls and procedures.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Failure to maintain effective systems of internal controls and disclosure controls could have a material adverse effect on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t>
      </w:r>
    </w:p>
    <w:p>
      <w:pPr>
        <w:pStyle w:val="TextBody"/>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assert that our internal control over financial reporting is effective, or if our independent registered public accounting firm is unable to express an opinion on the effectiveness of our internal control, including as a result of any identified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the value of our brands and other intangible assets may be diminished, and our business, operating results, and financial condition may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Confidentiality agreements with employees and others may not adequately prevent disclosure of trade secrets and proprietary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use of “open source” software could subject us to possible litigation or could prevent us from offering products that include open source software or require us to obtain licenses on unfavorable terms.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parties claiming ownership of what we believe to be open source software, or claiming non-compliance with the applicable open source licensing terms.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license technology from third parties, and our inability to maintain those licenses could harm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price of our Class A common stock has been and may continue to be volatile.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actual or anticipated fluctuations in our user growth, retention, engagement, revenue, or other operating results;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developments involving our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variations between our actual operating results and the expectations of securities analysts, investors, and the financial community;</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publication of research reports by securities analysts about us, our competitors or our industry;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additional shares of our Class A common stock being sold into the market by us or our existing stockholders, or the anticipation of such sales, or if existing stockholders subject to a lock-up sell shares into the market when applicable “lock-up” periods end;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additions and departures of key personnel;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commencement of, or involvement in, litigation involving 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announcements by us or our competitors of significant products or features, technical innovations, acquisitions, strategic partnerships, joint ventures, or capital commitments;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announcements by us or estimates by third parties of actual or anticipated changes in the size of our user base or the level of user engagement;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operating performance and stock market valuations of technology companies in our industry, including our partners and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interest rate increases on the overall stock market and the market for technology company stocks;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price and volume fluctuations in the overall stock market, including as a result of trends in the economy as a whole;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developments in new legislation and pending lawsuits or regulatory actions, including interim or final rulings by judicial or regulatory bodies;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events or factors, including those resulting from effects of the persisting impacts of the COVID-19 pandemic, the war in Ukraine, recessions, rising inflation, interest rates, local and national elections, the recent turmoil in the global banking system, international currency fluctuations, corruption, political instability and acts of war or terrorism.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may adversely affect the trading market for our Class A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S&amp;P Dow Jones and FTSE Russell limit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December 31, 2022.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for the foreseeable future.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analysts do not publish research about our business or if they publish inaccurate or unfavorable research, our stock price and trading volume could decline.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may cause the market price of our securities to drop significantly, even if our business is doing well.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March 31, 2023, we had 158,917,703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that our Board of Directors is classified into three classes of directors with staggered three-year terms;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permit our Board of Directors to establish the number of directors and fill any vacancies and newly created directorships;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require super-majority voting to amend some provisions in our Certificate of Incorporation and Bylaws;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that only our chairperson of the Board of Directors, our chief executive officer, the lead independent director or a majority of our Board of Directors will be authorized to call a special meeting of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do not provide for cumulative voting;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that our Board of Directors is expressly authorized to make, alter, or repeal our Bylaws;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contains exclusive forum provisions for certain claims, which may limit our stockholders’ ability to obtain a favorable judicial forum for disputes with us or our directors, officers, or employees.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Forum Provision means that suits brought by our stockholders to enforce any duty or liability created by the Securities Act must be brought in federal court and cannot be brought in state court.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stockholders will not be deemed to have waived our compliance with the federal securities laws and the regulations promulgated thereunder.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Sales of Unregistered Securities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jc w:val="both"/>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2021, Khosla Ventures Acquisition Co. II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consummation of the initial public offering, KVSB consummated a private placement of 1,100,000 private placement shares, at a price of $10.00 per share, to Khosla Ventures SPAC Sponsor II LLC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pStyle w:val="TextBody"/>
        <w:spacing w:before="0" w:after="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2022, our Board of Directors authorized and approved the Share Repurchase Program to repurchase up to $100.0 million in aggregate of our Class A common stock, with the authorization to expire on June 30, 2024. We did not repurchase or retire any shares of Class A common stock during the three months ended March 31, 2023. As of March 31, 2023, we had $22.8 million available for future share repurchases under the Share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326"/>
        <w:gridCol w:w="288"/>
        <w:gridCol w:w="289"/>
        <w:gridCol w:w="109"/>
        <w:gridCol w:w="109"/>
        <w:gridCol w:w="109"/>
        <w:gridCol w:w="2022"/>
        <w:gridCol w:w="2022"/>
        <w:gridCol w:w="2039"/>
        <w:gridCol w:w="109"/>
        <w:gridCol w:w="109"/>
        <w:gridCol w:w="109"/>
        <w:gridCol w:w="170"/>
        <w:gridCol w:w="170"/>
        <w:gridCol w:w="171"/>
        <w:gridCol w:w="118"/>
        <w:gridCol w:w="118"/>
        <w:gridCol w:w="118"/>
        <w:gridCol w:w="210"/>
        <w:gridCol w:w="210"/>
        <w:gridCol w:w="211"/>
        <w:gridCol w:w="118"/>
        <w:gridCol w:w="118"/>
        <w:gridCol w:w="118"/>
        <w:gridCol w:w="207"/>
        <w:gridCol w:w="207"/>
        <w:gridCol w:w="301"/>
      </w:tblGrid>
      <w:tr>
        <w:trPr/>
        <w:tc>
          <w:tcPr>
            <w:tcW w:w="32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90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9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a311ceo302certification-q1.htm">
              <w:r>
                <w:rPr>
                  <w:rStyle w:val="InternetLink"/>
                  <w:rFonts w:ascii="Times New Roman;sans-serif" w:hAnsi="Times New Roman;sans-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312cfo302certification-q1.htm">
              <w:r>
                <w:rPr>
                  <w:rStyle w:val="InternetLink"/>
                  <w:rFonts w:ascii="Times New Roman;sans-serif" w:hAnsi="Times New Roman;sans-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321ceo906certification-q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322cfo906certification-q1.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(formatted in iXBRL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spacing w:before="0" w:after="180"/>
        <w:jc w:val="both"/>
        <w:rPr/>
      </w:pPr>
      <w:r>
        <w:rPr/>
      </w:r>
    </w:p>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80"/>
        <w:jc w:val="both"/>
        <w:rPr/>
      </w:pPr>
      <w:hyperlink w:anchor="i8abd49d24b98401a80fcb151ca3bbbd8_10">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Quarterly Report on Form 10-Q to be signed on its behalf by the undersigned thereunto duly authorized.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bl>
      <w:tblPr>
        <w:tblW w:w="7683" w:type="dxa"/>
        <w:jc w:val="right"/>
        <w:tblInd w:w="0" w:type="dxa"/>
        <w:tblCellMar>
          <w:top w:w="28" w:type="dxa"/>
          <w:left w:w="28" w:type="dxa"/>
          <w:bottom w:w="28" w:type="dxa"/>
          <w:right w:w="28" w:type="dxa"/>
        </w:tblCellMar>
      </w:tblPr>
      <w:tblGrid>
        <w:gridCol w:w="491"/>
        <w:gridCol w:w="431"/>
        <w:gridCol w:w="431"/>
        <w:gridCol w:w="1841"/>
        <w:gridCol w:w="1841"/>
        <w:gridCol w:w="2648"/>
      </w:tblGrid>
      <w:tr>
        <w:trPr/>
        <w:tc>
          <w:tcPr>
            <w:tcW w:w="49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c>
          <w:tcPr>
            <w:tcW w:w="2648" w:type="dxa"/>
            <w:tcBorders/>
            <w:shd w:fill="auto" w:val="clear"/>
            <w:vAlign w:val="center"/>
          </w:tcPr>
          <w:p>
            <w:pPr>
              <w:pStyle w:val="TableContents"/>
              <w:spacing w:before="0" w:after="283"/>
              <w:rPr>
                <w:sz w:val="4"/>
                <w:szCs w:val="4"/>
              </w:rPr>
            </w:pPr>
            <w:r>
              <w:rPr>
                <w:sz w:val="4"/>
                <w:szCs w:val="4"/>
              </w:rPr>
            </w:r>
          </w:p>
        </w:tc>
      </w:tr>
      <w:tr>
        <w:trPr/>
        <w:tc>
          <w:tcPr>
            <w:tcW w:w="768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NEXTDOOR HOLDINGS, INC.</w:t>
            </w:r>
          </w:p>
        </w:tc>
      </w:tr>
      <w:tr>
        <w:trPr/>
        <w:tc>
          <w:tcPr>
            <w:tcW w:w="1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Friar</w:t>
            </w:r>
          </w:p>
        </w:tc>
      </w:tr>
      <w:tr>
        <w:trPr/>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p>
            <w:pPr>
              <w:pStyle w:val="TableContents"/>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tbl>
      <w:tblPr>
        <w:tblW w:w="4514" w:type="dxa"/>
        <w:jc w:val="right"/>
        <w:tblInd w:w="0" w:type="dxa"/>
        <w:tblCellMar>
          <w:top w:w="28" w:type="dxa"/>
          <w:left w:w="28" w:type="dxa"/>
          <w:bottom w:w="28" w:type="dxa"/>
          <w:right w:w="28" w:type="dxa"/>
        </w:tblCellMar>
      </w:tblPr>
      <w:tblGrid>
        <w:gridCol w:w="232"/>
        <w:gridCol w:w="205"/>
        <w:gridCol w:w="208"/>
        <w:gridCol w:w="1131"/>
        <w:gridCol w:w="1131"/>
        <w:gridCol w:w="1607"/>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Michael Doyle</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Doyle</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8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and Treasurer </w:t>
            </w:r>
          </w:p>
          <w:p>
            <w:pPr>
              <w:pStyle w:val="TableContents"/>
              <w:spacing w:lineRule="auto" w:line="26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and Accounting Officer</w:t>
            </w:r>
            <w:r>
              <w:rPr>
                <w:rFonts w:ascii="Times New Roman;sans-serif" w:hAnsi="Times New Roman;sans-serif"/>
                <w:b w:val="false"/>
                <w:color w:val="000000"/>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AND 15D-14(A) UNDER THE EXCHANGE ACT,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Sarah Friar, certify that:</w:t>
      </w:r>
    </w:p>
    <w:p>
      <w:pPr>
        <w:pStyle w:val="TextBody"/>
        <w:spacing w:before="0" w:after="0"/>
        <w:rPr/>
      </w:pPr>
      <w:r>
        <w:rPr/>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Nextdoor Holdings, Inc. (the “registrant”);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2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controls over financial reporting. </w:t>
      </w:r>
    </w:p>
    <w:tbl>
      <w:tblPr>
        <w:tblW w:w="8348"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479"/>
        <w:gridCol w:w="479"/>
        <w:gridCol w:w="487"/>
        <w:gridCol w:w="1428"/>
        <w:gridCol w:w="1428"/>
        <w:gridCol w:w="202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8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53" w:after="3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Sarah Friar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PURSUANT TO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AND 15D-14(A) UNDER THE EXCHANGE ACT,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20"/>
        </w:rPr>
        <w:t xml:space="preserve">I, </w:t>
      </w:r>
      <w:r>
        <w:rPr>
          <w:rFonts w:ascii="Times New Roman;sans-serif" w:hAnsi="Times New Roman;sans-serif"/>
          <w:b w:val="false"/>
          <w:color w:val="201F1E"/>
          <w:sz w:val="20"/>
        </w:rPr>
        <w:t>Michael Doyle</w:t>
      </w:r>
      <w:r>
        <w:rPr>
          <w:rFonts w:ascii="Times New Roman;sans-serif" w:hAnsi="Times New Roman;sans-serif"/>
          <w:b w:val="false"/>
          <w:color w:val="000000"/>
          <w:sz w:val="20"/>
        </w:rPr>
        <w:t>, certify that:</w:t>
      </w:r>
    </w:p>
    <w:p>
      <w:pPr>
        <w:pStyle w:val="TextBody"/>
        <w:spacing w:before="0" w:after="0"/>
        <w:rPr/>
      </w:pPr>
      <w:r>
        <w:rPr/>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Nextdoor Holdings, Inc. (the “registrant”);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tbl>
      <w:tblPr>
        <w:tblW w:w="5168"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211"/>
        <w:gridCol w:w="211"/>
        <w:gridCol w:w="214"/>
        <w:gridCol w:w="736"/>
        <w:gridCol w:w="736"/>
        <w:gridCol w:w="103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33" w:before="53" w:after="30"/>
              <w:jc w:val="left"/>
              <w:rPr/>
            </w:pPr>
            <w:r>
              <w:rPr>
                <w:rFonts w:ascii="Times New Roman;sans-serif" w:hAnsi="Times New Roman;sans-serif"/>
                <w:b w:val="false"/>
                <w:i/>
                <w:color w:val="000000"/>
                <w:sz w:val="20"/>
              </w:rPr>
              <w:t xml:space="preserve">/s/ </w:t>
            </w:r>
            <w:r>
              <w:rPr>
                <w:rFonts w:ascii="Times New Roman;sans-serif" w:hAnsi="Times New Roman;sans-serif"/>
                <w:b w:val="false"/>
                <w:i/>
                <w:color w:val="201F1E"/>
                <w:sz w:val="20"/>
              </w:rPr>
              <w:t>Michael Doyle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01F1E"/>
                <w:sz w:val="20"/>
              </w:rPr>
            </w:pPr>
            <w:r>
              <w:rPr>
                <w:rFonts w:ascii="Times New Roman;sans-serif" w:hAnsi="Times New Roman;sans-serif"/>
                <w:b w:val="false"/>
                <w:color w:val="201F1E"/>
                <w:sz w:val="20"/>
              </w:rPr>
              <w:t>Michael Doyle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SECTION 906 </w:t>
        <w:br/>
        <w:t>OF THE SARBANES-OXLEY ACT OF 2002</w:t>
      </w:r>
    </w:p>
    <w:p>
      <w:pPr>
        <w:pStyle w:val="TextBody"/>
        <w:spacing w:before="0" w:after="0"/>
        <w:rPr/>
      </w:pPr>
      <w:r>
        <w:rPr/>
      </w:r>
    </w:p>
    <w:p>
      <w:pPr>
        <w:pStyle w:val="TextBody"/>
        <w:spacing w:before="0" w:after="240"/>
        <w:rPr/>
      </w:pPr>
      <w:r>
        <w:rPr/>
      </w:r>
    </w:p>
    <w:p>
      <w:pPr>
        <w:pStyle w:val="TextBody"/>
        <w:spacing w:lineRule="auto" w:line="333" w:before="0" w:after="2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Nextdoor Holdings, Inc. (the “Company”) on Form 10-Q for the quarter ended March 31, 2023,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spacing w:lineRule="auto" w:line="333" w:before="0" w:after="2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333"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8348"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471"/>
        <w:gridCol w:w="471"/>
        <w:gridCol w:w="478"/>
        <w:gridCol w:w="1435"/>
        <w:gridCol w:w="1435"/>
        <w:gridCol w:w="2037"/>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0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4"/>
              </w:rPr>
              <w:t>/s/</w:t>
            </w:r>
            <w:r>
              <w:rPr>
                <w:color w:val="000000"/>
              </w:rPr>
              <w:t xml:space="preserve"> </w:t>
            </w:r>
            <w:r>
              <w:rPr>
                <w:rFonts w:ascii="Times New Roman;sans-serif" w:hAnsi="Times New Roman;sans-serif"/>
                <w:b w:val="false"/>
                <w:i/>
                <w:color w:val="000000"/>
                <w:sz w:val="20"/>
              </w:rPr>
              <w:t>Sarah Friar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44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right"/>
        <w:rPr/>
      </w:pPr>
      <w:r>
        <w:rPr/>
      </w:r>
    </w:p>
    <w:p>
      <w:pPr>
        <w:pStyle w:val="TextBody"/>
        <w:spacing w:before="0" w:after="0"/>
        <w:jc w:val="right"/>
        <w:rPr/>
      </w:pPr>
      <w:r>
        <w:rPr/>
      </w:r>
    </w:p>
    <w:p>
      <w:pPr>
        <w:pStyle w:val="TextBody"/>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SECTION 906 </w:t>
        <w:br/>
        <w:t>OF THE SARBANES-OXLEY ACT OF 2002</w:t>
      </w:r>
    </w:p>
    <w:p>
      <w:pPr>
        <w:pStyle w:val="TextBody"/>
        <w:spacing w:before="0" w:after="0"/>
        <w:rPr/>
      </w:pPr>
      <w:r>
        <w:rPr/>
      </w:r>
    </w:p>
    <w:p>
      <w:pPr>
        <w:pStyle w:val="TextBody"/>
        <w:spacing w:before="0" w:after="240"/>
        <w:rPr/>
      </w:pPr>
      <w:r>
        <w:rPr/>
      </w:r>
    </w:p>
    <w:p>
      <w:pPr>
        <w:pStyle w:val="TextBody"/>
        <w:spacing w:lineRule="auto" w:line="386" w:before="0" w:after="2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Nextdoor Holdings, Inc. (the “Company”) on Form 10-Q for the quarter ended March 31, 2023,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spacing w:lineRule="auto" w:line="386" w:before="0" w:after="2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38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5170"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211"/>
        <w:gridCol w:w="211"/>
        <w:gridCol w:w="215"/>
        <w:gridCol w:w="732"/>
        <w:gridCol w:w="732"/>
        <w:gridCol w:w="1048"/>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Michael Doyle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Doyle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40819</Words>
  <CharactersWithSpaces>266037</CharactersWithSpaces>
  <Paragraphs>2421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