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880" w:hanging="368"/>
        <w:spacing w:after="0"/>
        <w:tabs>
          <w:tab w:leader="none" w:pos="8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0" w:lineRule="exact"/>
        <w:rPr>
          <w:sz w:val="24"/>
          <w:szCs w:val="24"/>
          <w:color w:val="auto"/>
        </w:rPr>
      </w:pPr>
    </w:p>
    <w:p>
      <w:pPr>
        <w:ind w:left="880" w:hanging="386"/>
        <w:spacing w:after="0"/>
        <w:tabs>
          <w:tab w:leader="none" w:pos="8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144145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Nextdoor Holdings,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133350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158"/>
        </w:trPr>
        <w:tc>
          <w:tcPr>
            <w:tcW w:w="3800" w:type="dxa"/>
            <w:vAlign w:val="bottom"/>
          </w:tcPr>
          <w:p>
            <w:pPr>
              <w:jc w:val="center"/>
              <w:ind w:left="86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16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512"/>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420 Taylor Street</w:t>
            </w: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60" w:type="dxa"/>
            <w:vAlign w:val="bottom"/>
            <w:vMerge w:val="restart"/>
          </w:tcPr>
          <w:p>
            <w:pPr>
              <w:jc w:val="right"/>
              <w:ind w:right="2148"/>
              <w:spacing w:after="0"/>
              <w:rPr>
                <w:sz w:val="20"/>
                <w:szCs w:val="20"/>
                <w:color w:val="auto"/>
              </w:rPr>
            </w:pPr>
            <w:r>
              <w:rPr>
                <w:rFonts w:ascii="Times New Roman" w:cs="Times New Roman" w:eastAsia="Times New Roman" w:hAnsi="Times New Roman"/>
                <w:sz w:val="14"/>
                <w:szCs w:val="14"/>
                <w:b w:val="1"/>
                <w:bCs w:val="1"/>
                <w:color w:val="auto"/>
              </w:rPr>
              <w:t>94102</w:t>
            </w:r>
          </w:p>
        </w:tc>
        <w:tc>
          <w:tcPr>
            <w:tcW w:w="0" w:type="dxa"/>
            <w:vAlign w:val="bottom"/>
          </w:tcPr>
          <w:p>
            <w:pPr>
              <w:spacing w:after="0"/>
              <w:rPr>
                <w:sz w:val="1"/>
                <w:szCs w:val="1"/>
                <w:color w:val="auto"/>
              </w:rPr>
            </w:pPr>
          </w:p>
        </w:tc>
      </w:tr>
      <w:tr>
        <w:trPr>
          <w:trHeight w:val="148"/>
        </w:trPr>
        <w:tc>
          <w:tcPr>
            <w:tcW w:w="380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5"/>
        </w:trPr>
        <w:tc>
          <w:tcPr>
            <w:tcW w:w="7700" w:type="dxa"/>
            <w:vAlign w:val="bottom"/>
            <w:gridSpan w:val="4"/>
          </w:tcPr>
          <w:p>
            <w:pPr>
              <w:jc w:val="center"/>
              <w:ind w:left="34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344-0333</w:t>
            </w: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3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Title of each class</w:t>
            </w:r>
          </w:p>
        </w:tc>
        <w:tc>
          <w:tcPr>
            <w:tcW w:w="70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940" w:type="dxa"/>
            <w:vAlign w:val="bottom"/>
            <w:tcBorders>
              <w:bottom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NXDR</w:t>
            </w:r>
          </w:p>
        </w:tc>
        <w:tc>
          <w:tcPr>
            <w:tcW w:w="94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61" w:lineRule="exact"/>
        <w:rPr>
          <w:sz w:val="24"/>
          <w:szCs w:val="24"/>
          <w:color w:val="auto"/>
        </w:rPr>
      </w:pPr>
    </w:p>
    <w:p>
      <w:pPr>
        <w:ind w:right="20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38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4, 2025, there were 239,445,147 shares of the registrant’s Class A common stock outstanding and 147,814,444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979805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0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480" w:type="dxa"/>
            <w:vAlign w:val="bottom"/>
            <w:tcBorders>
              <w:top w:val="single" w:sz="8" w:color="auto"/>
            </w:tcBorders>
            <w:gridSpan w:val="3"/>
          </w:tcPr>
          <w:p>
            <w:pPr>
              <w:jc w:val="center"/>
              <w:ind w:left="230"/>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480" w:type="dxa"/>
            <w:vAlign w:val="bottom"/>
            <w:gridSpan w:val="12"/>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346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80" w:type="dxa"/>
            <w:vAlign w:val="bottom"/>
            <w:gridSpan w:val="5"/>
          </w:tcPr>
          <w:p>
            <w:pPr>
              <w:spacing w:after="0"/>
              <w:rPr>
                <w:sz w:val="18"/>
                <w:szCs w:val="18"/>
                <w:color w:val="auto"/>
              </w:rPr>
            </w:pP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80" w:type="dxa"/>
            <w:vAlign w:val="bottom"/>
            <w:gridSpan w:val="2"/>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80" w:type="dxa"/>
            <w:vAlign w:val="bottom"/>
            <w:gridSpan w:val="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5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1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4820" w:type="dxa"/>
            <w:vAlign w:val="bottom"/>
            <w:gridSpan w:val="13"/>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700" w:type="dxa"/>
            <w:vAlign w:val="bottom"/>
            <w:gridSpan w:val="14"/>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60" w:type="dxa"/>
            <w:vAlign w:val="bottom"/>
            <w:gridSpan w:val="15"/>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6"/>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8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development of, or investment in, new products or enhancements to our platform, including as part of our new Nextdoor initiative;</w:t>
      </w:r>
    </w:p>
    <w:p>
      <w:pPr>
        <w:spacing w:after="0" w:line="224" w:lineRule="exact"/>
        <w:rPr>
          <w:rFonts w:ascii="Arial" w:cs="Arial" w:eastAsia="Arial" w:hAnsi="Arial"/>
          <w:sz w:val="22"/>
          <w:szCs w:val="22"/>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and the ultimate success of, technologies, including artificial intelligence, aimed at enhancing our business solutions and delivering additional value to customers on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wars in Ukraine and the Middle East),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Part II, Item 1A, “Risk Factors” in this Quarterly Report.</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and financial conditions could harm our business and financial condition.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business effectively, our business, operating results, and financial condition would be adversely affected.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the Google Ad Manager (“GAM”) platform,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or third-party systems, could harm our reputation, adversely affect our business, and result in legal liability.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have been inaccurate in the past, and any real or perceived inaccuracies may harm our reputation and negatively affect our business.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in the future may be, involved in legal disputes that are expensive and time consuming, and, if resolved adversely, could harm our business, operating results, and financial condition.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176"/>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$377 and $451 as of June 30, 2025 and December 31, 2024,</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31,173</w:t>
            </w:r>
          </w:p>
        </w:tc>
      </w:tr>
      <w:tr>
        <w:trPr>
          <w:trHeight w:val="229"/>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513,953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27,944</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5"/>
        </w:trPr>
        <w:tc>
          <w:tcPr>
            <w:tcW w:w="77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 shares authorized, 235,515 and 224,488 shares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75"/>
        </w:trPr>
        <w:tc>
          <w:tcPr>
            <w:tcW w:w="77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 shares authorized, 147,869 and 158,134 shares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1,316,616</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30"/>
        </w:trPr>
        <w:tc>
          <w:tcPr>
            <w:tcW w:w="7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(864,083)</w:t>
            </w: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453,488</w:t>
            </w: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513,953</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200,203</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40" w:type="dxa"/>
            <w:vAlign w:val="bottom"/>
            <w:vMerge w:val="continue"/>
          </w:tcPr>
          <w:p>
            <w:pPr>
              <w:spacing w:after="0"/>
              <w:rPr>
                <w:sz w:val="10"/>
                <w:szCs w:val="10"/>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1"/>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382,709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390,154</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75"/>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unrealized gain (loss) on available-for-sale marketable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3"/>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020" w:type="dxa"/>
            <w:vAlign w:val="bottom"/>
            <w:vMerge w:val="restart"/>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(886,035)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436,069</w:t>
            </w: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purchase plan</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17,107</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(15,362)</w:t>
            </w:r>
          </w:p>
        </w:tc>
        <w:tc>
          <w:tcPr>
            <w:tcW w:w="0" w:type="dxa"/>
            <w:vAlign w:val="bottom"/>
          </w:tcPr>
          <w:p>
            <w:pPr>
              <w:spacing w:after="0"/>
              <w:rPr>
                <w:sz w:val="1"/>
                <w:szCs w:val="1"/>
                <w:color w:val="auto"/>
              </w:rPr>
            </w:pPr>
          </w:p>
        </w:tc>
      </w:tr>
      <w:tr>
        <w:trPr>
          <w:trHeight w:val="237"/>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1,329,582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429,533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1020" w:type="dxa"/>
            <w:vAlign w:val="bottom"/>
            <w:vMerge w:val="restart"/>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189,631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$1,335,525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(794,281)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541,442</w:t>
            </w: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(43,734)</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13"/>
        </w:trPr>
        <w:tc>
          <w:tcPr>
            <w:tcW w:w="3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purchase plan</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16,235</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1,309,594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(837,062)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472,314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4"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56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90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$1,316,616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(864,083)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453,488</w:t>
            </w: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(14,528)</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(37,314)</w:t>
            </w: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1,329,582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429,533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6"/>
                <w:szCs w:val="16"/>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558,557</w:t>
            </w: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0" w:type="dxa"/>
            <w:vAlign w:val="bottom"/>
          </w:tcPr>
          <w:p>
            <w:pPr>
              <w:spacing w:after="0"/>
              <w:rPr>
                <w:sz w:val="1"/>
                <w:szCs w:val="1"/>
                <w:color w:val="auto"/>
              </w:rPr>
            </w:pPr>
          </w:p>
        </w:tc>
      </w:tr>
      <w:tr>
        <w:trPr>
          <w:trHeight w:val="213"/>
        </w:trPr>
        <w:tc>
          <w:tcPr>
            <w:tcW w:w="3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options</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13"/>
        </w:trPr>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1,309,594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472,314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8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impairment charges related to lease abandonment</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(18,987)</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91,229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106,069</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 to Opportunity Finance Network</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2"/>
        </w:trPr>
        <w:tc>
          <w:tcPr>
            <w:tcW w:w="8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61,399</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withholdings on release of restricted stock units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(49,743)</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operating lease liability and right-of-use asset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not yet settled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 is the essential neighborhood network for over 100 million verified neighbors, offering trusted local news, real-time safety alerts, neighbor recommendations, for sale and free listings, and events.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2025 or any other future interim or annual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disclosed in Note 2 to the consolidated financial statements described in the Company’s Annual Report on Form 10-K as of and for the year ended December 31, 2024 that have had a material impact on the Company’s condensed consolidated financial statements and related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disclosures primarily related to an entity’s rate reconciliation and information on income taxes paid. The Company will be required to adopt this standard for the annual report period ending December 31, 2025. This guidance will be applied on a prospective basis with the option to apply the standard retrospectively. While the standard will require additional disclosures related to the Company’s income taxes, the Company does not expect this standard to have an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incremental disclosures to disaggregate income statement expense items. 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Deferred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June 30, 2025 and December 31, 2024, deferred revenue was $7.5 million and $6.8 million, respectively, and included within accrued expenses and other current liabilities on the condensed consolidated balance sheets. For the three months ended June 30, 2025 and 2024, revenue recognized from deferred revenue at the beginning of each period was $2.1 million and $4.1 million, respectively. For the six months ended June 30, 2025 and 2024, revenue recognized from deferred revenue at the beginning of each period was $2.8 million and $4.0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Equivalents and Marketable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274,540</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351,299</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380,501</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3"/>
        </w:trPr>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400,078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June 30, 2025 and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0"/>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219,816</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4"/>
        </w:trPr>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9"/>
                <w:szCs w:val="19"/>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172,333</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209,096</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June 30, 2025 and December 31, 2024.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table presents information about the Company’s financial assets that are measured at fair value on a recurring basis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274,540</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380,501</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56"/>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Assets, and Liabilities Not Recorded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assets not recorded at fair value (in thousands):</w:t>
      </w:r>
    </w:p>
    <w:p>
      <w:pPr>
        <w:spacing w:after="0" w:line="205"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33655</wp:posOffset>
            </wp:positionV>
            <wp:extent cx="4757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5" w:lineRule="exact"/>
        <w:rPr>
          <w:sz w:val="20"/>
          <w:szCs w:val="20"/>
          <w:color w:val="auto"/>
        </w:rPr>
      </w:pPr>
    </w:p>
    <w:p>
      <w:pPr>
        <w:ind w:left="3900"/>
        <w:spacing w:after="0"/>
        <w:tabs>
          <w:tab w:leader="none" w:pos="5740" w:val="left"/>
          <w:tab w:leader="none" w:pos="7240" w:val="left"/>
          <w:tab w:leader="none" w:pos="8760" w:val="left"/>
          <w:tab w:leader="none" w:pos="10180" w:val="left"/>
        </w:tabs>
        <w:rPr>
          <w:sz w:val="20"/>
          <w:szCs w:val="20"/>
          <w:color w:val="auto"/>
        </w:rPr>
      </w:pPr>
      <w:r>
        <w:rPr>
          <w:rFonts w:ascii="Times New Roman" w:cs="Times New Roman" w:eastAsia="Times New Roman" w:hAnsi="Times New Roman"/>
          <w:sz w:val="14"/>
          <w:szCs w:val="14"/>
          <w:b w:val="1"/>
          <w:bCs w:val="1"/>
          <w:color w:val="auto"/>
        </w:rPr>
        <w:t>Carrying Amount</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40"/>
        <w:spacing w:after="0"/>
        <w:tabs>
          <w:tab w:leader="none" w:pos="3740" w:val="left"/>
          <w:tab w:leader="none" w:pos="4600" w:val="left"/>
          <w:tab w:leader="none" w:pos="5260" w:val="left"/>
          <w:tab w:leader="none" w:pos="6420" w:val="left"/>
          <w:tab w:leader="none" w:pos="6760" w:val="left"/>
          <w:tab w:leader="none" w:pos="7940" w:val="left"/>
          <w:tab w:leader="none" w:pos="828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Note receivable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15,000</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14,128</w:t>
        <w:tab/>
        <w:t>$</w:t>
      </w:r>
      <w:r>
        <w:rPr>
          <w:sz w:val="20"/>
          <w:szCs w:val="20"/>
          <w:color w:val="auto"/>
        </w:rPr>
        <w:tab/>
      </w:r>
      <w:r>
        <w:rPr>
          <w:rFonts w:ascii="Times New Roman" w:cs="Times New Roman" w:eastAsia="Times New Roman" w:hAnsi="Times New Roman"/>
          <w:sz w:val="17"/>
          <w:szCs w:val="17"/>
          <w:color w:val="auto"/>
        </w:rPr>
        <w:t>14,128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33655</wp:posOffset>
            </wp:positionV>
            <wp:extent cx="47574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5" w:lineRule="exact"/>
        <w:rPr>
          <w:sz w:val="20"/>
          <w:szCs w:val="20"/>
          <w:color w:val="auto"/>
        </w:rPr>
      </w:pPr>
    </w:p>
    <w:p>
      <w:pPr>
        <w:ind w:left="3900"/>
        <w:spacing w:after="0"/>
        <w:tabs>
          <w:tab w:leader="none" w:pos="5740" w:val="left"/>
          <w:tab w:leader="none" w:pos="7240" w:val="left"/>
          <w:tab w:leader="none" w:pos="8760" w:val="left"/>
          <w:tab w:leader="none" w:pos="10180" w:val="left"/>
        </w:tabs>
        <w:rPr>
          <w:sz w:val="20"/>
          <w:szCs w:val="20"/>
          <w:color w:val="auto"/>
        </w:rPr>
      </w:pPr>
      <w:r>
        <w:rPr>
          <w:rFonts w:ascii="Times New Roman" w:cs="Times New Roman" w:eastAsia="Times New Roman" w:hAnsi="Times New Roman"/>
          <w:sz w:val="14"/>
          <w:szCs w:val="14"/>
          <w:b w:val="1"/>
          <w:bCs w:val="1"/>
          <w:color w:val="auto"/>
        </w:rPr>
        <w:t>Carrying Amount</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40"/>
        <w:spacing w:after="0"/>
        <w:tabs>
          <w:tab w:leader="none" w:pos="3740" w:val="left"/>
          <w:tab w:leader="none" w:pos="4600" w:val="left"/>
          <w:tab w:leader="none" w:pos="5260" w:val="left"/>
          <w:tab w:leader="none" w:pos="6420" w:val="left"/>
          <w:tab w:leader="none" w:pos="6760" w:val="left"/>
          <w:tab w:leader="none" w:pos="7940" w:val="left"/>
          <w:tab w:leader="none" w:pos="828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Note receivable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15,000</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14,076</w:t>
        <w:tab/>
        <w:t>$</w:t>
      </w:r>
      <w:r>
        <w:rPr>
          <w:sz w:val="20"/>
          <w:szCs w:val="20"/>
          <w:color w:val="auto"/>
        </w:rPr>
        <w:tab/>
      </w:r>
      <w:r>
        <w:rPr>
          <w:rFonts w:ascii="Times New Roman" w:cs="Times New Roman" w:eastAsia="Times New Roman" w:hAnsi="Times New Roman"/>
          <w:sz w:val="17"/>
          <w:szCs w:val="17"/>
          <w:color w:val="auto"/>
        </w:rPr>
        <w:t>14,076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there were no other financial instruments or liabilities that were not recorded at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Opportunity Finance Network Loan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 credit agreement with Opportunity Finance Network (“OFN”) to lend up to an aggregate of $15.0 million, unsecured, over the course of 24 months. As of June 30, 2025, the note receivable from OFN totaled $15.0 million and is recorded under other assets on the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 discussed below summarizes the Company’s current significant ongoing pending 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Derivative Litigation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a securities class action complaint was filed against the Company and certain of its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the lead plaintiff were filed on April 29, 2024 and the court appointed a lead plaintiff on July 12, 2024. The lead plaintiff filed the amended complaint on September 10, 2024. The Company filed a Motion to Dismiss on November 12, 2024. On May 19, 2025, the court granted the Motion to Dismiss in its entirety, but also granted the lead plaintiff leave to amend the complaint. On June 16, 2025, the lead plaintiff filed a second amended complaint that (i) brings claims solely against the Company and Sarah Friar, (ii) limits the challenged statements to a single statement, and (iii) narrows the putative class period to May 10, 2022 through November 7, 2022. The Company’s Motion to Dismiss the second amended complaint was filed on July 31, 2025.</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 class action complaint described above. The complaint seeks unspecified damages, attorneys’ fees, and other costs. The lawsuit is currently stayed. On April 3, 2025, the court referred the derivative action to the magistrate judge for discovery, which does not impact the current stay.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Litigation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 which discovery commenced. 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and six months ended June 30, 2025 and 2024, the Company did not incur material costs to defend lawsuits or settle claims related to these indemnifications. The Company believes the fair value of these liabilities is not material and accordingly has no liabilities recorded for these agreements as of June 30, 2025 and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Common Stock and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six</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40"/>
        <w:spacing w:after="0" w:line="438" w:lineRule="auto"/>
        <w:rPr>
          <w:sz w:val="20"/>
          <w:szCs w:val="20"/>
          <w:color w:val="auto"/>
        </w:rPr>
      </w:pPr>
      <w:r>
        <w:rPr>
          <w:rFonts w:ascii="Times New Roman" w:cs="Times New Roman" w:eastAsia="Times New Roman" w:hAnsi="Times New Roman"/>
          <w:sz w:val="18"/>
          <w:szCs w:val="18"/>
          <w:color w:val="auto"/>
        </w:rPr>
        <w:t xml:space="preserve">months ended June 30, 2025 and 2024, 408,404 and 407,298 shares of Class A common stock were purchased under the 2021 ESPP, respectively. </w:t>
      </w:r>
      <w:r>
        <w:rPr>
          <w:rFonts w:ascii="Times New Roman" w:cs="Times New Roman" w:eastAsia="Times New Roman" w:hAnsi="Times New Roman"/>
          <w:sz w:val="18"/>
          <w:szCs w:val="18"/>
          <w:b w:val="1"/>
          <w:bCs w:val="1"/>
          <w:i w:val="1"/>
          <w:iCs w:val="1"/>
          <w:color w:val="auto"/>
        </w:rPr>
        <w:t>Share Repurchase Program</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and retired 3,688,863 and 8,409,278 shares of its Class A common stock at an average purchase price of $1.46 and $1.72 per share for an aggregate repurchase price of $5.4 million and $14.5 million, respectively. During the three and six months ended June 30, 2024, the Company repurchased and retired 18,069,172 and 22,517,595 shares of its Class A common stock at an average purchase price of $2.42 and $2.38 per share for an aggregate repurchase price of $43.7 million and $53.5 million, respectively. As of June 30, 2025, the Company had $82.8 million available for future share repurchases under the Share Repurchase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stock option activity for the six months ended June 30, 2025 and related information is as follows (in thousands, except per share data):</w:t>
      </w: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June 30,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No options were granted during the six months ended June 30, 2025. The weighted average grant date fair value of options granted was $1.23 per share during the six months ended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the options exercised was $0.3 million and $2.3 million for the six months ended June 30,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for the six months ended June 30, 2025 and related information is as follows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vested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2025, the Company granted its Chief Executive Officer a market-based performance stock unit (“PSU”) award of approximately 0.7 million shares of the Company’s Class A common stock (“2025 PSU”), and on April 3, 2024, the Company granted its Chief Executive Officer a similar market-based PSU award of approximately 5.0 million shares of Class A common stock (“2024 PSU”). For both awards, the PSUs will vest based on stock price targets achieved over a four-year period, and any PSUs that have not vested at the end of the applicable performance period will be forfeited. Vesting is subject to the grantee’s continuous employment with the Company as Chief Executive Officer or Executive Chair, as well as other customary provisions pursuant to the Company’s 2021 Plan. The grant date fair value of the 2025 PSU was $1.0 million and the grant date fair value of the 2024 PSU was $9.3 million, each calculated using a Monte Carlo simulation model and recognized over the respective derived service periods using the graded-vesting method. Compensation cost is not adjusted in future periods for subsequent changes in the expected outcome of market-related conditions. For the three and six months ended June 30, 2025, the Company recognized $0.8 million and $2.0 million of stock-based compensation expense in connection with these two awards,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market-based PSUs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66.8%</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condensed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7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$104.4 million of unrecognized stock-based compensation expense, which is expected to be recognized over a weighted average period of 1.9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 Attributable to Common Stockholders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100" w:type="dxa"/>
            <w:vAlign w:val="bottom"/>
          </w:tcPr>
          <w:p>
            <w:pPr>
              <w:spacing w:after="0"/>
              <w:rPr>
                <w:sz w:val="17"/>
                <w:szCs w:val="17"/>
                <w:color w:val="auto"/>
              </w:rPr>
            </w:pPr>
          </w:p>
        </w:tc>
        <w:tc>
          <w:tcPr>
            <w:tcW w:w="88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16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Class B</w:t>
            </w:r>
          </w:p>
        </w:tc>
      </w:tr>
      <w:tr>
        <w:trPr>
          <w:trHeight w:val="162"/>
        </w:trPr>
        <w:tc>
          <w:tcPr>
            <w:tcW w:w="27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w:t>
            </w:r>
          </w:p>
        </w:tc>
      </w:tr>
      <w:tr>
        <w:trPr>
          <w:trHeight w:val="176"/>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2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computing net loss per share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0"/>
        </w:trPr>
        <w:tc>
          <w:tcPr>
            <w:tcW w:w="27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attributable to Class A and Class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6"/>
        </w:trPr>
        <w:tc>
          <w:tcPr>
            <w:tcW w:w="2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B common stockholders, basic</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199,991</w:t>
            </w: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4"/>
        </w:trPr>
        <w:tc>
          <w:tcPr>
            <w:tcW w:w="2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Class A and Class B common</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23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90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0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76,530</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72,544</w:t>
            </w:r>
          </w:p>
        </w:tc>
      </w:tr>
      <w:tr>
        <w:trPr>
          <w:trHeight w:val="21"/>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expense for the three months ended June 30, 2025 and 2024 of $0.3 million and $0.3 million, respectively, both of which were primarily related to foreign taxes. The Company recorded an income tax expense for the six months ended June 30, 2025 and 2024 of $0.4 million and $0.5 million, respectively, both of which were primarily related to foreign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reportable and operating segment. The Company’s Chief Operating Decision Maker is its CEO, who reviews financial information presented on a consolidated basis for purposes of making operating decisions, assessing financial performance, and allocating resources. Net loss is the Company’s primary measure of profit or loss and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111,015</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2025, the Company announced a cost reduction plan (the “Cost Reduction Plan”) intended to right size the business and align the workforce and other expenses with Nextdoor’s business priorities.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estimates that it will incur one-time charges of approximately $5 million in connection with the Cost Reduction Plan, consisting primarily of cash expenditures for notice period and severance payments, employee benefits, and related costs. In addition, the Company expects to incur approximately $1 million in stock-based compensation expense relating to the acceleration of the vesting of equity awards in connection with the Cost Reduction Plan.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the majority of the charges will be incurred in the third quarter of 2025 and that the execution of the Cost Reduction Plan will be substantially complete by the end of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Nextdoor is the essential neighborhood network for over 100 million verified neighbors, offering trusted local news, real-time safety alerts, neighbor recommendations, for sale and free listings, and events. Nextdoor connects neighbors to the people, places, and information that matter most in their local communities. In addition, businesses, news publishers, and public agencies use Nextdoor to share important information and engage with neighbors at scale.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June 30, 2025 are as follows:</w:t>
      </w:r>
    </w:p>
    <w:p>
      <w:pPr>
        <w:spacing w:after="0" w:line="17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Weekly Active Users (“Platform WAU”) was 21.8 million, an increase of 1% compared to the three months ended June 30, 2024.</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platform weekly active user (“Platform ARPU”) was $2.99, an increase of 2% compared to the three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three and six months ended June 30, 2025 are as follows:</w:t>
      </w:r>
    </w:p>
    <w:p>
      <w:pPr>
        <w:spacing w:after="0" w:line="173"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June 30, 2025 was $65.1 million, an increase of 3% compared to the three months ended June 30, 2024. Revenue for the six months ended June 30, 2025 was $119.3 million, an increase of 2% compared to the six months ended June 30, 2024.</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for the three months ended June 30, 2025 were $85.4 million, a decrease of 24% compared to the three months ended June 30, 2024. Total costs and expenses for the six months ended June 30, 2025 were $166.6 million, a decrease of 17% compared to the six months ended June 30, 2024.</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three months ended June 30, 2025 decreased 64% to $15.4 million, compared to $42.8 million for the three months ended June 30, 2024. Net loss for the six months ended June 30, 2025 decreased 47% to $37.3 million, compared to $71.0 million for the six months ended June 30, 2024.</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for the three months ended June 30, 2025 decreased 62% to $2.2 million, compared to $6.0 million for the three months ended June 30, 2024. Adjusted EBITDA loss for the six months ended June 30, 2025 decreased 43% to $11.4 million, compared to $20.0 million for the six months ended June 30, 2024.</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$413.3 million as of June 30, 2025.</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Weekly Active Users (Platform WAU)</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define a Platform WAU as a Nextdoor user who opens our application or logs on to our website at least once during a defined 7-day period. We calculate average Platform WAU for a particular period by calculating the count of unique users, on a rolling basis for the past seven days, for each day of that period, and dividing that sum by the number of days in that period. We assess the health of our business by measuring Platform WAU because we believe that weekly usage best captures the cadence at which we expect a healthy user base to engage with and derive the most utility from our platform, and by extension their neighborhood.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Platform WAU for the three months ended June 30, 2025 and 2024 were 21.8 million and 21.6 million, respectively, representing a 1% increase period over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Average Platform Weekly Active Users</w:t>
      </w:r>
      <w:r>
        <w:rPr>
          <w:rFonts w:ascii="Times New Roman" w:cs="Times New Roman" w:eastAsia="Times New Roman" w:hAnsi="Times New Roman"/>
          <w:sz w:val="23"/>
          <w:szCs w:val="23"/>
          <w:b w:val="1"/>
          <w:bCs w:val="1"/>
          <w:color w:val="auto"/>
          <w:vertAlign w:val="superscript"/>
        </w:rPr>
        <w:t>1</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122555</wp:posOffset>
            </wp:positionV>
            <wp:extent cx="4543425" cy="2828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434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Platform Weekly Active User (Platform ARPU)</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Platform ARPU metric. We define Platform ARPU as our total revenue during a period divided by the average of the number of Platform WAU during the same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ARPU for the three months ended June 30, 2025 and 2024 was $2.99 and $2.93,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3" w:lineRule="exact"/>
        <w:rPr>
          <w:sz w:val="20"/>
          <w:szCs w:val="20"/>
          <w:color w:val="auto"/>
        </w:rPr>
      </w:pPr>
    </w:p>
    <w:p>
      <w:pPr>
        <w:jc w:val="both"/>
        <w:ind w:firstLine="8"/>
        <w:spacing w:after="0" w:line="239" w:lineRule="auto"/>
        <w:tabs>
          <w:tab w:leader="none" w:pos="13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recently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Q1 2025 has been revised, as shown in the charts above, to reflect our best estimate of the correct calculation of Platform WAU for Q1 2024 through Q1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Platform ARPU</w:t>
      </w:r>
      <w:r>
        <w:rPr>
          <w:rFonts w:ascii="Times New Roman" w:cs="Times New Roman" w:eastAsia="Times New Roman" w:hAnsi="Times New Roman"/>
          <w:sz w:val="23"/>
          <w:szCs w:val="23"/>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86995</wp:posOffset>
            </wp:positionV>
            <wp:extent cx="4543425" cy="2828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434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generate substantially all of our revenue from the delivery of advertisements on our platform, which includes the delivery of advertising impressions sold on a cost per thousand (“CPM”) basis, a cost per click (“CPC”) basis, and on a subscription basis according to the service period. The majority of our revenue is generated in the United States.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marketing costs related to local business acquisition largely consists of digital advertising and, to a lesser extent, direct mail campaigns. Performance marketing costs related to user acquisition largely consist of digital advertising. Fluctuations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firstLine="8"/>
        <w:spacing w:after="0" w:line="229" w:lineRule="auto"/>
        <w:tabs>
          <w:tab w:leader="none" w:pos="10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Platform ARPU for Q1 2024 through Q1 2025 has also been revised as shown in the charts above, reflecting the adjustment to our Platform WAU figures related to the iOS push notifications issue identified in the prior footnote.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gains and losses on marketable securities and foreign currency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6"/>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6"/>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following table sets forth the components of our unaudited condensed consolidated statements of operations as a percentage of revenue for each of the periods presented: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7"/>
              </w:rPr>
              <w:t>(24)%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65,093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119,269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Revenue increased by $1.8 million, or 3%, for the three months ended June 30, 2025 compared to the three months ended June 30, 2024. The increase was primarily due to increased advertising spending as well as an increase in the number of active users, as measured by a 1% increase in Q2 Platform WAU.</w:t>
      </w:r>
    </w:p>
    <w:p>
      <w:pPr>
        <w:spacing w:after="0" w:line="9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Revenue increased by $2.8 million, or 2%, for the six months ended June 30, 2025 compared to the six months ended June 30, 2024. The increase was primarily due to increased advertiser spending as well as an increase in the number of active users, as measured by a 1% increase in Q2 Platform WAU.</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increased by $0.4 million, or 4%, for the three months ended June 30, 2025 compared to the three months ended June 30, 2024. The increase was primarily due to a $0.7 million increase in allocated personnel-related costs, partially offset by a $0.3 million decrease in third-party costs associated with delivering and supporting our advertising product.</w:t>
      </w:r>
    </w:p>
    <w:p>
      <w:pPr>
        <w:spacing w:after="0" w:line="1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Cost of revenue decreased by $0.2 million, or 1%, for the six months ended June 30, 2025 compared to the six months ended June 30, 2024. The decrease was primarily due to a $0.8 million decrease in third-party hosting costs and a $0.8 million decrease in third-party costs associated with delivering and supporting our advertising product, partially offset by a $1.2 million increase in allocated personnel-related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Research and</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3,520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increased by $3.5 million, or 11%, for the three months ended June 30, 2025 compared to the three months ended June 30, 2024. The increase was primarily due to a $3.1 million increase in personnel-related costs driven by an increase in headcount and a $0.6 million increase in professional service fees.</w:t>
      </w:r>
    </w:p>
    <w:p>
      <w:pPr>
        <w:spacing w:after="0" w:line="11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Research and development expenses increased by $5.7 million, or 9%, for the six months ended June 30, 2025 compared to the six months ended June 30, 2024. The increase was primarily due to a $5.0 million increase in personnel-related costs driven by an increase in headcount and a $1.2 million increase in professional service fees, partially offset by a $0.4 million decrease in allocated overhead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Personnel-related and</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Brand and performance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55"/>
        </w:trPr>
        <w:tc>
          <w:tcPr>
            <w:tcW w:w="18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sales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8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8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$6.1 million, or 20%, for the three months ended June 30, 2025 compared to the three months ended June 30, 2024. The decrease was primarily due to a $4.3 million decrease in personnel-related costs driven by a decrease in headcount, a $1.1 million decrease in performance marketing costs for user acquisition and a $0.7 million decrease in performance marketing costs to attract local businesses.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$13.9 million, or 23%, for the six months ended June 30, 2025 compared to the six months ended June 30, 2024. The decrease was primarily due to a $8.5 million decrease in personnel-related costs driven by a decrease in headcount, a $2.7 million decrease in performance marketing costs for user acquisition and a $2.5 million decrease in performance marketing costs to attract local businesses.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2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General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General and administrative expenses decreased by $24.7 million, or 61%, for the three months ended June 30, 2025 compared to the three months ended June 30, 2024. The decrease was primarily due to $23.3 million of restructuring costs in the second quarter of 2024 and a $2.1 million decrease in personnel-related costs driven by a decrease in headcount, partially offset by a $0.5 million increase in professional service fees.</w:t>
      </w:r>
    </w:p>
    <w:p>
      <w:pPr>
        <w:spacing w:after="0" w:line="12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General and administrative expenses decreased by $25.3 million, or 44%, for the six months ended June 30, 2025 compared to the six months ended June 30, 2024. The decrease was primarily due to $23.3 million of restructuring costs in the second quarter of 2024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$2.8 million decrease in personnel-related costs driven by a decrease in headcount, partially offset by a $0.8 million increase in professional service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8"/>
                <w:szCs w:val="18"/>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(1,635)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Interest income decreased by $1.6 million, or 26%, for the three months ended June 30, 2025 compared to the three months ended June 30, 2024. The decrease was driven by lower returns on marketable securities as a result of lower invested balances and lower interest rates.</w:t>
      </w:r>
    </w:p>
    <w:p>
      <w:pPr>
        <w:spacing w:after="0" w:line="9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Interest income decreased by $3.5 million, or 26%, for the six months ended June 30, 2025 compared to the six months ended June 30, 2024. The decrease was driven by lower returns on marketable securities as a result of lower invested balances and lower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Pr>
          <w:p>
            <w:pPr>
              <w:spacing w:after="0"/>
              <w:rPr>
                <w:sz w:val="16"/>
                <w:szCs w:val="16"/>
                <w:color w:val="auto"/>
              </w:rPr>
            </w:pP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income (expense), net increased by $0.3 million for the three months ended June 30, 2025 compared to the three months ended June 30, 2024. The increase was primarily due to the periodic re-measurement of monetary assets and liabilities denominated in non-functional currencies and gains and losses on marketable securities and foreign currency transactions.</w:t>
      </w:r>
    </w:p>
    <w:p>
      <w:pPr>
        <w:spacing w:after="0" w:line="12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income (expense), net increased by $0.6 million for the six months ended June 30, 2025 compared to the six months ended June 30, 2024. The increase was primarily due to the periodic re-measurement of monetary assets and liabilities denominated in non-functional currencies and gains and losses on marketable securities and foreign currency transactions.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percentages)</w:t>
            </w:r>
          </w:p>
        </w:tc>
        <w:tc>
          <w:tcPr>
            <w:tcW w:w="140" w:type="dxa"/>
            <w:vAlign w:val="bottom"/>
          </w:tcPr>
          <w:p>
            <w:pPr>
              <w:spacing w:after="0"/>
              <w:rPr>
                <w:sz w:val="17"/>
                <w:szCs w:val="17"/>
                <w:color w:val="auto"/>
              </w:rPr>
            </w:pPr>
          </w:p>
        </w:tc>
        <w:tc>
          <w:tcPr>
            <w:tcW w:w="9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Provision for income</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Provision for income taxes decreased by less than $0.1 million, or 15%, for the three months ended June 30, 2025 compared to the three months ended June 30, 2024. The decrease was primarily due to a decrease in foreign income tax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decreased by $0.1 million, or 21%, for the six months ended June 30, 2025 compared to the six months ended June 30,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a decrease in foreign income tax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$901.4 million as of June 30, 2025. We incurred operating losses and cash outflows from operations by supporting the growth of our business. We expect these losses and operating cash outflows to continue for the foreseeable future. We also expect to incur significant research and development, sales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general and administrative expenses over the next several years in connection with the continued development and strategic expansion of our business.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June 30, 2025, we had $413.3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three and six months ended June 30, 2025, we repurchased and retired 3.7 million and 8.4 million shares of Class A common stock at an average purchase price of $1.46 and $1.72 per share for an aggregate repurchase price of $5.4 million and $14.5 million, respectively. As of June 30, 2025, we had $82.8 million available for future share repurchases under the Share Repurchase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(18,987)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6"/>
              </w:rPr>
              <w:t>61,399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(49,743)</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ended June 30, 2025 was $3.3 million which resulted from a net loss of $37.3 million, adjusted for non-cash charges of $33.7 million and net cash inflows of $6.9 million from changes in operating assets and liabilities. Non-cash charges primarily consisted of $34.2 million of stock-based compensation expense and $1.1 million of depreciation and amortization expense, partially offset by $1.4 million of accretion on investments. The net cash inflows from changes in operating assets and liabilities were primarily due to a $4.2 million decrease in accounts receivable, a $3.9 million increase in accounts payable, a $1.4 million decrease in operating lease right-of-use assets due to normal amortization, a $1.0 million decrease in prepaid expenses and other assets, and a $0.5 million increase in accrued expenses and other liabilities. These amounts were partially offset by a $4.1 million decrease in operating lease liabilities due to lease payments.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2024 was $19.0 million which resulted from a net loss of $71.0 million, adjusted for non-cash charges of $58.1 million and net cash outflows of $6.0 million from changes in operating assets and liabilities. Non-cash charges primarily consisted of $35.7 million of stock-based compensation expense, $22.8 million of non-cash impairment charges related to lease abandonment, and $2.5 million of depreciation and amortization expense, partially offset by $3.3 million of accretion on investments. The net cash outflows from changes in operating assets and liabilities were primarily due to a $5.3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decrease in accrued expenses and other liabilities, a $3.0 million decrease in operating lease liabilities due to lease payments, and a $1.9 million increase in accounts receivable. These amounts were partially offset by a $2.4 million decrease in operating lease right-of-use assets due to normal amortization, a $0.9 million increase in accounts payable, and a $0.8 million decrease in prepaid expenses and other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2025 was $31.7 million, which consisted of proceeds from maturities of marketable securities of $98.5 million and proceeds from sales of marketable securities of $88.5 million. This was partially offset by purchases of marketable securities of $155.0 million and purchases of property and equipment of $0.3 million.</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six months ended June 30, 2024 was $61.4 million, which consisted of proceeds from maturities of marketable securities of $106.1 million and proceeds from sales of marketable securities of $91.2 million. This was partially offset by purchases of marketable securities of $128.3 million and a loan to Opportunity Finance Network of $7.5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was $21.2 million, which consisted of repurchases of common stock of $14.5 million and tax withholdings on release of restricted stock units of $9.2 million. This was partially offset by proceeds from the exercise of stock options of $1.8 million and proceeds from the issuance of common stock under the employee stock purchase plan of $0.7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$49.7 million, which consisted of repurchases of common stock of $53.5 million and tax withholdings on release of restricted stock units of $5.7 million. This was partially offset by proceeds from the exercise of stock options of $8.8 million and proceeds from the issuance of common stock under the employee stock purchase plan of $0.6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any restructuring charges or acquisition-related costs.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we had cash and cash equivalents of $62.1 million and marketable securities of $351.3 million. Our cash and cash equivalents consist of cash in bank accounts, demand deposits, and money market funds.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June 30, 2025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6, Commitments and Contingencies, to our unaudited condensed consolidated financial statements included in Part I, Item 1 of this Quarterly Report on Form 10-Q,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Moreover, we recently introduced our new Nextdoor (formerly NEXT) initiative, a complete transformation of our platform with the goal of making our platform more robust and engaging for users, as well as more compelling for advertisers. These changes may not be favorably received by users or advertisers, may not result in increased engagement or monetization, and may disrupt established usage patterns or alienate existing users.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and financial conditions could harm our business and financial condition.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global economic and financial events and the effects thereof, such as health epidemics or pandemics, the wars in Ukraine and the Middle East, inflation, changing interest rates, potential recessions, the implementation of tariffs by the United States, China, or other governments, fluctuations in foreign exchange rates, actual or perceived instability in the global banking system, supply chain issues and inventory and labor shortages, have caused, and could in the future cause, disruptions and volatility in global financial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markets. These conditions have in the past and may in the future translate to cost increases to us and advertisers and lead to decreased spending by our advertisers. U.S. trade policies, including tariffs on imported goods that have been implemented since April 2025, may adversely affect economic conditions and consumer spending patterns. Current and potential U.S. tariffs, and any new or additional retaliatory tariffs that may be imposed by other countries in response to such U.S. tariffs, may adversely affect spending by advertisers and, consequently, our operating results. Trade policy uncertainty and tariff implementations may continue to contribute to market volatility and economic uncertainty.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active on the platform;</w:t>
      </w:r>
    </w:p>
    <w:p>
      <w:pPr>
        <w:spacing w:after="0" w:line="211" w:lineRule="exact"/>
        <w:rPr>
          <w:rFonts w:ascii="Times New Roman" w:cs="Times New Roman" w:eastAsia="Times New Roman" w:hAnsi="Times New Roman"/>
          <w:sz w:val="18"/>
          <w:szCs w:val="18"/>
          <w:color w:val="auto"/>
        </w:rPr>
      </w:pPr>
    </w:p>
    <w:p>
      <w:pPr>
        <w:ind w:left="660" w:right="240" w:hanging="328"/>
        <w:spacing w:after="0" w:line="243"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spacing w:after="0" w:line="222"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48" w:lineRule="exact"/>
        <w:rPr>
          <w:rFonts w:ascii="Times New Roman" w:cs="Times New Roman" w:eastAsia="Times New Roman" w:hAnsi="Times New Roman"/>
          <w:sz w:val="18"/>
          <w:szCs w:val="18"/>
          <w:color w:val="auto"/>
        </w:rPr>
      </w:pPr>
    </w:p>
    <w:p>
      <w:pPr>
        <w:ind w:left="660" w:right="60" w:hanging="328"/>
        <w:spacing w:after="0" w:line="24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European Union and United Kingdom’s respective General Data Protection Regulations (collectively, “GDPR”), European Directive 2002/58/EC (the “ePrivacy Directive”), the Canadian Personal Information Protection and Electronic Documents Act (“PIPEDA”), the Australia Privacy Act 1988 along with the 2024 reforms thereto and the Australian Privacy Principles (“APPs”), the CCPA in California, and comparable U.S. state privacy laws in over a third of other states, or changes to third-party policies.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its Intelligent Tracking Prevention (“ITP”) feature in its Safari browser, which blocks some or all third-party cookies by default on mobile and desktop and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uses an App Tracking Transparency framework that limits the ability of mobile applications to request an iOS device’s advertising identifier and affects our ability to track neighbors’ actions off our platform and connect their interactions with on-platform advertising. Google recently went back on its plans to phase out third-party cookies, but is exploring ways to allow users to make browser-level privacy choices that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20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new Nextdoor initiative, a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including changes we are implementing with our new Nextdoor initiative, that are not favorably received by current or prospective neighbors;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obtain or attract engaging third-party content;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3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 and introduction of AI technologies into our platform, and our new Nextdoor initiative;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product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wars in Ukraine and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catastrophic failure involving our systems or major disruptive event affecting our headquarters or the San Francisco area in general, we may be unable to operate our platform.</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business effectively, our business, operating results, and financial condition would be adversely affected.</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the wars in Ukraine and the Middle East.</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Additionally, from time to time, we realign our resources and talent to implement stage-appropriate business strategies, which could include furloughs, layoffs and reductions in force. For example, in 2023 and 2024,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its leased headquarters in San Francisco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or financial results.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Our use of datasets to develop AI models, the content generated by AI systems, or the application of AI systems may be found to be insufficient, offensive, biased, or harmful, or violate current or future laws and regulations. For example, our recently launched “Faves” feature, which is part of the new Nextdoor initiative, uses AI technology to draw insights from users’ posts and comments about businesses and services in their neighborhoods, providing summarized recommendations in response to other users’ prompts on the Faves surface. The reliance of Faves on extensive user-generated conversations from neighborhoods exposes us to risks related to the accuracy of the data, potential bias in the generated recommendations, and the lack of transparency of AI-derived summaries of discussions within the community. If AI-generated recommendations are perceived as inaccurate, biased, or unfair, or if they surface inappropriate or outdated content, we could face reputational harm, regulatory scrutiny, or legal claims from users or businesses.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accuracy, bias, training data, quality of output, and other matters, and these safeguards may be insufficient. In addition, the quality, accuracy, availability, or efficacy of third-party AI models may degrade over time, which could negatively impact the performance of our AI-powered features and expose us to additional risks. If our offerings draw controversy due to their perceived or actual impact on society, such as AI solutions that have unintended consequences or are controversial because of unintended impacts to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Our AI initiatives also depend on our access to data to effectively train our models. In addition, existing laws and regulations may be interpreted, or new laws and regulations regarding AI have been and may in the future be adopted and interpreted, in ways which could negatively affect the way we use AI in our products. For example, the EU Artificial Intelligence Act prohibits certain high-risk AI applications and imposes strict requirements on others, potentially requiring additional quality controls and regulatory submissions for our products. In the U.S., there is no comprehensive federal AI law, but over half of states have enacted or proposed AI legislation, including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Colorado Artificial Intelligence Act (effective February 1, 2026), which regulates high-risk AI systems and imposes transparency obligations. The regulatory landscape for AI is fragmented and rapidly evolving, with ongoing legal challenges and uncertainty around implementation and enforcement. As a result, we may need to devote significant resources to adapt our offerings to comply with varying requirements, and unresolved issues around AI-related privacy rights may expose us to legal or regulatory risk.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Any of these factors could adversely affect our business, operating results, and financial condition.</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including through the new Nextdoor initiative,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and investment decisions may conflict with the short-term financial results and may not produce the long-term benefits that we expect.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product and investment decisions, which we believe are essential to the success of our platform and in serving the best, long-term interests of Nextdoor and our stockholders. In the past, including with the introduction of the new Nextdoor, we have forgone, and may in the future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new Nextdoor initiative, we anticipate shifts in usage and ad supply 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91"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8"/>
          <w:szCs w:val="18"/>
          <w:color w:val="auto"/>
        </w:rPr>
        <w:t>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June 30, 2025, the Nextdoor platform was accessible in 11 countries (including the United States) and had over 345,000 neighborhoods.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23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acts of war or terrorism, including the wars in Ukraine and the Middle East;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and 2024,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the GAM platform,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the GAM platform, for management and delivery of certain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adversely affect our business, and result in legal liability.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data may also be unsuccessful due to software bugs or other technical malfunctions; employee, contractor, or vendor error or malfeasance; threat actors, nation-states and nation-state supported actors engaging in cyberattacks; or other threats that evolve.</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incidents may cause interruptions to our platform, degrade the neighbor experience, cause neighbors or advertisers to lose confidence and trust in our platform, impair our internal systems, or result in financial harm to our company.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w:t>
      </w:r>
    </w:p>
    <w:p>
      <w:pPr>
        <w:jc w:val="both"/>
        <w:spacing w:after="0" w:line="255" w:lineRule="auto"/>
        <w:rPr>
          <w:sz w:val="20"/>
          <w:szCs w:val="20"/>
          <w:color w:val="auto"/>
        </w:rPr>
      </w:pPr>
      <w:r>
        <w:rPr>
          <w:rFonts w:ascii="Times New Roman" w:cs="Times New Roman" w:eastAsia="Times New Roman" w:hAnsi="Times New Roman"/>
          <w:sz w:val="18"/>
          <w:szCs w:val="18"/>
          <w:color w:val="auto"/>
        </w:rPr>
        <w:t>us to provide sustainability-related disclosure. For example, California has adopted two climate-related bills, which require companies doing business in California that meet certain revenue thresholds to publicly disclose certain greenhouse gas emissions data and climate-related financial risk reports.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California also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macroeconomic conditions, seasonality, episodic regional or global events, or other factors;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 interest rates, and the wars in Ukraine and the Middle East;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 including to repurchase shares of our outstanding Class A common stock or to make acquisitions or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have been inaccurate in the past, and any real or perceived inaccuracies may harm our reputation and negatively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regularly reviewed key business and other metrics, including Platform WAU, and Platform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If we fail to maintain an effective analytics platform, or if there are undetected errors in our systems, our key metrics calculations could be inaccurate. Any such inaccuracies, which may have occurred in the past or may occur in the future, may be difficult to identify in a timely manner. For example, we recently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Q2 2025 will be revised in this Quarterly Report on Form 10-Q to report the corrected figures.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change our key business metrics from time to time, including as a result of changes to our platform such as our new Nextdoor initiative. We regularly evaluate whether our key business metrics remain meaningful indicators of the performance of our business. As a result of these evaluations, we have decided to make changes, and in the future may make additional changes, to our key business metrics, including eliminating or replacing existing metrics. For example, in May 2025, we announced that we had made changes to the business that made Platform WAU a more important business metric for us, and as we continue to implement our new Nextdoor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initiative (which is focused on making our platform more robust and engaging for users), we believe that Platform WAU will be a more important metric for our business than it has been in the past. In light of those changes, we believe that reporting Platform WAU instead of WAU (previously defined as a Nextdoor user who opens our application, logs onto our website or engages with an email with monetizable content) will provide more relevant insight into our current business performance and will better align with how management currently views the business. Accordingly, beginning with this Quarterly Report on Form 10-Q, we no longer report WAU and instead report Platform WAU in our filings. In addition, we continue to present ARPU (now referred to as Platform ARPU), with the denominator based on the average number of Platform WAU instead of WAU. Moreover, while we continue to view international monetization as a long-term growth opportunity, our focus is on improving our product experience and aligning our operations to best serve users and advertisers in existing markets, primarily in the United States. Therefore, in our filings we will no longer provide a breakout of our key business metrics between the United States and international market. For more information see “Management’s Discussion and Analysis of Financial Condition and Results of Operations—Key Business Metrics” in Part II, Item 7 of this Quarterly Report on Form 10-Q. If these changes make it more difficult for investors or analysts to compare our performance over time or to other companies, or if investors perceive any changes to our key business metrics disclosures negatively, our business, operating results, and financial condition could be adversely affected.</w:t>
      </w: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$37.3 million and $71.0 million for the three and six months ended June 30, 2025 and 2024, respectively. We have an accumulated deficit of $901.4 million as of June 30, 2025.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and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(“NOL”) carryforwards of approximately $516.4 million and state NOL carryforwards of approximately $336.7 million, which if not utilized, will begin to expire beginning in 2028 and 2025,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experience ownership change(s)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June 30, 2025, we had $82.8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 In addition, the integration of third-party news or alert content, introduced as part of the new Nextdoor initiative, may increase our exposure to inaccurate, misleading, or objectionable content, and may create additional challenges for content moderation. If we fail to adequately moderate or address problematic content, we could face reputational, legal, or regulatory risk.</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new Nextdoor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Digital Millennium Copyright Act (the “DMCA”), the Communications Decency Act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trademark, copyright, and patent laws), content, rights of publicity, advertising, marketing, health and safety, competition, protection of minors, age verification, consumer protection, taxation, telecommunications, anti-bribery, anti-censorship, anti-money laundering and corruption, telecommunications, AI and machine learning, and securities. These laws and regulations are constantly evolving and may be interpreted, implemented, applied, created, or amended, in a manner that could require burdensome or inconsistent compliance efforts, introduce legal or regulatory liability, or otherwise harm our business. In addition, the introduction of new products, expansion of our activities in certain jurisdictions, or other actions that we may take may subject the company to additional laws, regulations, or other governmental scrutiny.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these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significantly harm our business. In addition, the Federal Trade Commission recently launched a public inquiry seeking information on technology platforms’ censorship efforts (including denial or degradation of services) based on the content of users’ speech or their affiliations, and how this conduct may have violated current law. We could incur significant costs investigating and defending such claims and inquiries and, if we are found liable, significant damages.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Digital Services Act (the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(the “OSA”) became law. The OSA creates requirements around content moderation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In addition, several U.S. states and foreign countries have passed age verification laws to protect minors from harmful online content, especially adult material. These laws generally require websites and platforms to verify users' ages before allowing access to certain content. Many of these U.S. state laws are currently subject to legal challenge. Consequently, we may now be required in some U.S. states and are now required in some foreign countries to include mandatory age verification in its user onboarding process, which may impede user growth or increase attrition. These new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w:t>
      </w:r>
    </w:p>
    <w:p>
      <w:pPr>
        <w:spacing w:after="0" w:line="2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security and protection, which encompass the processing of personal information. The regulatory framework for data privacy, security, and protection worldwide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interpretations of existing laws and regulations is likely to continue to be uncertain, as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internal and publicly posted policies, statements and notices regarding our collection, processing, use, disclosure, deletion and security of information, and in the event that a court or regulator finds these statements to be deceptive, unfair, inaccurate, inadequate, or misrepresentative of our actual practices, we could also be exposed to legal or regulatory liability. Any such proceedings or violations could force us to spend money in investigation, mitigation, defense, or settlement, result in the imposition of monetary liability or demanding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security, and protection laws and regulations governing the processing of information about individuals, including more than twenty U.S. states that have enacted comprehensive consumer privacy laws.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Over a third of other U.S. states have also passed comparable legislation, with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attempts at the federal level to introduce privacy legislation. Compliance with these laws and any newly enacted privacy, security, and data protection laws or regulations may be challenging and cost- and time-intensive, and may require us to modify our data processing practices and policies and to incur substantial costs and potential liability in an effort to comply with such legislation.</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Of further concern in the United States, regulatory attention to artificial intelligence systems, including generative AI, continues to increase. More than half of U.S. states have introduced or enacted legislation addressing the development and use of AI. For example, the Colorado Artificial Intelligence Act, which becomes effective on February 1, 2026, focuses on the regulation of high-risk AI systems in certain critical sectors and imposes general disclosure requirements. In addition, the Texas Responsible AI Governance Act, effective January 1, 2026, prohibits the use of AI systems for specified purposes, such as incitement of violence, self-harm, or criminality, unlawful discrimination, and violation of constitutional rights. Further, California has enacted several laws, some of which are currently being challenged, requiring transparency in the development of AI systems or addressing potential harms from AI technologies, such as the creation and distribution of deepfakes or deceptive political content.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Further, Canada’s legislature recently proposed amendments to PIPEDA, and with the election of a new Canadian government in April 2025, the future of such legislation is currently uncertain.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The Australian Parliament is currently considering further privacy reforms and is anticipated to pass additional amendments in the coming months. In the European Union, we are subject to the EU GDPR, and in the United Kingdom we are subject to the UK GDPR (collectively, the “GDPR”). The GDPR imposes a strict data protection compliance regime, grants new rights for data subjects 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 to their personal data (including the right to be “forgotten” and the right to data portability) and enhances current rights (e.g., data subject access requests).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prohibits transfers of personal information from the European Economic Area (“EEA”) or United Kingdom to countries not formally deemed adequate by the European Commission or the UK Information Commission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Data Privacy Framework) are the subject of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both the EU-US Data Privacy Framework and the UK Extension, there are legal challenges to this data transfer mechanism as well, which could affect the manner in which we provide our services, the geographical location or segregation of our relevant systems and operations and could adversely affect our financial results.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the majority of which will apply two years later. The legislation employs a risk-based methodology, prohibits specified AI practices, and mandates requirements for high-risk systems regarding transparency, data governance, and human oversight. Such compliance efforts may require us to modify our use of AI technologies, and to incur substantial costs and potential liability in an effort to comply with such legislation.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and includes a prohibition on pre-checked consents and, the European Union and United Kingdom require organizations to obtain separate consents for each type of cookie or similar technology.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jurisdictions where we operate that could impose new obligations or limitations in areas affecting our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6, Commitments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Contingencies, to the consolidated financial statements elsewhere in this report for a description of certain litigation matters that we are involved in.</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35" w:lineRule="exact"/>
        <w:rPr>
          <w:sz w:val="20"/>
          <w:szCs w:val="20"/>
          <w:color w:val="auto"/>
        </w:rPr>
      </w:pPr>
    </w:p>
    <w:p>
      <w:pPr>
        <w:ind w:left="660" w:right="7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and maintain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Being a public company requires significant resources and management oversight. As a result, management’s attention may be diverted from other business concerns,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source license.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for the development of our products, and our inability to maintain those licenses could harm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recessions, the implementation of tariffs by the United States, China, or other governments, inflation, changing interest rates, local and national elections, actual or perceived instability in the global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banking system, international currency fluctuations, corruption, political instability and acts of war or terrorism, such as the wars in Ukraine and the Middle East.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June 30, 2025.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June 30, 2025, we had 235,514,690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June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April 1, 2025 to April 30, 2025</w:t>
      </w:r>
    </w:p>
    <w:p>
      <w:pPr>
        <w:spacing w:after="0" w:line="10"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May 1, 2025 to May 31, 2025</w:t>
      </w:r>
    </w:p>
    <w:p>
      <w:pPr>
        <w:spacing w:after="0" w:line="10"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June 1, 2025 to June 30,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6"/>
        </w:trPr>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jc w:val="right"/>
              <w:ind w:right="4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412"/>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w:t>
            </w:r>
          </w:p>
        </w:tc>
        <w:tc>
          <w:tcPr>
            <w:tcW w:w="0" w:type="dxa"/>
            <w:vAlign w:val="bottom"/>
          </w:tcPr>
          <w:p>
            <w:pPr>
              <w:spacing w:after="0"/>
              <w:rPr>
                <w:sz w:val="1"/>
                <w:szCs w:val="1"/>
                <w:color w:val="auto"/>
              </w:rPr>
            </w:pPr>
          </w:p>
        </w:tc>
      </w:tr>
      <w:tr>
        <w:trPr>
          <w:trHeight w:val="41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3,688,863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-453390</wp:posOffset>
            </wp:positionV>
            <wp:extent cx="71323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-993775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80"/>
            <w:col w:w="9080"/>
          </w:cols>
          <w:pgMar w:left="320" w:top="121" w:right="339" w:bottom="1440" w:gutter="0" w:footer="0" w:header="0"/>
          <w:type w:val="continuous"/>
        </w:sectPr>
      </w:pPr>
    </w:p>
    <w:p>
      <w:pPr>
        <w:spacing w:after="0" w:line="38" w:lineRule="exact"/>
        <w:rPr>
          <w:sz w:val="20"/>
          <w:szCs w:val="20"/>
          <w:color w:val="auto"/>
        </w:rPr>
      </w:pPr>
    </w:p>
    <w:p>
      <w:pPr>
        <w:jc w:val="both"/>
        <w:ind w:firstLine="8"/>
        <w:spacing w:after="0" w:line="251" w:lineRule="auto"/>
        <w:tabs>
          <w:tab w:leader="none" w:pos="182"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w:t>
      </w:r>
    </w:p>
    <w:p>
      <w:pPr>
        <w:spacing w:after="0" w:line="117"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includes costs associated with the repurchases, excluding the 1% excise tax as a result of the Inflation Reduction 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June 30, 2025, two of our Section 16 officers adopted or modified a Rule 10b5-1 Plan. The new and modified Rule 10b5-1 Plans were entered into during an open trading window in accordance with our Insider Trading Policy.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6, 2024, Sophia Schwartz, our General Counsel and Secretary, entered into a Rule 10b5-1 Plan (the “Schwartz Plan”) providing for the potential sale of up to 659,502 shares of Class A common stock owned by Ms. Schwartz, including upon the vesting and settlement of RSUs for shares of Class A common stock, so long as the market price of the Class A common stock satisfied certain threshold prices specified in the Schwartz Plan, between March 7, 2025 and December 31, 2025, or earlier, upon the completion of all transactions subject to the trading arrangements specified in the Schwartz Plan or the occurrence of certain events set forth therein. On May 20, 2025, Ms. Schwartz modified the Schwartz Plan (“Modified Schwartz Plan”), terminating the original Schwartz Plan. The Modified Schwartz Plan provides for the potential sale of up to 200,000 shares of Class A common stock owned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Ms. Schwartz, including upon the vesting and settlement of RSUs for shares of Class A common stock, so long as the market price of the Class A common stock satisfies certain threshold prices specified in the Modified Schwartz Plan, between an estimated start date of August 19, 2025 and December 31, 2025, or earlier, upon the completion of all transactions subject to the trading arrangements specified in the Modified Schwartz Plan or the occurrence of certain events set forth therein. The Modified Schwartz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Modified Schwartz Plan, can only be determined upon the occurrence of the future vesting events. For purposes of this disclosure, we have included the maximum aggregate number of shares to be sold without subtracting any shares to be withheld upon future vesting events.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30, 2025, the existing Rule 10b5-1 Plan adopted by Matt Anderson, our Chief Financial Officer, on June 4, 2024, expired pursuant to its terms. On June 6, 2025, Mr. Anderson entered into another Rule 10b5-1 Plan (the “Anderson June 2025 Plan”) providing for the potential sale of up to 762,342 shares of Class A common stock owned by Mr. Anderson, including upon the vesting and settlement of RSUs for shares of Class A common stock and the exercise of vested stock options for shares of Class A common stock, so long as the market price of the Class A common stock satisfies certain threshold prices specified in the Anderson June 2025 Plan, between an estimated start date of September 5, 2025 and September 30, 2026, or earlier, upon the completion of all transactions subject to the trading arrangements specified in the Anderson June 2025 Plan or the occurrence of certain events set forth therein.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no other Section 16 officers or directors adopted or terminated any Rule 10b5-1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gridSpan w:val="9"/>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9"/>
            <w:vMerge w:val="continue"/>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13a-14(a) and 15d-14(a) under the Exchange Act,</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Rule 13a-14(a) and 15d-14(a) under the Exchange Act,</w:t>
            </w: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as adopted pursuant to Section 302 of the Sarbanes-</w:t>
            </w: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w:t>
            </w:r>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100" w:type="dxa"/>
            <w:vAlign w:val="bottom"/>
            <w:tcBorders>
              <w:top w:val="single" w:sz="8" w:color="0000FF"/>
            </w:tcBorders>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 as adopted pursuant to Section</w:t>
            </w:r>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20" w:type="dxa"/>
            <w:vAlign w:val="bottom"/>
            <w:gridSpan w:val="4"/>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Date File (formatted in iXBRL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Filed herewith.</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22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4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Nirav Tolia</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Nirav Tolia</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President</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Anderson</w:t>
            </w:r>
          </w:p>
        </w:tc>
        <w:tc>
          <w:tcPr>
            <w:tcW w:w="0" w:type="dxa"/>
            <w:vAlign w:val="bottom"/>
          </w:tcPr>
          <w:p>
            <w:pPr>
              <w:spacing w:after="0"/>
              <w:rPr>
                <w:sz w:val="1"/>
                <w:szCs w:val="1"/>
                <w:color w:val="auto"/>
              </w:rPr>
            </w:pPr>
          </w:p>
        </w:tc>
      </w:tr>
      <w:tr>
        <w:trPr>
          <w:trHeight w:val="27"/>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vMerge w:val="continue"/>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Anderson</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EXCHANGE ACT,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Tolia,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75" w:lineRule="exact"/>
        <w:rPr>
          <w:sz w:val="20"/>
          <w:szCs w:val="20"/>
          <w:color w:val="auto"/>
        </w:rPr>
      </w:pPr>
    </w:p>
    <w:p>
      <w:pPr>
        <w:ind w:left="7440"/>
        <w:spacing w:after="0"/>
        <w:tabs>
          <w:tab w:leader="none" w:pos="790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35560</wp:posOffset>
            </wp:positionV>
            <wp:extent cx="2117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President and Chairperson</w:t>
      </w:r>
    </w:p>
    <w:p>
      <w:pPr>
        <w:ind w:left="7440"/>
        <w:spacing w:after="0"/>
        <w:rPr>
          <w:sz w:val="20"/>
          <w:szCs w:val="20"/>
          <w:color w:val="auto"/>
        </w:rPr>
      </w:pPr>
      <w:r>
        <w:rPr>
          <w:rFonts w:ascii="Times New Roman" w:cs="Times New Roman" w:eastAsia="Times New Roman" w:hAnsi="Times New Roman"/>
          <w:sz w:val="18"/>
          <w:szCs w:val="18"/>
          <w:color w:val="auto"/>
        </w:rPr>
        <w:t>of the Board of Directors</w:t>
      </w:r>
    </w:p>
    <w:p>
      <w:pPr>
        <w:sectPr>
          <w:pgSz w:w="11900" w:h="16838" w:orient="portrait"/>
          <w:cols w:equalWidth="0" w:num="1">
            <w:col w:w="11240"/>
          </w:cols>
          <w:pgMar w:left="320" w:top="37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01F1E"/>
        </w:rPr>
        <w:t>Matt Anderson</w:t>
      </w:r>
      <w:r>
        <w:rPr>
          <w:rFonts w:ascii="Times New Roman" w:cs="Times New Roman" w:eastAsia="Times New Roman" w:hAnsi="Times New Roman"/>
          <w:sz w:val="18"/>
          <w:szCs w:val="18"/>
          <w:color w:val="auto"/>
        </w:rPr>
        <w:t>,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Nextdoor Holdings, Inc.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4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ind w:left="7200"/>
        <w:spacing w:after="0" w:line="183" w:lineRule="auto"/>
        <w:tabs>
          <w:tab w:leader="none" w:pos="764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i w:val="1"/>
          <w:iCs w:val="1"/>
          <w:color w:val="201F1E"/>
        </w:rPr>
        <w:t>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wp:posOffset>
            </wp:positionV>
            <wp:extent cx="22117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201F1E"/>
        </w:rPr>
        <w:t>Matt Anderson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40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42" w:lineRule="exact"/>
        <w:rPr>
          <w:sz w:val="20"/>
          <w:szCs w:val="20"/>
          <w:color w:val="auto"/>
        </w:rPr>
      </w:pPr>
    </w:p>
    <w:p>
      <w:pPr>
        <w:ind w:left="7200"/>
        <w:spacing w:after="0"/>
        <w:tabs>
          <w:tab w:leader="none" w:pos="7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121920</wp:posOffset>
            </wp:positionV>
            <wp:extent cx="16459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18"/>
          <w:szCs w:val="18"/>
          <w:color w:val="auto"/>
        </w:rPr>
        <w:t>In connection with the Quarterly Report of Nextdoor Holdings, Inc. (the “Company”) on Form 10-Q for the quarter ended June 30,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p>
    <w:p>
      <w:pPr>
        <w:spacing w:after="0" w:line="291" w:lineRule="exact"/>
        <w:rPr>
          <w:sz w:val="20"/>
          <w:szCs w:val="20"/>
          <w:color w:val="auto"/>
        </w:rPr>
      </w:pPr>
    </w:p>
    <w:p>
      <w:pPr>
        <w:ind w:left="72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18415</wp:posOffset>
            </wp:positionV>
            <wp:extent cx="18942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Matt Anderson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2"/>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2025-08-07T15:38:56Z</dcterms:created>
  <dcterms:modified xsi:type="dcterms:W3CDTF">2025-08-07T15:38:56Z</dcterms:modified>
</cp:coreProperties>
</file>