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png" ContentType="image/pn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120"/>
        <w:jc w:val="left"/>
        <w:rPr/>
      </w:pPr>
      <w:r>
        <w:rPr/>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doub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UNITED STATES</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SECURITIES AND EXCHANGE COMMISSION</w:t>
      </w:r>
    </w:p>
    <w:p>
      <w:pPr>
        <w:pStyle w:val="TextBody"/>
        <w:bidi w:val="0"/>
        <w:spacing w:lineRule="auto" w:line="288" w:before="0" w:after="0"/>
        <w:jc w:val="center"/>
        <w:rPr>
          <w:rFonts w:ascii="Times New Roman;sans-serif" w:hAnsi="Times New Roman;sans-serif"/>
          <w:b/>
          <w:color w:val="000000"/>
          <w:sz w:val="24"/>
        </w:rPr>
      </w:pPr>
      <w:r>
        <w:rPr>
          <w:rFonts w:ascii="Times New Roman;sans-serif" w:hAnsi="Times New Roman;sans-serif"/>
          <w:b/>
          <w:color w:val="000000"/>
          <w:sz w:val="24"/>
        </w:rPr>
        <w:t>Washington, D.C. 20549</w:t>
      </w:r>
    </w:p>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FORM 10-Q</w:t>
      </w:r>
    </w:p>
    <w:p>
      <w:pPr>
        <w:pStyle w:val="TextBody"/>
        <w:bidi w:val="0"/>
        <w:spacing w:lineRule="auto" w:line="288" w:before="0" w:after="0"/>
        <w:jc w:val="left"/>
        <w:rPr>
          <w:rFonts w:ascii="Times New Roman;sans-serif" w:hAnsi="Times New Roman;sans-serif"/>
          <w:b/>
          <w:color w:val="000000"/>
          <w:sz w:val="16"/>
        </w:rPr>
      </w:pPr>
      <w:r>
        <w:rPr>
          <w:rFonts w:ascii="Times New Roman;sans-serif" w:hAnsi="Times New Roman;sans-serif"/>
          <w:b/>
          <w:color w:val="000000"/>
          <w:sz w:val="16"/>
        </w:rPr>
        <w:t>(Mark One)</w:t>
      </w:r>
    </w:p>
    <w:tbl>
      <w:tblPr>
        <w:tblW w:w="9075" w:type="dxa"/>
        <w:jc w:val="center"/>
        <w:tblInd w:w="0" w:type="dxa"/>
        <w:tblLayout w:type="fixed"/>
        <w:tblCellMar>
          <w:top w:w="28" w:type="dxa"/>
          <w:left w:w="28" w:type="dxa"/>
          <w:bottom w:w="28" w:type="dxa"/>
          <w:right w:w="28" w:type="dxa"/>
        </w:tblCellMar>
      </w:tblPr>
      <w:tblGrid>
        <w:gridCol w:w="141"/>
        <w:gridCol w:w="124"/>
        <w:gridCol w:w="126"/>
        <w:gridCol w:w="2538"/>
        <w:gridCol w:w="2538"/>
        <w:gridCol w:w="3608"/>
      </w:tblGrid>
      <w:tr>
        <w:trPr/>
        <w:tc>
          <w:tcPr>
            <w:tcW w:w="141"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26"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2538" w:type="dxa"/>
            <w:tcBorders/>
            <w:vAlign w:val="center"/>
          </w:tcPr>
          <w:p>
            <w:pPr>
              <w:pStyle w:val="TableContents"/>
              <w:bidi w:val="0"/>
              <w:spacing w:before="0" w:after="283"/>
              <w:jc w:val="left"/>
              <w:rPr>
                <w:sz w:val="4"/>
                <w:szCs w:val="4"/>
              </w:rPr>
            </w:pPr>
            <w:r>
              <w:rPr>
                <w:sz w:val="4"/>
                <w:szCs w:val="4"/>
              </w:rPr>
            </w:r>
          </w:p>
        </w:tc>
        <w:tc>
          <w:tcPr>
            <w:tcW w:w="3608" w:type="dxa"/>
            <w:tcBorders/>
            <w:vAlign w:val="center"/>
          </w:tcPr>
          <w:p>
            <w:pPr>
              <w:pStyle w:val="TableContents"/>
              <w:bidi w:val="0"/>
              <w:spacing w:before="0" w:after="283"/>
              <w:jc w:val="left"/>
              <w:rPr>
                <w:sz w:val="4"/>
                <w:szCs w:val="4"/>
              </w:rPr>
            </w:pPr>
            <w:r>
              <w:rPr>
                <w:sz w:val="4"/>
                <w:szCs w:val="4"/>
              </w:rPr>
            </w:r>
          </w:p>
        </w:tc>
      </w:tr>
      <w:tr>
        <w:trPr/>
        <w:tc>
          <w:tcPr>
            <w:tcW w:w="391" w:type="dxa"/>
            <w:gridSpan w:val="3"/>
            <w:tcBorders/>
            <w:tcMar>
              <w:top w:w="0" w:type="dxa"/>
              <w:left w:w="0" w:type="dxa"/>
              <w:bottom w:w="0" w:type="dxa"/>
              <w:right w:w="0" w:type="dxa"/>
            </w:tcMar>
            <w:vAlign w:val="center"/>
          </w:tcPr>
          <w:p>
            <w:pPr>
              <w:pStyle w:val="TableContents"/>
              <w:bidi w:val="0"/>
              <w:spacing w:lineRule="auto" w:line="240" w:before="0" w:after="20"/>
              <w:jc w:val="center"/>
              <w:rPr>
                <w:color w:val="000000"/>
              </w:rPr>
            </w:pPr>
            <w:r>
              <w:rPr>
                <w:color w:val="000000"/>
              </w:rPr>
              <w:t> ☒</w:t>
            </w:r>
          </w:p>
        </w:tc>
        <w:tc>
          <w:tcPr>
            <w:tcW w:w="8684"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QUARTERLY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For the quarterly period ended March 31, 2024</w:t>
      </w:r>
    </w:p>
    <w:p>
      <w:pPr>
        <w:pStyle w:val="TextBody"/>
        <w:bidi w:val="0"/>
        <w:spacing w:lineRule="auto" w:line="288" w:before="0" w:after="0"/>
        <w:jc w:val="center"/>
        <w:rPr>
          <w:rFonts w:ascii="Times New Roman;sans-serif" w:hAnsi="Times New Roman;sans-serif"/>
          <w:b w:val="false"/>
          <w:color w:val="000000"/>
          <w:sz w:val="16"/>
        </w:rPr>
      </w:pPr>
      <w:r>
        <w:rPr>
          <w:rFonts w:ascii="Times New Roman;sans-serif" w:hAnsi="Times New Roman;sans-serif"/>
          <w:b w:val="false"/>
          <w:color w:val="000000"/>
          <w:sz w:val="16"/>
        </w:rPr>
        <w:t>OR</w:t>
      </w:r>
    </w:p>
    <w:tbl>
      <w:tblPr>
        <w:tblW w:w="9011" w:type="dxa"/>
        <w:jc w:val="center"/>
        <w:tblInd w:w="0" w:type="dxa"/>
        <w:tblLayout w:type="fixed"/>
        <w:tblCellMar>
          <w:top w:w="28" w:type="dxa"/>
          <w:left w:w="28" w:type="dxa"/>
          <w:bottom w:w="28" w:type="dxa"/>
          <w:right w:w="28" w:type="dxa"/>
        </w:tblCellMar>
      </w:tblPr>
      <w:tblGrid>
        <w:gridCol w:w="124"/>
        <w:gridCol w:w="109"/>
        <w:gridCol w:w="109"/>
        <w:gridCol w:w="2536"/>
        <w:gridCol w:w="2536"/>
        <w:gridCol w:w="359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2536" w:type="dxa"/>
            <w:tcBorders/>
            <w:vAlign w:val="center"/>
          </w:tcPr>
          <w:p>
            <w:pPr>
              <w:pStyle w:val="TableContents"/>
              <w:bidi w:val="0"/>
              <w:spacing w:before="0" w:after="283"/>
              <w:jc w:val="left"/>
              <w:rPr>
                <w:sz w:val="4"/>
                <w:szCs w:val="4"/>
              </w:rPr>
            </w:pPr>
            <w:r>
              <w:rPr>
                <w:sz w:val="4"/>
                <w:szCs w:val="4"/>
              </w:rPr>
            </w:r>
          </w:p>
        </w:tc>
        <w:tc>
          <w:tcPr>
            <w:tcW w:w="359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8669" w:type="dxa"/>
            <w:gridSpan w:val="3"/>
            <w:tcBorders/>
            <w:tcMar>
              <w:top w:w="0" w:type="dxa"/>
              <w:left w:w="0" w:type="dxa"/>
              <w:bottom w:w="0" w:type="dxa"/>
              <w:right w:w="0" w:type="dxa"/>
            </w:tcMar>
            <w:vAlign w:val="center"/>
          </w:tcPr>
          <w:p>
            <w:pPr>
              <w:pStyle w:val="TableContents"/>
              <w:bidi w:val="0"/>
              <w:spacing w:lineRule="auto" w:line="240" w:before="0" w:after="20"/>
              <w:jc w:val="left"/>
              <w:rPr>
                <w:rFonts w:ascii="Times New Roman;sans-serif" w:hAnsi="Times New Roman;sans-serif"/>
                <w:b/>
                <w:color w:val="000000"/>
                <w:sz w:val="16"/>
              </w:rPr>
            </w:pPr>
            <w:r>
              <w:rPr>
                <w:rFonts w:ascii="Times New Roman;sans-serif" w:hAnsi="Times New Roman;sans-serif"/>
                <w:b/>
                <w:color w:val="000000"/>
                <w:sz w:val="16"/>
              </w:rPr>
              <w:t>TRANSITION REPORT PURSUANT TO SECTION 13 OR 15(d) OF THE SECURITIES EXCHANGE ACT OF 1934</w:t>
            </w:r>
          </w:p>
        </w:tc>
      </w:tr>
    </w:tbl>
    <w:p>
      <w:pPr>
        <w:pStyle w:val="TextBody"/>
        <w:bidi w:val="0"/>
        <w:spacing w:lineRule="auto" w:line="288"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For the transition period from   to </w:t>
      </w:r>
    </w:p>
    <w:p>
      <w:pPr>
        <w:pStyle w:val="TextBody"/>
        <w:bidi w:val="0"/>
        <w:spacing w:lineRule="auto" w:line="288" w:before="0" w:after="180"/>
        <w:jc w:val="center"/>
        <w:rPr>
          <w:rFonts w:ascii="Times New Roman;sans-serif" w:hAnsi="Times New Roman;sans-serif"/>
          <w:b/>
          <w:color w:val="000000"/>
          <w:sz w:val="16"/>
        </w:rPr>
      </w:pPr>
      <w:r>
        <w:rPr>
          <w:rFonts w:ascii="Times New Roman;sans-serif" w:hAnsi="Times New Roman;sans-serif"/>
          <w:b/>
          <w:color w:val="000000"/>
          <w:sz w:val="16"/>
        </w:rPr>
        <w:t xml:space="preserve">Commission file number 001-40246 </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color w:val="000000"/>
          <w:sz w:val="32"/>
        </w:rPr>
      </w:pPr>
      <w:r>
        <w:rPr>
          <w:rFonts w:ascii="Times New Roman;sans-serif" w:hAnsi="Times New Roman;sans-serif"/>
          <w:b/>
          <w:color w:val="000000"/>
          <w:sz w:val="32"/>
        </w:rPr>
        <w:t>Nextdoor Holdings, Inc.</w:t>
      </w:r>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(Exact Name of Registrant as Specified in Its Charter)</w:t>
      </w:r>
    </w:p>
    <w:tbl>
      <w:tblPr>
        <w:tblW w:w="387" w:type="dxa"/>
        <w:jc w:val="center"/>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tbl>
      <w:tblPr>
        <w:tblW w:w="5156" w:type="dxa"/>
        <w:jc w:val="left"/>
        <w:tblInd w:w="0" w:type="dxa"/>
        <w:tblLayout w:type="fixed"/>
        <w:tblCellMar>
          <w:top w:w="28" w:type="dxa"/>
          <w:left w:w="28" w:type="dxa"/>
          <w:bottom w:w="28" w:type="dxa"/>
          <w:right w:w="28" w:type="dxa"/>
        </w:tblCellMar>
      </w:tblPr>
      <w:tblGrid>
        <w:gridCol w:w="1091"/>
        <w:gridCol w:w="957"/>
        <w:gridCol w:w="967"/>
        <w:gridCol w:w="109"/>
        <w:gridCol w:w="109"/>
        <w:gridCol w:w="109"/>
        <w:gridCol w:w="528"/>
        <w:gridCol w:w="528"/>
        <w:gridCol w:w="758"/>
      </w:tblGrid>
      <w:tr>
        <w:trPr/>
        <w:tc>
          <w:tcPr>
            <w:tcW w:w="1091" w:type="dxa"/>
            <w:tcBorders/>
            <w:vAlign w:val="center"/>
          </w:tcPr>
          <w:p>
            <w:pPr>
              <w:pStyle w:val="TableContents"/>
              <w:bidi w:val="0"/>
              <w:spacing w:before="0" w:after="283"/>
              <w:jc w:val="left"/>
              <w:rPr>
                <w:sz w:val="4"/>
                <w:szCs w:val="4"/>
              </w:rPr>
            </w:pPr>
            <w:r>
              <w:rPr>
                <w:sz w:val="4"/>
                <w:szCs w:val="4"/>
              </w:rPr>
            </w:r>
          </w:p>
        </w:tc>
        <w:tc>
          <w:tcPr>
            <w:tcW w:w="957" w:type="dxa"/>
            <w:tcBorders/>
            <w:vAlign w:val="center"/>
          </w:tcPr>
          <w:p>
            <w:pPr>
              <w:pStyle w:val="TableContents"/>
              <w:bidi w:val="0"/>
              <w:spacing w:before="0" w:after="283"/>
              <w:jc w:val="left"/>
              <w:rPr>
                <w:sz w:val="4"/>
                <w:szCs w:val="4"/>
              </w:rPr>
            </w:pPr>
            <w:r>
              <w:rPr>
                <w:sz w:val="4"/>
                <w:szCs w:val="4"/>
              </w:rPr>
            </w:r>
          </w:p>
        </w:tc>
        <w:tc>
          <w:tcPr>
            <w:tcW w:w="96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528" w:type="dxa"/>
            <w:tcBorders/>
            <w:vAlign w:val="center"/>
          </w:tcPr>
          <w:p>
            <w:pPr>
              <w:pStyle w:val="TableContents"/>
              <w:bidi w:val="0"/>
              <w:spacing w:before="0" w:after="283"/>
              <w:jc w:val="left"/>
              <w:rPr>
                <w:sz w:val="4"/>
                <w:szCs w:val="4"/>
              </w:rPr>
            </w:pPr>
            <w:r>
              <w:rPr>
                <w:sz w:val="4"/>
                <w:szCs w:val="4"/>
              </w:rPr>
            </w:r>
          </w:p>
        </w:tc>
        <w:tc>
          <w:tcPr>
            <w:tcW w:w="758" w:type="dxa"/>
            <w:tcBorders/>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86-1776836</w:t>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(State or Other Jurisdiction of</w:t>
            </w:r>
          </w:p>
          <w:p>
            <w:pPr>
              <w:pStyle w:val="TableContents"/>
              <w:bidi w:val="0"/>
              <w:spacing w:lineRule="auto" w:line="240"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Incorporation or Organization)</w:t>
            </w:r>
          </w:p>
        </w:tc>
        <w:tc>
          <w:tcPr>
            <w:tcW w:w="327" w:type="dxa"/>
            <w:gridSpan w:val="3"/>
            <w:tcBorders/>
            <w:tcMar>
              <w:top w:w="0" w:type="dxa"/>
              <w:left w:w="0" w:type="dxa"/>
              <w:bottom w:w="0" w:type="dxa"/>
              <w:right w:w="0" w:type="dxa"/>
            </w:tcMar>
            <w:vAlign w:val="center"/>
          </w:tcPr>
          <w:p>
            <w:pPr>
              <w:pStyle w:val="TableContents"/>
              <w:bidi w:val="0"/>
              <w:spacing w:before="0" w:after="0"/>
              <w:jc w:val="center"/>
              <w:rPr/>
            </w:pPr>
            <w:r>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(I.R.S. Employer</w:t>
            </w:r>
          </w:p>
          <w:p>
            <w:pPr>
              <w:pStyle w:val="TableContents"/>
              <w:bidi w:val="0"/>
              <w:spacing w:lineRule="auto" w:line="240" w:before="0" w:after="0"/>
              <w:jc w:val="center"/>
              <w:rPr>
                <w:rFonts w:ascii="Times New Roman;sans-serif" w:hAnsi="Times New Roman;sans-serif"/>
                <w:b/>
                <w:color w:val="000000"/>
                <w:sz w:val="16"/>
                <w:shd w:fill="FFFFFF" w:val="clear"/>
              </w:rPr>
            </w:pPr>
            <w:r>
              <w:rPr>
                <w:rFonts w:ascii="Times New Roman;sans-serif" w:hAnsi="Times New Roman;sans-serif"/>
                <w:b/>
                <w:color w:val="000000"/>
                <w:sz w:val="16"/>
                <w:shd w:fill="FFFFFF" w:val="clear"/>
              </w:rPr>
              <w:t>Identification Number)</w:t>
            </w:r>
          </w:p>
        </w:tc>
      </w:tr>
      <w:tr>
        <w:trPr/>
        <w:tc>
          <w:tcPr>
            <w:tcW w:w="3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3015"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420 Taylor Street</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San Francisco, California</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(Address of Principal Executive Offices)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1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94102</w:t>
            </w:r>
          </w:p>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(Zip Code)</w:t>
            </w:r>
          </w:p>
        </w:tc>
      </w:tr>
      <w:tr>
        <w:trPr/>
        <w:tc>
          <w:tcPr>
            <w:tcW w:w="5156" w:type="dxa"/>
            <w:gridSpan w:val="9"/>
            <w:tcBorders/>
            <w:tcMar>
              <w:top w:w="0" w:type="dxa"/>
              <w:left w:w="0" w:type="dxa"/>
              <w:bottom w:w="0" w:type="dxa"/>
              <w:right w:w="0" w:type="dxa"/>
            </w:tcMar>
            <w:vAlign w:val="center"/>
          </w:tcPr>
          <w:p>
            <w:pPr>
              <w:pStyle w:val="TableContents"/>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Registrant’s telephone number, including area code: (415) 344-0333</w:t>
            </w:r>
          </w:p>
          <w:p>
            <w:pPr>
              <w:pStyle w:val="TableContents"/>
              <w:bidi w:val="0"/>
              <w:spacing w:lineRule="auto" w:line="288" w:before="0" w:after="60"/>
              <w:jc w:val="center"/>
              <w:rPr>
                <w:rFonts w:ascii="Times New Roman;sans-serif" w:hAnsi="Times New Roman;sans-serif"/>
                <w:b/>
                <w:color w:val="000000"/>
                <w:sz w:val="16"/>
              </w:rPr>
            </w:pPr>
            <w:r>
              <w:rPr>
                <w:rFonts w:ascii="Times New Roman;sans-serif" w:hAnsi="Times New Roman;sans-serif"/>
                <w:b/>
                <w:color w:val="000000"/>
                <w:sz w:val="16"/>
              </w:rPr>
              <w:t>Securities registered pursuant to Section 12(b) of the Act:</w:t>
            </w:r>
          </w:p>
        </w:tc>
      </w:tr>
    </w:tbl>
    <w:tbl>
      <w:tblPr>
        <w:tblW w:w="8384" w:type="dxa"/>
        <w:jc w:val="left"/>
        <w:tblInd w:w="0" w:type="dxa"/>
        <w:tblLayout w:type="fixed"/>
        <w:tblCellMar>
          <w:top w:w="28" w:type="dxa"/>
          <w:left w:w="28" w:type="dxa"/>
          <w:bottom w:w="28" w:type="dxa"/>
          <w:right w:w="28" w:type="dxa"/>
        </w:tblCellMar>
      </w:tblPr>
      <w:tblGrid>
        <w:gridCol w:w="1354"/>
        <w:gridCol w:w="1182"/>
        <w:gridCol w:w="1199"/>
        <w:gridCol w:w="474"/>
        <w:gridCol w:w="474"/>
        <w:gridCol w:w="476"/>
        <w:gridCol w:w="945"/>
        <w:gridCol w:w="945"/>
        <w:gridCol w:w="1335"/>
      </w:tblGrid>
      <w:tr>
        <w:trPr/>
        <w:tc>
          <w:tcPr>
            <w:tcW w:w="1354" w:type="dxa"/>
            <w:tcBorders/>
            <w:vAlign w:val="center"/>
          </w:tcPr>
          <w:p>
            <w:pPr>
              <w:pStyle w:val="TableContents"/>
              <w:bidi w:val="0"/>
              <w:spacing w:before="0" w:after="283"/>
              <w:jc w:val="left"/>
              <w:rPr>
                <w:sz w:val="4"/>
                <w:szCs w:val="4"/>
              </w:rPr>
            </w:pPr>
            <w:r>
              <w:rPr>
                <w:sz w:val="4"/>
                <w:szCs w:val="4"/>
              </w:rPr>
            </w:r>
          </w:p>
        </w:tc>
        <w:tc>
          <w:tcPr>
            <w:tcW w:w="1182" w:type="dxa"/>
            <w:tcBorders/>
            <w:vAlign w:val="center"/>
          </w:tcPr>
          <w:p>
            <w:pPr>
              <w:pStyle w:val="TableContents"/>
              <w:bidi w:val="0"/>
              <w:spacing w:before="0" w:after="283"/>
              <w:jc w:val="left"/>
              <w:rPr>
                <w:sz w:val="4"/>
                <w:szCs w:val="4"/>
              </w:rPr>
            </w:pPr>
            <w:r>
              <w:rPr>
                <w:sz w:val="4"/>
                <w:szCs w:val="4"/>
              </w:rPr>
            </w:r>
          </w:p>
        </w:tc>
        <w:tc>
          <w:tcPr>
            <w:tcW w:w="1199"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4" w:type="dxa"/>
            <w:tcBorders/>
            <w:vAlign w:val="center"/>
          </w:tcPr>
          <w:p>
            <w:pPr>
              <w:pStyle w:val="TableContents"/>
              <w:bidi w:val="0"/>
              <w:spacing w:before="0" w:after="283"/>
              <w:jc w:val="left"/>
              <w:rPr>
                <w:sz w:val="4"/>
                <w:szCs w:val="4"/>
              </w:rPr>
            </w:pPr>
            <w:r>
              <w:rPr>
                <w:sz w:val="4"/>
                <w:szCs w:val="4"/>
              </w:rPr>
            </w:r>
          </w:p>
        </w:tc>
        <w:tc>
          <w:tcPr>
            <w:tcW w:w="476"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945" w:type="dxa"/>
            <w:tcBorders/>
            <w:vAlign w:val="center"/>
          </w:tcPr>
          <w:p>
            <w:pPr>
              <w:pStyle w:val="TableContents"/>
              <w:bidi w:val="0"/>
              <w:spacing w:before="0" w:after="283"/>
              <w:jc w:val="left"/>
              <w:rPr>
                <w:sz w:val="4"/>
                <w:szCs w:val="4"/>
              </w:rPr>
            </w:pPr>
            <w:r>
              <w:rPr>
                <w:sz w:val="4"/>
                <w:szCs w:val="4"/>
              </w:rPr>
            </w:r>
          </w:p>
        </w:tc>
        <w:tc>
          <w:tcPr>
            <w:tcW w:w="1335" w:type="dxa"/>
            <w:tcBorders/>
            <w:vAlign w:val="center"/>
          </w:tcPr>
          <w:p>
            <w:pPr>
              <w:pStyle w:val="TableContents"/>
              <w:bidi w:val="0"/>
              <w:spacing w:before="0" w:after="283"/>
              <w:jc w:val="left"/>
              <w:rPr>
                <w:sz w:val="4"/>
                <w:szCs w:val="4"/>
              </w:rPr>
            </w:pPr>
            <w:r>
              <w:rPr>
                <w:sz w:val="4"/>
                <w:szCs w:val="4"/>
              </w:rPr>
            </w:r>
          </w:p>
        </w:tc>
      </w:tr>
      <w:tr>
        <w:trPr/>
        <w:tc>
          <w:tcPr>
            <w:tcW w:w="3735"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Title of each class</w:t>
            </w:r>
          </w:p>
        </w:tc>
        <w:tc>
          <w:tcPr>
            <w:tcW w:w="1424" w:type="dxa"/>
            <w:gridSpan w:val="3"/>
            <w:tcBorders>
              <w:top w:val="single" w:sz="8" w:space="0" w:color="000000"/>
              <w:left w:val="single" w:sz="8" w:space="0" w:color="000000"/>
            </w:tcBorders>
            <w:tcMar>
              <w:top w:w="3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Trading Symbol(s)</w:t>
            </w:r>
          </w:p>
        </w:tc>
        <w:tc>
          <w:tcPr>
            <w:tcW w:w="3225" w:type="dxa"/>
            <w:gridSpan w:val="3"/>
            <w:tcBorders>
              <w:top w:val="single" w:sz="8" w:space="0" w:color="000000"/>
              <w:left w:val="single" w:sz="8" w:space="0" w:color="000000"/>
              <w:right w:val="single" w:sz="8" w:space="0" w:color="000000"/>
            </w:tcBorders>
            <w:tcMar>
              <w:top w:w="30" w:type="dxa"/>
              <w:bottom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Name of each exchange on which registered</w:t>
            </w:r>
          </w:p>
        </w:tc>
      </w:tr>
      <w:tr>
        <w:trPr/>
        <w:tc>
          <w:tcPr>
            <w:tcW w:w="3735"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 common stock, par value $0.0001 per share</w:t>
            </w:r>
          </w:p>
        </w:tc>
        <w:tc>
          <w:tcPr>
            <w:tcW w:w="1424" w:type="dxa"/>
            <w:gridSpan w:val="3"/>
            <w:tcBorders>
              <w:top w:val="single" w:sz="8" w:space="0" w:color="000000"/>
              <w:left w:val="single" w:sz="8" w:space="0" w:color="000000"/>
              <w:bottom w:val="single" w:sz="8" w:space="0" w:color="000000"/>
            </w:tcBorders>
            <w:tcMar>
              <w:top w:w="30" w:type="dxa"/>
              <w:bottom w:w="3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KIND</w:t>
            </w:r>
          </w:p>
        </w:tc>
        <w:tc>
          <w:tcPr>
            <w:tcW w:w="3225" w:type="dxa"/>
            <w:gridSpan w:val="3"/>
            <w:tcBorders>
              <w:top w:val="single" w:sz="8" w:space="0" w:color="000000"/>
              <w:left w:val="single" w:sz="8" w:space="0" w:color="000000"/>
              <w:bottom w:val="single" w:sz="8" w:space="0" w:color="000000"/>
              <w:right w:val="single" w:sz="8" w:space="0" w:color="000000"/>
            </w:tcBorders>
            <w:tcMar>
              <w:top w:w="30" w:type="dxa"/>
              <w:bottom w:w="3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New York Stock Exchange</w:t>
            </w:r>
          </w:p>
        </w:tc>
      </w:tr>
    </w:tbl>
    <w:p>
      <w:pPr>
        <w:pStyle w:val="TextBody"/>
        <w:bidi w:val="0"/>
        <w:spacing w:lineRule="auto" w:line="345"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    No  ☐ </w:t>
      </w:r>
    </w:p>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has submitted electronically every Interactive Data File required to be submitted and posted pursuant to Rule 405 of Regulation S-T (§232.405 of this chapter) during the preceding 12 months (or for such shorter period that the registrant was required to submit and post such files).  Yes  ☒   No  ☐ </w:t>
      </w:r>
    </w:p>
    <w:p>
      <w:pPr>
        <w:pStyle w:val="TextBody"/>
        <w:bidi w:val="0"/>
        <w:spacing w:lineRule="auto" w:line="288" w:before="0" w:after="18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tbl>
      <w:tblPr>
        <w:tblW w:w="4716" w:type="dxa"/>
        <w:jc w:val="left"/>
        <w:tblInd w:w="0" w:type="dxa"/>
        <w:tblLayout w:type="fixed"/>
        <w:tblCellMar>
          <w:top w:w="28" w:type="dxa"/>
          <w:left w:w="28" w:type="dxa"/>
          <w:bottom w:w="28" w:type="dxa"/>
          <w:right w:w="28" w:type="dxa"/>
        </w:tblCellMar>
      </w:tblPr>
      <w:tblGrid>
        <w:gridCol w:w="603"/>
        <w:gridCol w:w="530"/>
        <w:gridCol w:w="532"/>
        <w:gridCol w:w="109"/>
        <w:gridCol w:w="109"/>
        <w:gridCol w:w="109"/>
        <w:gridCol w:w="109"/>
        <w:gridCol w:w="109"/>
        <w:gridCol w:w="109"/>
        <w:gridCol w:w="674"/>
        <w:gridCol w:w="674"/>
        <w:gridCol w:w="677"/>
        <w:gridCol w:w="109"/>
        <w:gridCol w:w="109"/>
        <w:gridCol w:w="154"/>
      </w:tblGrid>
      <w:tr>
        <w:trPr/>
        <w:tc>
          <w:tcPr>
            <w:tcW w:w="603" w:type="dxa"/>
            <w:tcBorders/>
            <w:vAlign w:val="center"/>
          </w:tcPr>
          <w:p>
            <w:pPr>
              <w:pStyle w:val="TableContents"/>
              <w:bidi w:val="0"/>
              <w:spacing w:before="0" w:after="283"/>
              <w:jc w:val="left"/>
              <w:rPr>
                <w:sz w:val="4"/>
                <w:szCs w:val="4"/>
              </w:rPr>
            </w:pPr>
            <w:r>
              <w:rPr>
                <w:sz w:val="4"/>
                <w:szCs w:val="4"/>
              </w:rPr>
            </w:r>
          </w:p>
        </w:tc>
        <w:tc>
          <w:tcPr>
            <w:tcW w:w="530" w:type="dxa"/>
            <w:tcBorders/>
            <w:vAlign w:val="center"/>
          </w:tcPr>
          <w:p>
            <w:pPr>
              <w:pStyle w:val="TableContents"/>
              <w:bidi w:val="0"/>
              <w:spacing w:before="0" w:after="283"/>
              <w:jc w:val="left"/>
              <w:rPr>
                <w:sz w:val="4"/>
                <w:szCs w:val="4"/>
              </w:rPr>
            </w:pPr>
            <w:r>
              <w:rPr>
                <w:sz w:val="4"/>
                <w:szCs w:val="4"/>
              </w:rPr>
            </w:r>
          </w:p>
        </w:tc>
        <w:tc>
          <w:tcPr>
            <w:tcW w:w="53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4" w:type="dxa"/>
            <w:tcBorders/>
            <w:vAlign w:val="center"/>
          </w:tcPr>
          <w:p>
            <w:pPr>
              <w:pStyle w:val="TableContents"/>
              <w:bidi w:val="0"/>
              <w:spacing w:before="0" w:after="283"/>
              <w:jc w:val="left"/>
              <w:rPr>
                <w:sz w:val="4"/>
                <w:szCs w:val="4"/>
              </w:rPr>
            </w:pPr>
            <w:r>
              <w:rPr>
                <w:sz w:val="4"/>
                <w:szCs w:val="4"/>
              </w:rPr>
            </w:r>
          </w:p>
        </w:tc>
        <w:tc>
          <w:tcPr>
            <w:tcW w:w="6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Large 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Accelerated filer</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Non-accelerated filer</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Smaller reporting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r>
        <w:trPr/>
        <w:tc>
          <w:tcPr>
            <w:tcW w:w="166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02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6"/>
              </w:rPr>
            </w:pPr>
            <w:r>
              <w:rPr>
                <w:rFonts w:ascii="Times New Roman;sans-serif" w:hAnsi="Times New Roman;sans-serif"/>
                <w:b w:val="false"/>
                <w:color w:val="000000"/>
                <w:sz w:val="16"/>
              </w:rPr>
              <w:t>Emerging growth company</w:t>
            </w:r>
          </w:p>
        </w:tc>
        <w:tc>
          <w:tcPr>
            <w:tcW w:w="372" w:type="dxa"/>
            <w:gridSpan w:val="3"/>
            <w:tcBorders/>
            <w:tcMar>
              <w:top w:w="0" w:type="dxa"/>
              <w:left w:w="0" w:type="dxa"/>
              <w:bottom w:w="0" w:type="dxa"/>
              <w:right w:w="0" w:type="dxa"/>
            </w:tcMar>
            <w:vAlign w:val="center"/>
          </w:tcPr>
          <w:p>
            <w:pPr>
              <w:pStyle w:val="TableContents"/>
              <w:bidi w:val="0"/>
              <w:spacing w:lineRule="auto" w:line="240" w:before="0" w:after="283"/>
              <w:jc w:val="both"/>
              <w:rPr>
                <w:color w:val="000000"/>
              </w:rPr>
            </w:pPr>
            <w:r>
              <w:rPr>
                <w:color w:val="000000"/>
              </w:rPr>
              <w:t>☐</w:t>
            </w:r>
          </w:p>
        </w:tc>
      </w:tr>
    </w:tbl>
    <w:p>
      <w:pPr>
        <w:pStyle w:val="TextBody"/>
        <w:bidi w:val="0"/>
        <w:spacing w:lineRule="auto" w:line="288" w:before="0" w:after="0"/>
        <w:jc w:val="left"/>
        <w:rPr/>
      </w:pPr>
      <w:r>
        <w:rPr>
          <w:rFonts w:ascii="Times New Roman;sans-serif" w:hAnsi="Times New Roman;sans-serif"/>
          <w:b w:val="false"/>
          <w:color w:val="000000"/>
          <w:sz w:val="16"/>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pStyle w:val="TextBody"/>
        <w:bidi w:val="0"/>
        <w:spacing w:before="0" w:after="0"/>
        <w:jc w:val="both"/>
        <w:rPr/>
      </w:pPr>
      <w:r>
        <w:rPr/>
      </w:r>
    </w:p>
    <w:p>
      <w:pPr>
        <w:pStyle w:val="TextBody"/>
        <w:bidi w:val="0"/>
        <w:spacing w:lineRule="auto" w:line="264" w:before="0" w:after="0"/>
        <w:jc w:val="left"/>
        <w:rPr>
          <w:rFonts w:ascii="Times New Roman;sans-serif" w:hAnsi="Times New Roman;sans-serif"/>
          <w:b w:val="false"/>
          <w:color w:val="000000"/>
          <w:sz w:val="16"/>
        </w:rPr>
      </w:pPr>
      <w:r>
        <w:rPr>
          <w:rFonts w:ascii="Times New Roman;sans-serif" w:hAnsi="Times New Roman;sans-serif"/>
          <w:b w:val="false"/>
          <w:color w:val="000000"/>
          <w:sz w:val="16"/>
        </w:rPr>
        <w:t>Indicate by check mark whether the registrant is a shell company (as defined in Rule 12b-2 of the Exchange Act).     Yes   ☐     No  ☒</w:t>
      </w:r>
    </w:p>
    <w:p>
      <w:pPr>
        <w:pStyle w:val="TextBody"/>
        <w:bidi w:val="0"/>
        <w:spacing w:before="0" w:after="180"/>
        <w:jc w:val="left"/>
        <w:rPr/>
      </w:pPr>
      <w:r>
        <w:rPr/>
      </w:r>
    </w:p>
    <w:p>
      <w:pPr>
        <w:pStyle w:val="TextBody"/>
        <w:bidi w:val="0"/>
        <w:spacing w:lineRule="auto" w:line="345" w:before="0" w:after="180"/>
        <w:jc w:val="both"/>
        <w:rPr>
          <w:rFonts w:ascii="Times New Roman;sans-serif" w:hAnsi="Times New Roman;sans-serif"/>
          <w:b w:val="false"/>
          <w:color w:val="000000"/>
          <w:sz w:val="16"/>
        </w:rPr>
      </w:pPr>
      <w:r>
        <w:rPr>
          <w:rFonts w:ascii="Times New Roman;sans-serif" w:hAnsi="Times New Roman;sans-serif"/>
          <w:b w:val="false"/>
          <w:color w:val="000000"/>
          <w:sz w:val="16"/>
        </w:rPr>
        <w:t xml:space="preserve">As of May 3, 2024, there were 189,105,696 shares of the registrant’s Class A common stock outstanding and 201,176,005 shares of the registrant’s Class B common stock outstanding. </w:t>
      </w:r>
    </w:p>
    <w:tbl>
      <w:tblPr>
        <w:tblW w:w="387" w:type="dxa"/>
        <w:jc w:val="left"/>
        <w:tblInd w:w="0" w:type="dxa"/>
        <w:tblLayout w:type="fixed"/>
        <w:tblCellMar>
          <w:top w:w="28" w:type="dxa"/>
          <w:left w:w="28" w:type="dxa"/>
          <w:bottom w:w="28" w:type="dxa"/>
          <w:right w:w="28" w:type="dxa"/>
        </w:tblCellMar>
      </w:tblPr>
      <w:tblGrid>
        <w:gridCol w:w="124"/>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87" w:type="dxa"/>
            <w:gridSpan w:val="3"/>
            <w:tcBorders>
              <w:bottom w:val="single" w:sz="16"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center"/>
        <w:rPr/>
      </w:pPr>
      <w:r>
        <w:rPr/>
      </w:r>
    </w:p>
    <w:p>
      <w:pPr>
        <w:pStyle w:val="TextBody"/>
        <w:bidi w:val="0"/>
        <w:spacing w:lineRule="auto" w:line="240" w:before="0" w:after="0"/>
        <w:jc w:val="left"/>
        <w:rPr>
          <w:color w:val="000000"/>
        </w:rPr>
      </w:pPr>
      <w:r>
        <w:rPr>
          <w:color w:val="000000"/>
        </w:rPr>
        <w:t> </w:t>
      </w:r>
    </w:p>
    <w:p>
      <w:pPr>
        <w:pStyle w:val="TextBody"/>
        <w:bidi w:val="0"/>
        <w:spacing w:before="0" w:after="0"/>
        <w:jc w:val="center"/>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175260"/>
                <wp:effectExtent l="0" t="0" r="0" b="0"/>
                <wp:wrapNone/>
                <wp:docPr id="1" name="Frame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180"/>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180"/>
                        <w:jc w:val="center"/>
                        <w:rPr/>
                      </w:pPr>
                      <w:r>
                        <w:rPr/>
                      </w:r>
                    </w:p>
                  </w:txbxContent>
                </v:textbox>
                <w10:wrap type="none"/>
              </v:rect>
            </w:pict>
          </mc:Fallback>
        </mc:AlternateContent>
      </w:r>
    </w:p>
    <w:p>
      <w:pPr>
        <w:pStyle w:val="TextBody"/>
        <w:bidi w:val="0"/>
        <w:spacing w:before="0" w:after="180"/>
        <w:jc w:val="both"/>
        <w:rPr/>
      </w:pPr>
      <w:r>
        <w:rPr/>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TABLE OF CONTENTS</w:t>
      </w:r>
    </w:p>
    <w:tbl>
      <w:tblPr>
        <w:tblW w:w="10205" w:type="dxa"/>
        <w:jc w:val="left"/>
        <w:tblInd w:w="0" w:type="dxa"/>
        <w:tblLayout w:type="fixed"/>
        <w:tblCellMar>
          <w:top w:w="28" w:type="dxa"/>
          <w:left w:w="28" w:type="dxa"/>
          <w:bottom w:w="28" w:type="dxa"/>
          <w:right w:w="28" w:type="dxa"/>
        </w:tblCellMar>
      </w:tblPr>
      <w:tblGrid>
        <w:gridCol w:w="783"/>
        <w:gridCol w:w="687"/>
        <w:gridCol w:w="687"/>
        <w:gridCol w:w="2518"/>
        <w:gridCol w:w="2471"/>
        <w:gridCol w:w="2516"/>
        <w:gridCol w:w="158"/>
        <w:gridCol w:w="158"/>
        <w:gridCol w:w="227"/>
      </w:tblGrid>
      <w:tr>
        <w:trPr/>
        <w:tc>
          <w:tcPr>
            <w:tcW w:w="783"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687" w:type="dxa"/>
            <w:tcBorders/>
            <w:vAlign w:val="center"/>
          </w:tcPr>
          <w:p>
            <w:pPr>
              <w:pStyle w:val="TableContents"/>
              <w:bidi w:val="0"/>
              <w:spacing w:before="0" w:after="283"/>
              <w:jc w:val="left"/>
              <w:rPr>
                <w:sz w:val="4"/>
                <w:szCs w:val="4"/>
              </w:rPr>
            </w:pPr>
            <w:r>
              <w:rPr>
                <w:sz w:val="4"/>
                <w:szCs w:val="4"/>
              </w:rPr>
            </w:r>
          </w:p>
        </w:tc>
        <w:tc>
          <w:tcPr>
            <w:tcW w:w="2518" w:type="dxa"/>
            <w:tcBorders/>
            <w:vAlign w:val="center"/>
          </w:tcPr>
          <w:p>
            <w:pPr>
              <w:pStyle w:val="TableContents"/>
              <w:bidi w:val="0"/>
              <w:spacing w:before="0" w:after="283"/>
              <w:jc w:val="left"/>
              <w:rPr>
                <w:sz w:val="4"/>
                <w:szCs w:val="4"/>
              </w:rPr>
            </w:pPr>
            <w:r>
              <w:rPr>
                <w:sz w:val="4"/>
                <w:szCs w:val="4"/>
              </w:rPr>
            </w:r>
          </w:p>
        </w:tc>
        <w:tc>
          <w:tcPr>
            <w:tcW w:w="2471" w:type="dxa"/>
            <w:tcBorders/>
            <w:vAlign w:val="center"/>
          </w:tcPr>
          <w:p>
            <w:pPr>
              <w:pStyle w:val="TableContents"/>
              <w:bidi w:val="0"/>
              <w:spacing w:before="0" w:after="283"/>
              <w:jc w:val="left"/>
              <w:rPr>
                <w:sz w:val="4"/>
                <w:szCs w:val="4"/>
              </w:rPr>
            </w:pPr>
            <w:r>
              <w:rPr>
                <w:sz w:val="4"/>
                <w:szCs w:val="4"/>
              </w:rPr>
            </w:r>
          </w:p>
        </w:tc>
        <w:tc>
          <w:tcPr>
            <w:tcW w:w="2516"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c>
          <w:tcPr>
            <w:tcW w:w="227" w:type="dxa"/>
            <w:tcBorders/>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4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Page</w:t>
            </w:r>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13">
              <w:r>
                <w:rPr>
                  <w:rStyle w:val="InternetLink"/>
                  <w:rFonts w:ascii="Times New Roman;sans-serif" w:hAnsi="Times New Roman;sans-serif"/>
                  <w:b w:val="false"/>
                  <w:color w:val="0000FF"/>
                  <w:sz w:val="20"/>
                  <w:u w:val="single"/>
                </w:rPr>
                <w:t>Special Note Regarding Forward-Looking Statements</w:t>
              </w:r>
            </w:hyperlink>
          </w:p>
        </w:tc>
        <w:tc>
          <w:tcPr>
            <w:tcW w:w="54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pPr>
            <w:hyperlink w:anchor="i8349b654e59147d49f62da1eede1c05f_13">
              <w:r>
                <w:rPr>
                  <w:rStyle w:val="InternetLink"/>
                  <w:rFonts w:ascii="Times New Roman;sans-serif" w:hAnsi="Times New Roman;sans-serif"/>
                  <w:b w:val="false"/>
                  <w:color w:val="0000FF"/>
                  <w:sz w:val="20"/>
                  <w:u w:val="single"/>
                </w:rPr>
                <w:t>2</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16">
              <w:r>
                <w:rPr>
                  <w:rStyle w:val="InternetLink"/>
                  <w:rFonts w:ascii="Times New Roman;sans-serif" w:hAnsi="Times New Roman;sans-serif"/>
                  <w:b w:val="false"/>
                  <w:color w:val="0000FF"/>
                  <w:sz w:val="20"/>
                  <w:u w:val="single"/>
                </w:rPr>
                <w:t>Risk Factor Summary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16">
              <w:r>
                <w:rPr>
                  <w:rStyle w:val="InternetLink"/>
                  <w:rFonts w:ascii="Times New Roman;sans-serif" w:hAnsi="Times New Roman;sans-serif"/>
                  <w:b w:val="false"/>
                  <w:color w:val="0000FF"/>
                  <w:sz w:val="20"/>
                  <w:u w:val="single"/>
                </w:rPr>
                <w:t>4</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19">
              <w:r>
                <w:rPr>
                  <w:rStyle w:val="InternetLink"/>
                  <w:rFonts w:ascii="Times New Roman;sans-serif" w:hAnsi="Times New Roman;sans-serif"/>
                  <w:b w:val="false"/>
                  <w:color w:val="0000FF"/>
                  <w:sz w:val="20"/>
                  <w:u w:val="single"/>
                </w:rPr>
                <w:t>Part I - Financial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22">
              <w:r>
                <w:rPr>
                  <w:rStyle w:val="InternetLink"/>
                  <w:rFonts w:ascii="Times New Roman;sans-serif" w:hAnsi="Times New Roman;sans-serif"/>
                  <w:b w:val="false"/>
                  <w:color w:val="0000FF"/>
                  <w:sz w:val="20"/>
                  <w:u w:val="single"/>
                </w:rPr>
                <w:t>Financial Statements (Unaudited)</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22">
              <w:r>
                <w:rPr>
                  <w:rStyle w:val="InternetLink"/>
                  <w:rFonts w:ascii="Times New Roman;sans-serif" w:hAnsi="Times New Roman;sans-serif"/>
                  <w:b w:val="false"/>
                  <w:color w:val="0000FF"/>
                  <w:sz w:val="20"/>
                  <w:u w:val="single"/>
                </w:rPr>
                <w:t>6</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25">
              <w:r>
                <w:rPr>
                  <w:rStyle w:val="InternetLink"/>
                  <w:rFonts w:ascii="Times New Roman;sans-serif" w:hAnsi="Times New Roman;sans-serif"/>
                  <w:b w:val="false"/>
                  <w:color w:val="0000FF"/>
                  <w:sz w:val="20"/>
                  <w:u w:val="single"/>
                </w:rPr>
                <w:t>Condensed Consolidated Balance Sheets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25">
              <w:r>
                <w:rPr>
                  <w:rStyle w:val="InternetLink"/>
                  <w:rFonts w:ascii="Times New Roman;sans-serif" w:hAnsi="Times New Roman;sans-serif"/>
                  <w:b w:val="false"/>
                  <w:color w:val="0000FF"/>
                  <w:sz w:val="20"/>
                  <w:u w:val="single"/>
                </w:rPr>
                <w:t>6</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31">
              <w:r>
                <w:rPr>
                  <w:rStyle w:val="InternetLink"/>
                  <w:rFonts w:ascii="Times New Roman;sans-serif" w:hAnsi="Times New Roman;sans-serif"/>
                  <w:b w:val="false"/>
                  <w:color w:val="0000FF"/>
                  <w:sz w:val="20"/>
                  <w:u w:val="single"/>
                </w:rPr>
                <w:t>Condensed Consolidated Statements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31">
              <w:r>
                <w:rPr>
                  <w:rStyle w:val="InternetLink"/>
                  <w:rFonts w:ascii="Times New Roman;sans-serif" w:hAnsi="Times New Roman;sans-serif"/>
                  <w:b w:val="false"/>
                  <w:color w:val="0000FF"/>
                  <w:sz w:val="20"/>
                  <w:u w:val="single"/>
                </w:rPr>
                <w:t>7</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34">
              <w:r>
                <w:rPr>
                  <w:rStyle w:val="InternetLink"/>
                  <w:rFonts w:ascii="Times New Roman;sans-serif" w:hAnsi="Times New Roman;sans-serif"/>
                  <w:b w:val="false"/>
                  <w:color w:val="0000FF"/>
                  <w:sz w:val="20"/>
                  <w:u w:val="single"/>
                </w:rPr>
                <w:t>Condensed Consolidated Statements of Comprehensive Loss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34">
              <w:r>
                <w:rPr>
                  <w:rStyle w:val="InternetLink"/>
                  <w:rFonts w:ascii="Times New Roman;sans-serif" w:hAnsi="Times New Roman;sans-serif"/>
                  <w:b w:val="false"/>
                  <w:color w:val="0000FF"/>
                  <w:sz w:val="20"/>
                  <w:u w:val="single"/>
                </w:rPr>
                <w:t>8</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37">
              <w:r>
                <w:rPr>
                  <w:rStyle w:val="InternetLink"/>
                  <w:rFonts w:ascii="Times New Roman;sans-serif" w:hAnsi="Times New Roman;sans-serif"/>
                  <w:b w:val="false"/>
                  <w:color w:val="0000FF"/>
                  <w:sz w:val="20"/>
                  <w:u w:val="single"/>
                </w:rPr>
                <w:t>Condensed Consolidated Statements of Stockholders’ Equity</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37">
              <w:r>
                <w:rPr>
                  <w:rStyle w:val="InternetLink"/>
                  <w:rFonts w:ascii="Times New Roman;sans-serif" w:hAnsi="Times New Roman;sans-serif"/>
                  <w:b w:val="false"/>
                  <w:color w:val="0000FF"/>
                  <w:sz w:val="20"/>
                  <w:u w:val="single"/>
                </w:rPr>
                <w:t>9</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40">
              <w:r>
                <w:rPr>
                  <w:rStyle w:val="InternetLink"/>
                  <w:rFonts w:ascii="Times New Roman;sans-serif" w:hAnsi="Times New Roman;sans-serif"/>
                  <w:b w:val="false"/>
                  <w:color w:val="0000FF"/>
                  <w:sz w:val="20"/>
                  <w:u w:val="single"/>
                </w:rPr>
                <w:t>Condensed Consolidated Statements of Cash Flows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40">
              <w:r>
                <w:rPr>
                  <w:rStyle w:val="InternetLink"/>
                  <w:rFonts w:ascii="Times New Roman;sans-serif" w:hAnsi="Times New Roman;sans-serif"/>
                  <w:b w:val="false"/>
                  <w:color w:val="0000FF"/>
                  <w:sz w:val="20"/>
                  <w:u w:val="single"/>
                </w:rPr>
                <w:t>10</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43">
              <w:r>
                <w:rPr>
                  <w:rStyle w:val="InternetLink"/>
                  <w:rFonts w:ascii="Times New Roman;sans-serif" w:hAnsi="Times New Roman;sans-serif"/>
                  <w:b w:val="false"/>
                  <w:color w:val="0000FF"/>
                  <w:sz w:val="20"/>
                  <w:u w:val="single"/>
                </w:rPr>
                <w:t>Notes to Condensed Consolidated Financial Statements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43">
              <w:r>
                <w:rPr>
                  <w:rStyle w:val="InternetLink"/>
                  <w:rFonts w:ascii="Times New Roman;sans-serif" w:hAnsi="Times New Roman;sans-serif"/>
                  <w:b w:val="false"/>
                  <w:color w:val="0000FF"/>
                  <w:sz w:val="20"/>
                  <w:u w:val="single"/>
                </w:rPr>
                <w:t>10</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85">
              <w:r>
                <w:rPr>
                  <w:rStyle w:val="InternetLink"/>
                  <w:rFonts w:ascii="Times New Roman;sans-serif" w:hAnsi="Times New Roman;sans-serif"/>
                  <w:b w:val="false"/>
                  <w:color w:val="0000FF"/>
                  <w:sz w:val="20"/>
                  <w:u w:val="single"/>
                </w:rPr>
                <w:t>Management’s Discussion and Analysis of Financial Condition and Results of Operations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85">
              <w:r>
                <w:rPr>
                  <w:rStyle w:val="InternetLink"/>
                  <w:rFonts w:ascii="Times New Roman;sans-serif" w:hAnsi="Times New Roman;sans-serif"/>
                  <w:b w:val="false"/>
                  <w:color w:val="0000FF"/>
                  <w:sz w:val="20"/>
                  <w:u w:val="single"/>
                </w:rPr>
                <w:t>20</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Item 3. </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115">
              <w:r>
                <w:rPr>
                  <w:rStyle w:val="InternetLink"/>
                  <w:rFonts w:ascii="Times New Roman;sans-serif" w:hAnsi="Times New Roman;sans-serif"/>
                  <w:b w:val="false"/>
                  <w:color w:val="0000FF"/>
                  <w:sz w:val="20"/>
                  <w:u w:val="single"/>
                </w:rPr>
                <w:t>Quantitative and Qualitative Disclosures About Market Risk</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115">
              <w:r>
                <w:rPr>
                  <w:rStyle w:val="InternetLink"/>
                  <w:rFonts w:ascii="Times New Roman;sans-serif" w:hAnsi="Times New Roman;sans-serif"/>
                  <w:b w:val="false"/>
                  <w:color w:val="0000FF"/>
                  <w:sz w:val="20"/>
                  <w:u w:val="single"/>
                </w:rPr>
                <w:t>30</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118">
              <w:r>
                <w:rPr>
                  <w:rStyle w:val="InternetLink"/>
                  <w:rFonts w:ascii="Times New Roman;sans-serif" w:hAnsi="Times New Roman;sans-serif"/>
                  <w:b w:val="false"/>
                  <w:color w:val="0000FF"/>
                  <w:sz w:val="20"/>
                  <w:u w:val="single"/>
                </w:rPr>
                <w:t>Controls and Procedures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118">
              <w:r>
                <w:rPr>
                  <w:rStyle w:val="InternetLink"/>
                  <w:rFonts w:ascii="Times New Roman;sans-serif" w:hAnsi="Times New Roman;sans-serif"/>
                  <w:b w:val="false"/>
                  <w:color w:val="0000FF"/>
                  <w:sz w:val="20"/>
                  <w:u w:val="single"/>
                </w:rPr>
                <w:t>30</w:t>
              </w:r>
            </w:hyperlink>
          </w:p>
        </w:tc>
      </w:tr>
      <w:tr>
        <w:trPr/>
        <w:tc>
          <w:tcPr>
            <w:tcW w:w="21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121">
              <w:r>
                <w:rPr>
                  <w:rStyle w:val="InternetLink"/>
                  <w:rFonts w:ascii="Times New Roman;sans-serif" w:hAnsi="Times New Roman;sans-serif"/>
                  <w:b w:val="false"/>
                  <w:color w:val="0000FF"/>
                  <w:sz w:val="20"/>
                  <w:u w:val="single"/>
                </w:rPr>
                <w:t>Part II - Other Information</w:t>
              </w:r>
            </w:hyperlink>
          </w:p>
        </w:tc>
        <w:tc>
          <w:tcPr>
            <w:tcW w:w="5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124">
              <w:r>
                <w:rPr>
                  <w:rStyle w:val="InternetLink"/>
                  <w:rFonts w:ascii="Times New Roman;sans-serif" w:hAnsi="Times New Roman;sans-serif"/>
                  <w:b w:val="false"/>
                  <w:color w:val="0000FF"/>
                  <w:sz w:val="20"/>
                  <w:u w:val="single"/>
                </w:rPr>
                <w:t>Legal Proceedings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124">
              <w:r>
                <w:rPr>
                  <w:rStyle w:val="InternetLink"/>
                  <w:rFonts w:ascii="Times New Roman;sans-serif" w:hAnsi="Times New Roman;sans-serif"/>
                  <w:b w:val="false"/>
                  <w:color w:val="0000FF"/>
                  <w:sz w:val="20"/>
                  <w:u w:val="single"/>
                </w:rPr>
                <w:t>32</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1A.</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FF"/>
                <w:sz w:val="20"/>
                <w:u w:val="single"/>
              </w:rPr>
              <w:t>R</w:t>
            </w:r>
            <w:hyperlink w:anchor="i8349b654e59147d49f62da1eede1c05f_127">
              <w:r>
                <w:rPr>
                  <w:rStyle w:val="InternetLink"/>
                  <w:rFonts w:ascii="Times New Roman;sans-serif" w:hAnsi="Times New Roman;sans-serif"/>
                  <w:b w:val="false"/>
                  <w:color w:val="000080"/>
                  <w:sz w:val="20"/>
                  <w:u w:val="single"/>
                </w:rPr>
                <w:t>isk Factors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127">
              <w:r>
                <w:rPr>
                  <w:rStyle w:val="InternetLink"/>
                  <w:rFonts w:ascii="Times New Roman;sans-serif" w:hAnsi="Times New Roman;sans-serif"/>
                  <w:b w:val="false"/>
                  <w:color w:val="0000FF"/>
                  <w:sz w:val="20"/>
                  <w:u w:val="single"/>
                </w:rPr>
                <w:t>32</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2.</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130">
              <w:r>
                <w:rPr>
                  <w:rStyle w:val="InternetLink"/>
                  <w:rFonts w:ascii="Times New Roman;sans-serif" w:hAnsi="Times New Roman;sans-serif"/>
                  <w:b w:val="false"/>
                  <w:color w:val="0000FF"/>
                  <w:sz w:val="20"/>
                  <w:u w:val="single"/>
                </w:rPr>
                <w:t>Unregistered Sales of Equity Securities, Use of Proceeds, and Issuer Purchases of Equity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130">
              <w:r>
                <w:rPr>
                  <w:rStyle w:val="InternetLink"/>
                  <w:rFonts w:ascii="Times New Roman;sans-serif" w:hAnsi="Times New Roman;sans-serif"/>
                  <w:b w:val="false"/>
                  <w:color w:val="0000FF"/>
                  <w:sz w:val="20"/>
                  <w:u w:val="single"/>
                </w:rPr>
                <w:t>61</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3.</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133">
              <w:r>
                <w:rPr>
                  <w:rStyle w:val="InternetLink"/>
                  <w:rFonts w:ascii="Times New Roman;sans-serif" w:hAnsi="Times New Roman;sans-serif"/>
                  <w:b w:val="false"/>
                  <w:color w:val="0000FF"/>
                  <w:sz w:val="20"/>
                  <w:u w:val="single"/>
                </w:rPr>
                <w:t>Defaults Upon Senior Securities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133">
              <w:r>
                <w:rPr>
                  <w:rStyle w:val="InternetLink"/>
                  <w:rFonts w:ascii="Times New Roman;sans-serif" w:hAnsi="Times New Roman;sans-serif"/>
                  <w:b w:val="false"/>
                  <w:color w:val="0000FF"/>
                  <w:sz w:val="20"/>
                  <w:u w:val="single"/>
                </w:rPr>
                <w:t>62</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4.</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136">
              <w:r>
                <w:rPr>
                  <w:rStyle w:val="InternetLink"/>
                  <w:rFonts w:ascii="Times New Roman;sans-serif" w:hAnsi="Times New Roman;sans-serif"/>
                  <w:b w:val="false"/>
                  <w:color w:val="0000FF"/>
                  <w:sz w:val="20"/>
                  <w:u w:val="single"/>
                </w:rPr>
                <w:t>Mine Safety Disclosures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136">
              <w:r>
                <w:rPr>
                  <w:rStyle w:val="InternetLink"/>
                  <w:rFonts w:ascii="Times New Roman;sans-serif" w:hAnsi="Times New Roman;sans-serif"/>
                  <w:b w:val="false"/>
                  <w:color w:val="0000FF"/>
                  <w:sz w:val="20"/>
                  <w:u w:val="single"/>
                </w:rPr>
                <w:t>62</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5.</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139">
              <w:r>
                <w:rPr>
                  <w:rStyle w:val="InternetLink"/>
                  <w:rFonts w:ascii="Times New Roman;sans-serif" w:hAnsi="Times New Roman;sans-serif"/>
                  <w:b w:val="false"/>
                  <w:color w:val="0000FF"/>
                  <w:sz w:val="20"/>
                  <w:u w:val="single"/>
                </w:rPr>
                <w:t>Other Information</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139">
              <w:r>
                <w:rPr>
                  <w:rStyle w:val="InternetLink"/>
                  <w:rFonts w:ascii="Times New Roman;sans-serif" w:hAnsi="Times New Roman;sans-serif"/>
                  <w:b w:val="false"/>
                  <w:color w:val="0000FF"/>
                  <w:sz w:val="20"/>
                  <w:u w:val="single"/>
                </w:rPr>
                <w:t>62</w:t>
              </w:r>
            </w:hyperlink>
          </w:p>
        </w:tc>
      </w:tr>
      <w:tr>
        <w:trPr/>
        <w:tc>
          <w:tcPr>
            <w:tcW w:w="2157"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Item 6.</w:t>
            </w:r>
          </w:p>
        </w:tc>
        <w:tc>
          <w:tcPr>
            <w:tcW w:w="7505"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142">
              <w:r>
                <w:rPr>
                  <w:rStyle w:val="InternetLink"/>
                  <w:rFonts w:ascii="Times New Roman;sans-serif" w:hAnsi="Times New Roman;sans-serif"/>
                  <w:b w:val="false"/>
                  <w:color w:val="0000FF"/>
                  <w:sz w:val="20"/>
                  <w:u w:val="single"/>
                </w:rPr>
                <w:t>Exhibits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142">
              <w:r>
                <w:rPr>
                  <w:rStyle w:val="InternetLink"/>
                  <w:rFonts w:ascii="Times New Roman;sans-serif" w:hAnsi="Times New Roman;sans-serif"/>
                  <w:b w:val="false"/>
                  <w:color w:val="0000FF"/>
                  <w:sz w:val="20"/>
                  <w:u w:val="single"/>
                </w:rPr>
                <w:t>63</w:t>
              </w:r>
            </w:hyperlink>
          </w:p>
        </w:tc>
      </w:tr>
      <w:tr>
        <w:trPr/>
        <w:tc>
          <w:tcPr>
            <w:tcW w:w="9662" w:type="dxa"/>
            <w:gridSpan w:val="6"/>
            <w:tcBorders/>
            <w:tcMar>
              <w:top w:w="0" w:type="dxa"/>
              <w:left w:w="0" w:type="dxa"/>
              <w:bottom w:w="0" w:type="dxa"/>
              <w:right w:w="0" w:type="dxa"/>
            </w:tcMar>
            <w:vAlign w:val="center"/>
          </w:tcPr>
          <w:p>
            <w:pPr>
              <w:pStyle w:val="TableContents"/>
              <w:bidi w:val="0"/>
              <w:spacing w:lineRule="auto" w:line="240" w:before="0" w:after="0"/>
              <w:jc w:val="left"/>
              <w:rPr/>
            </w:pPr>
            <w:hyperlink w:anchor="i8349b654e59147d49f62da1eede1c05f_145">
              <w:r>
                <w:rPr>
                  <w:rStyle w:val="InternetLink"/>
                  <w:rFonts w:ascii="Times New Roman;sans-serif" w:hAnsi="Times New Roman;sans-serif"/>
                  <w:b w:val="false"/>
                  <w:color w:val="0000FF"/>
                  <w:sz w:val="20"/>
                  <w:u w:val="single"/>
                </w:rPr>
                <w:t>Signatures</w:t>
              </w:r>
            </w:hyperlink>
          </w:p>
        </w:tc>
        <w:tc>
          <w:tcPr>
            <w:tcW w:w="543" w:type="dxa"/>
            <w:gridSpan w:val="3"/>
            <w:tcBorders/>
            <w:tcMar>
              <w:top w:w="0" w:type="dxa"/>
              <w:left w:w="0" w:type="dxa"/>
              <w:bottom w:w="0" w:type="dxa"/>
              <w:right w:w="0" w:type="dxa"/>
            </w:tcMar>
            <w:vAlign w:val="center"/>
          </w:tcPr>
          <w:p>
            <w:pPr>
              <w:pStyle w:val="TableContents"/>
              <w:bidi w:val="0"/>
              <w:spacing w:lineRule="auto" w:line="240" w:before="0" w:after="0"/>
              <w:jc w:val="center"/>
              <w:rPr/>
            </w:pPr>
            <w:hyperlink w:anchor="i8349b654e59147d49f62da1eede1c05f_145">
              <w:r>
                <w:rPr>
                  <w:rStyle w:val="InternetLink"/>
                  <w:rFonts w:ascii="Times New Roman;sans-serif" w:hAnsi="Times New Roman;sans-serif"/>
                  <w:b w:val="false"/>
                  <w:color w:val="0000FF"/>
                  <w:sz w:val="20"/>
                  <w:u w:val="single"/>
                </w:rPr>
                <w:t>64</w:t>
              </w:r>
            </w:hyperlink>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46685"/>
                <wp:effectExtent l="0" t="0" r="0" b="0"/>
                <wp:wrapNone/>
                <wp:docPr id="2" name="Frame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1</w:t>
                      </w:r>
                    </w:p>
                  </w:txbxContent>
                </v:textbox>
                <w10:wrap type="none"/>
              </v:rect>
            </w:pict>
          </mc:Fallback>
        </mc:AlternateContent>
      </w:r>
    </w:p>
    <w:p>
      <w:pPr>
        <w:pStyle w:val="TextBody"/>
        <w:bidi w:val="0"/>
        <w:spacing w:lineRule="auto" w:line="288" w:before="0" w:after="180"/>
        <w:jc w:val="left"/>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SPECIAL NOTE REGARDING FORWARD-LOOKING STATEMENTS</w:t>
      </w:r>
    </w:p>
    <w:p>
      <w:pPr>
        <w:pStyle w:val="TextBody"/>
        <w:bidi w:val="0"/>
        <w:spacing w:lineRule="auto" w:line="288" w:before="0" w:after="0"/>
        <w:ind w:left="0" w:right="0" w:firstLine="720"/>
        <w:jc w:val="both"/>
        <w:rPr/>
      </w:pPr>
      <w:r>
        <w:rPr>
          <w:rFonts w:ascii="Times New Roman;sans-serif" w:hAnsi="Times New Roman;sans-serif"/>
          <w:b w:val="false"/>
          <w:color w:val="000000"/>
          <w:sz w:val="20"/>
        </w:rPr>
        <w:t>This Quarterly Report on Form 10-Q (“Quarterly Report”) contains forward-looking statements within the meaning of the federal securities laws. All statements contained in this Quarterly Report, other than statements of historical fact, including statements regarding our or our management team’s expectations, hopes, beliefs, intentions, strategies, future operating results and financial position, potential growth or growth prospects, are forward-looking statements. Words such as “believes,” “may,” “will,” “estimates,” “potential,” “continues,” “anticipates,” “intends,” “expects,” “could,” “would,” “projects,” “plans,” “targets,” and variations of such words and similar expressions are intended to identify forward-looking statements.</w:t>
      </w:r>
      <w:r>
        <w:rPr>
          <w:color w:val="000000"/>
        </w:rPr>
        <w:t xml:space="preserve"> </w:t>
      </w:r>
      <w:r>
        <w:rPr>
          <w:rFonts w:ascii="Times New Roman;sans-serif" w:hAnsi="Times New Roman;sans-serif"/>
          <w:b w:val="false"/>
          <w:color w:val="000000"/>
          <w:sz w:val="20"/>
        </w:rPr>
        <w:t>Forward-looking statements in this Quarterly Report may include, for example, statements about:</w:t>
      </w:r>
    </w:p>
    <w:p>
      <w:pPr>
        <w:pStyle w:val="TextBody"/>
        <w:bidi w:val="0"/>
        <w:spacing w:before="0" w:after="0"/>
        <w:ind w:left="0" w:right="0" w:firstLine="72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anticipated growth, including our ability to scale new neighbor growth, our ability to grow engagement by our existing neighbor base and our ability to increase monetization of our platform;</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scale our business and monetization efforts;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political, economic, and macroeconomic climate, whether in the advertising industry in general, or among specific types of advertisers or within particular geographies, including but not limited to the impacts related to recent turmoil in the global banking system, labor shortages, supply chain disruptions, a potential recession, a potential temporary federal government shutdown, inflation, and rising interest rates;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expand our business operations abroad by opening new and expanding within existing neighborhoods outside of the United States;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respond to general economic conditions;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our ability to invest in, and the ultimate success of, technologies aimed at enhancing our business solutions and delivering additional value to our platform;</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scale our business effectively;</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achieve and maintain profitability in the future;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access sources of capital to finance operations and growth;</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the success of strategic relationships with third parties;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maintain the listing of our Class A common stock on the New York Stock Exchange;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changes in applicable laws or regulations, both within and outside of the United States;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the impact of the regulatory environment and complexities with compliance related to such environment;</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the inability to develop and maintain effective internal controls;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impact on our business as a result of interruptions, delays, or failures resulting from earthquakes, fires, floods, adverse weather conditions, other natural disasters, power loss, terrorism, pandemics, geopolitical conflict (including the war in Ukraine and the Israel-Hamas war), other physical security threats, cyber-attacks, or other catastrophic events;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ability to raise financing in the future;</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success in retaining or recruiting, or changes required in, our officers, key employees, or directors;</w:t>
      </w:r>
    </w:p>
    <w:p>
      <w:pPr>
        <w:pStyle w:val="TextBody"/>
        <w:bidi w:val="0"/>
        <w:spacing w:before="0" w:after="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our financial performance; and</w:t>
      </w:r>
    </w:p>
    <w:p>
      <w:pPr>
        <w:pStyle w:val="TextBody"/>
        <w:bidi w:val="0"/>
        <w:spacing w:before="0" w:after="0"/>
        <w:ind w:left="0" w:right="0" w:firstLine="360"/>
        <w:jc w:val="both"/>
        <w:rPr/>
      </w:pPr>
      <w:r>
        <w:rPr/>
      </w:r>
    </w:p>
    <w:p>
      <w:pPr>
        <w:pStyle w:val="TextBody"/>
        <w:bidi w:val="0"/>
        <w:spacing w:lineRule="auto" w:line="288" w:before="0" w:after="0"/>
        <w:jc w:val="both"/>
        <w:rPr/>
      </w:pPr>
      <w:r>
        <w:rPr>
          <w:color w:val="000000"/>
        </w:rPr>
        <w:t>•</w:t>
      </w:r>
      <w:r>
        <w:rPr>
          <w:rFonts w:ascii="Times New Roman;sans-serif" w:hAnsi="Times New Roman;sans-serif"/>
          <w:b w:val="false"/>
          <w:color w:val="000000"/>
          <w:sz w:val="20"/>
        </w:rPr>
        <w:t>other factors detailed in Part II, Item 1A, “Risk Factors” in this Quarterly Report.</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46685"/>
                <wp:effectExtent l="0" t="0" r="0" b="0"/>
                <wp:wrapNone/>
                <wp:docPr id="3" name="Frame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2</w:t>
                      </w:r>
                    </w:p>
                  </w:txbxContent>
                </v:textbox>
                <w10:wrap type="none"/>
              </v:rect>
            </w:pict>
          </mc:Fallback>
        </mc:AlternateContent>
      </w:r>
    </w:p>
    <w:p>
      <w:pPr>
        <w:pStyle w:val="TextBody"/>
        <w:bidi w:val="0"/>
        <w:spacing w:lineRule="auto" w:line="288" w:before="0" w:after="180"/>
        <w:jc w:val="left"/>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We have based these forward-looking statements largely on our current expectations and projections as of the date of this filing about future events and trends that we believe may affect our financial condition, results of operations, business strategy, short-term and long-term business operations and objectives, and financial needs. These forward-looking statements are subject to a number of risks, uncertainties and assumptions, including those described in Part II, Item 1A, “Risk Factors” in this Quarterly Report. Readers are urged to carefully review and consider the various disclosures made in this Quarterly Report and in other documents we file from time to time with the Securities and Exchange Commission (the “SEC”), that disclose risks and uncertainties that may affect our business. Moreover, we operate in a very competitive and rapidly changing environment. New risks emerge from time to time. It is not possible for us to predict all risks, nor can we assess the impact of all factors on our business or the extent to which any factor, or combination of factors, may cause actual results to differ materially from those contained in any forward-looking statements we may make. In light of these risks, uncertainties, and assumptions, the future events and circumstances discussed in this Quarterly Report may not occur and actual results could differ materially and adversely from those anticipated or implied in the forward-looking statements.</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not rely upon forward-looking statements as predictions of future events. The events and circumstances reflected in the forward-looking statements may not be achieved or occur. Although we believe that the expectations reflected in the forward-looking statements are reasonable, we cannot guarantee future results, performance, or achievements. In addition, the forward-looking statements in this Quarterly Report are made as of the date of this filing, and we do not undertake, and expressly disclaim any duty, to update such statements for any reason after the date of this Quarterly Report or to conform statements to actual results or revised expectations, except as required by law.</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You should read this Quarterly Report and the documents that we reference herein and have filed with the SEC as exhibits to this Quarterly Report with the understanding that our actual future results, performance, and events and circumstances may be materially different from what we expect.</w:t>
      </w:r>
    </w:p>
    <w:p>
      <w:pPr>
        <w:pStyle w:val="TextBody"/>
        <w:bidi w:val="0"/>
        <w:spacing w:before="0" w:after="0"/>
        <w:jc w:val="both"/>
        <w:rPr/>
      </w:pPr>
      <w:r>
        <w:rPr/>
      </w:r>
    </w:p>
    <w:p>
      <w:pPr>
        <w:pStyle w:val="TextBody"/>
        <w:bidi w:val="0"/>
        <w:spacing w:lineRule="auto" w:line="288" w:before="0" w:after="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As used in this Quarterly Report, the terms “Nextdoor,” “we,” “us,” “Registrant,” and “our” mean Nextdoor Holdings, Inc. and its subsidiaries unless the context indicates otherwise. The term “Business Combination” refers to the transactions contemplated by the that certain Agreement and Plan of Merger, dated as of July 6, 2021, by and among Khosla Ventures Acquisition Co. II, Nextdoor, Inc., and Lorelei Merger Sub Inc., as amended by Amendment No. 1 to the Agreement and Plan of Merger, dated as of September 30, 2021, including (i) the merger contemplated by the Agreement and Plan of Merger, whereby Lorelei Merger Sub Inc. merged with and into Nextdoor, Inc., with Nextdoor, Inc. surviving the merger as a wholly-owned subsidiary of Khosla Ventures Acquisition Co. II, and (ii) the private placement pursuant to which investors collectively subscribed for 27,000,000 shares of our Class A common stock at $10.00 per share, for an aggregate purchase price of $270,000,000.</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46685"/>
                <wp:effectExtent l="0" t="0" r="0" b="0"/>
                <wp:wrapNone/>
                <wp:docPr id="4" name="Frame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3</w:t>
                      </w:r>
                    </w:p>
                  </w:txbxContent>
                </v:textbox>
                <w10:wrap type="none"/>
              </v:rect>
            </w:pict>
          </mc:Fallback>
        </mc:AlternateContent>
      </w:r>
    </w:p>
    <w:p>
      <w:pPr>
        <w:pStyle w:val="TextBody"/>
        <w:bidi w:val="0"/>
        <w:spacing w:lineRule="auto" w:line="288" w:before="0" w:after="180"/>
        <w:jc w:val="left"/>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RISK FACTOR SUMMARY</w:t>
      </w:r>
    </w:p>
    <w:p>
      <w:pPr>
        <w:pStyle w:val="TextBody"/>
        <w:bidi w:val="0"/>
        <w:spacing w:lineRule="auto" w:line="288" w:before="0" w:after="18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Our business is subject to numerous risks and uncertainties, including those described in Part II, Item 1A, “Risk Factors” in this Quarterly Report. You should carefully consider these risks and uncertainties when investing in our Class A common stock. Some of the principal risks and uncertainties include the following:</w:t>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Adverse global economic and financial conditions could harm our business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currently generate substantially all of our revenue from advertising. If advertisers reduce or eliminate their spending with us, our business, operating results, and financial condition would be adversely impacted.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is highly competitive. Competition presents an ongoing threat to the success of our business.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 xml:space="preserve">If we fail to scale our business effectively, our business, operating results, and financial condition would be adversely affected. </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If our efforts to build strong brand identity and reputation are not successful, we may not be able to attract or retain neighbors, and our business, operating results, and financial condition will be adversely affected.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plan to continue expanding our international operations where we have limited operating experience and may be subject to increased business, regulatory, and economic risks that could seriously harm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If we need additional capital in the future, it may not be available on favorable terms, if at all.</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depends largely on our ability to attract,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are dependent on third-party software and service providers, including the Google Ad Manager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rely on third-party software and service providers, including Amazon Web Services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Technologies have been developed that can block the display of advertisements on the Nextdoor platform, which could adversely impact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Security breaches, including improper access to or disclosure of our data or our neighbors’ data, or other hacking and phishing attacks on our or third-party systems, could harm our reputation and adversely affect our business.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pStyle w:val="TextBody"/>
        <w:bidi w:val="0"/>
        <w:spacing w:before="0" w:after="0"/>
        <w:jc w:val="left"/>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46685"/>
                <wp:effectExtent l="0" t="0" r="0" b="0"/>
                <wp:wrapNone/>
                <wp:docPr id="5" name="Frame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4</w:t>
                      </w:r>
                    </w:p>
                  </w:txbxContent>
                </v:textbox>
                <w10:wrap type="none"/>
              </v:rect>
            </w:pict>
          </mc:Fallback>
        </mc:AlternateContent>
      </w:r>
    </w:p>
    <w:p>
      <w:pPr>
        <w:pStyle w:val="TextBody"/>
        <w:bidi w:val="0"/>
        <w:spacing w:lineRule="auto" w:line="288" w:before="0" w:after="180"/>
        <w:jc w:val="left"/>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Certain of our market opportunities and key metric estimates could prove to be inaccurate, and any real or perceived inaccuracies may harm our reputation and negatively affect our business.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may have greater than anticipated tax liabilities, which could harm our business, revenue and financial results.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may be liable as a result of content or information that is published or made available on our platform.</w:t>
      </w:r>
    </w:p>
    <w:p>
      <w:pPr>
        <w:pStyle w:val="TextBody"/>
        <w:bidi w:val="0"/>
        <w:spacing w:before="0" w:after="0"/>
        <w:jc w:val="both"/>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business is subject to complex and evolving U.S. and foreign laws, regulations, and industry standards, many of which are subject to change and uncertain interpretations, which uncertainty could harm our business, operating results, and financial conditions.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could be involved in legal disputes that are expensive and time consuming, and, if resolved adversely, could harm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Failure to maintain effective systems of internal controls and disclosure controls could have a material adverse effect on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If we are unable to protect our intellectual property, the value of our brands and other intangible assets may be diminished, and our business, operating results, and financial condition may be adversely affected.</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Third parties may claim that our platform infringes their intellectual property rights and this may create liability for us or otherwise adversely affect our business, operating results, and financial condition.</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Our use of “open source” software could subject us to possible litigation or could prevent us from offering products that include open source software or require us to obtain licenses on unfavorable terms.</w:t>
      </w:r>
    </w:p>
    <w:p>
      <w:pPr>
        <w:pStyle w:val="TextBody"/>
        <w:bidi w:val="0"/>
        <w:spacing w:before="0" w:after="0"/>
        <w:jc w:val="left"/>
        <w:rPr/>
      </w:pPr>
      <w:r>
        <w:rPr/>
      </w:r>
    </w:p>
    <w:p>
      <w:pPr>
        <w:pStyle w:val="TextBody"/>
        <w:bidi w:val="0"/>
        <w:spacing w:lineRule="auto" w:line="268" w:before="0" w:after="0"/>
        <w:ind w:left="0" w:right="0" w:hanging="360"/>
        <w:jc w:val="both"/>
        <w:rPr/>
      </w:pPr>
      <w:r>
        <w:rPr>
          <w:color w:val="000000"/>
        </w:rPr>
        <w:t>•</w:t>
      </w:r>
      <w:r>
        <w:rPr>
          <w:rFonts w:ascii="Times New Roman;sans-serif" w:hAnsi="Times New Roman;sans-serif"/>
          <w:b w:val="false"/>
          <w:color w:val="000000"/>
          <w:sz w:val="20"/>
        </w:rPr>
        <w:t>We license technology from third parties, and our inability to maintain those licenses could harm our business.</w:t>
      </w:r>
    </w:p>
    <w:p>
      <w:pPr>
        <w:pStyle w:val="TextBody"/>
        <w:bidi w:val="0"/>
        <w:spacing w:before="0" w:after="0"/>
        <w:jc w:val="left"/>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price of our Class A common stock has been and may continue to be volatile.</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dual class structure of our common stock may adversely affect the trading market for our Class A common stock.</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The dual class structure of our common stock has the effect of concentrating voting power with our management and other existing stockholders, which will limit your ability to influence the outcome of important transactions, including a change in control.</w:t>
      </w:r>
    </w:p>
    <w:p>
      <w:pPr>
        <w:pStyle w:val="TextBody"/>
        <w:bidi w:val="0"/>
        <w:spacing w:before="0" w:after="0"/>
        <w:jc w:val="both"/>
        <w:rPr/>
      </w:pPr>
      <w:r>
        <w:rPr/>
      </w:r>
    </w:p>
    <w:p>
      <w:pPr>
        <w:pStyle w:val="TextBody"/>
        <w:bidi w:val="0"/>
        <w:spacing w:lineRule="auto" w:line="288" w:before="0" w:after="0"/>
        <w:ind w:left="0" w:right="0" w:hanging="360"/>
        <w:jc w:val="both"/>
        <w:rPr/>
      </w:pPr>
      <w:r>
        <w:rPr>
          <w:color w:val="000000"/>
        </w:rPr>
        <w:t>•</w:t>
      </w:r>
      <w:r>
        <w:rPr>
          <w:rFonts w:ascii="Times New Roman;sans-serif" w:hAnsi="Times New Roman;sans-serif"/>
          <w:b w:val="false"/>
          <w:color w:val="000000"/>
          <w:sz w:val="20"/>
        </w:rPr>
        <w:t>We do not intend to pay cash dividends for the foreseeable future.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46685"/>
                <wp:effectExtent l="0" t="0" r="0" b="0"/>
                <wp:wrapNone/>
                <wp:docPr id="6" name="Frame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5</w:t>
                      </w:r>
                    </w:p>
                  </w:txbxContent>
                </v:textbox>
                <w10:wrap type="none"/>
              </v:rect>
            </w:pict>
          </mc:Fallback>
        </mc:AlternateContent>
      </w:r>
    </w:p>
    <w:p>
      <w:pPr>
        <w:pStyle w:val="TextBody"/>
        <w:bidi w:val="0"/>
        <w:spacing w:lineRule="auto" w:line="288" w:before="0" w:after="180"/>
        <w:jc w:val="left"/>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PART I - FINANCIAL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60"/>
        <w:jc w:val="both"/>
        <w:rPr>
          <w:rFonts w:ascii="Times New Roman;sans-serif" w:hAnsi="Times New Roman;sans-serif"/>
          <w:b/>
          <w:color w:val="000000"/>
          <w:sz w:val="20"/>
        </w:rPr>
      </w:pPr>
      <w:r>
        <w:rPr>
          <w:rFonts w:ascii="Times New Roman;sans-serif" w:hAnsi="Times New Roman;sans-serif"/>
          <w:b/>
          <w:color w:val="000000"/>
          <w:sz w:val="20"/>
        </w:rPr>
        <w:t xml:space="preserve">Item 1. Financial Statements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BALANCE SHEETS</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89"/>
        <w:gridCol w:w="2288"/>
        <w:gridCol w:w="2246"/>
        <w:gridCol w:w="221"/>
        <w:gridCol w:w="866"/>
        <w:gridCol w:w="114"/>
        <w:gridCol w:w="109"/>
        <w:gridCol w:w="109"/>
        <w:gridCol w:w="109"/>
        <w:gridCol w:w="239"/>
        <w:gridCol w:w="938"/>
        <w:gridCol w:w="177"/>
      </w:tblGrid>
      <w:tr>
        <w:trPr/>
        <w:tc>
          <w:tcPr>
            <w:tcW w:w="2789" w:type="dxa"/>
            <w:tcBorders/>
            <w:vAlign w:val="center"/>
          </w:tcPr>
          <w:p>
            <w:pPr>
              <w:pStyle w:val="TableContents"/>
              <w:bidi w:val="0"/>
              <w:spacing w:before="0" w:after="283"/>
              <w:jc w:val="left"/>
              <w:rPr>
                <w:sz w:val="4"/>
                <w:szCs w:val="4"/>
              </w:rPr>
            </w:pPr>
            <w:r>
              <w:rPr>
                <w:sz w:val="4"/>
                <w:szCs w:val="4"/>
              </w:rPr>
            </w:r>
          </w:p>
        </w:tc>
        <w:tc>
          <w:tcPr>
            <w:tcW w:w="2288" w:type="dxa"/>
            <w:tcBorders/>
            <w:vAlign w:val="center"/>
          </w:tcPr>
          <w:p>
            <w:pPr>
              <w:pStyle w:val="TableContents"/>
              <w:bidi w:val="0"/>
              <w:spacing w:before="0" w:after="283"/>
              <w:jc w:val="left"/>
              <w:rPr>
                <w:sz w:val="4"/>
                <w:szCs w:val="4"/>
              </w:rPr>
            </w:pPr>
            <w:r>
              <w:rPr>
                <w:sz w:val="4"/>
                <w:szCs w:val="4"/>
              </w:rPr>
            </w:r>
          </w:p>
        </w:tc>
        <w:tc>
          <w:tcPr>
            <w:tcW w:w="2246"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866"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9" w:type="dxa"/>
            <w:tcBorders/>
            <w:vAlign w:val="center"/>
          </w:tcPr>
          <w:p>
            <w:pPr>
              <w:pStyle w:val="TableContents"/>
              <w:bidi w:val="0"/>
              <w:spacing w:before="0" w:after="283"/>
              <w:jc w:val="left"/>
              <w:rPr>
                <w:sz w:val="4"/>
                <w:szCs w:val="4"/>
              </w:rPr>
            </w:pPr>
            <w:r>
              <w:rPr>
                <w:sz w:val="4"/>
                <w:szCs w:val="4"/>
              </w:rPr>
            </w:r>
          </w:p>
        </w:tc>
        <w:tc>
          <w:tcPr>
            <w:tcW w:w="938"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r>
      <w:tr>
        <w:trPr/>
        <w:tc>
          <w:tcPr>
            <w:tcW w:w="7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w:t>
            </w:r>
          </w:p>
        </w:tc>
      </w:tr>
      <w:tr>
        <w:trPr/>
        <w:tc>
          <w:tcPr>
            <w:tcW w:w="732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20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assets: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and cash equivalents</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69,670 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60,233 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428,123 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470,868 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Accounts receivable, net of allowance of $380 and $385 as of March 31, 2024 and December 31, 2023, respectively</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26,057 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26,233 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Prepaid expenses and other current assets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9,606 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assets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540,226 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566,940 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Restricted cash, non-current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11,171 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Property and equipment,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7,157 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8,082 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right-of-use assets</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55,788 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56,968 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Intangible assets, net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1,301 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Goodwill</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1,211 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assets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16,669 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8,891 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assets</w:t>
            </w:r>
          </w:p>
        </w:tc>
        <w:tc>
          <w:tcPr>
            <w:tcW w:w="2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633,081 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654,564 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Liabilities and Stockholders’ Equity</w:t>
            </w:r>
          </w:p>
        </w:tc>
        <w:tc>
          <w:tcPr>
            <w:tcW w:w="1201"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Current liabilities:</w:t>
            </w:r>
          </w:p>
        </w:tc>
        <w:tc>
          <w:tcPr>
            <w:tcW w:w="120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Accounts payable</w:t>
            </w:r>
          </w:p>
        </w:tc>
        <w:tc>
          <w:tcPr>
            <w:tcW w:w="22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2,121 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1,895 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current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6,398 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6,208 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Accrued expenses and other current liabilities</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24,185 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27,308 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current liabilities</w:t>
            </w:r>
          </w:p>
        </w:tc>
        <w:tc>
          <w:tcPr>
            <w:tcW w:w="108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32,704 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35,411 </w:t>
            </w:r>
          </w:p>
        </w:tc>
        <w:tc>
          <w:tcPr>
            <w:tcW w:w="177"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Operating lease liabilities, non-current</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58,716 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60,378 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45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liabilities, non-current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91,639 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96,007 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Commitments and contingencies (Note 6)</w:t>
            </w:r>
          </w:p>
        </w:tc>
        <w:tc>
          <w:tcPr>
            <w:tcW w:w="120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Stockholders’ equity:</w:t>
            </w:r>
          </w:p>
        </w:tc>
        <w:tc>
          <w:tcPr>
            <w:tcW w:w="120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54"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A common stock, $0.0001 par value; 2,500,000 shares authorized, 189,631 and 186,415 shares issued and outstanding as of March 31, 2024 and December 31, 2023, respectively</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7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Class B common stock, $0.0001 par value; 500,000 shares authorized, 201,251 and 201,960 shares issued and outstanding as of March 31, 2024 and December 31, 2023, respectively</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Additional paid-in capital</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1,335,525 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1,323,595 </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other comprehensive income</w:t>
            </w:r>
          </w:p>
        </w:tc>
        <w:tc>
          <w:tcPr>
            <w:tcW w:w="108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943 </w:t>
            </w:r>
          </w:p>
        </w:tc>
        <w:tc>
          <w:tcPr>
            <w:tcW w:w="177"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Accumulated deficit</w:t>
            </w:r>
          </w:p>
        </w:tc>
        <w:tc>
          <w:tcPr>
            <w:tcW w:w="108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(794,281)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(766,020)</w:t>
            </w:r>
          </w:p>
        </w:tc>
        <w:tc>
          <w:tcPr>
            <w:tcW w:w="177"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stockholders’ equity</w:t>
            </w:r>
          </w:p>
        </w:tc>
        <w:tc>
          <w:tcPr>
            <w:tcW w:w="108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541,442 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558,557 </w:t>
            </w:r>
          </w:p>
        </w:tc>
        <w:tc>
          <w:tcPr>
            <w:tcW w:w="17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liabilities and stockholders’ equity</w:t>
            </w:r>
          </w:p>
        </w:tc>
        <w:tc>
          <w:tcPr>
            <w:tcW w:w="2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633,081 </w:t>
            </w:r>
          </w:p>
        </w:tc>
        <w:tc>
          <w:tcPr>
            <w:tcW w:w="11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3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654,564 </w:t>
            </w:r>
          </w:p>
        </w:tc>
        <w:tc>
          <w:tcPr>
            <w:tcW w:w="177"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center"/>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46685"/>
                <wp:effectExtent l="0" t="0" r="0" b="0"/>
                <wp:wrapNone/>
                <wp:docPr id="7" name="Frame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76" w:before="0" w:after="180"/>
                        <w:ind w:left="0" w:right="0" w:firstLine="360"/>
                        <w:jc w:val="center"/>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6</w:t>
                      </w:r>
                    </w:p>
                  </w:txbxContent>
                </v:textbox>
                <w10:wrap type="none"/>
              </v:rect>
            </w:pict>
          </mc:Fallback>
        </mc:AlternateContent>
      </w:r>
    </w:p>
    <w:p>
      <w:pPr>
        <w:pStyle w:val="TextBody"/>
        <w:bidi w:val="0"/>
        <w:spacing w:lineRule="auto" w:line="288" w:before="0" w:after="180"/>
        <w:jc w:val="left"/>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OPERATIONS</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 except per share data)</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0205" w:type="dxa"/>
        <w:jc w:val="left"/>
        <w:tblInd w:w="0" w:type="dxa"/>
        <w:tblLayout w:type="fixed"/>
        <w:tblCellMar>
          <w:top w:w="28" w:type="dxa"/>
          <w:left w:w="28" w:type="dxa"/>
          <w:bottom w:w="28" w:type="dxa"/>
          <w:right w:w="28" w:type="dxa"/>
        </w:tblCellMar>
      </w:tblPr>
      <w:tblGrid>
        <w:gridCol w:w="2715"/>
        <w:gridCol w:w="2236"/>
        <w:gridCol w:w="2262"/>
        <w:gridCol w:w="211"/>
        <w:gridCol w:w="771"/>
        <w:gridCol w:w="109"/>
        <w:gridCol w:w="109"/>
        <w:gridCol w:w="109"/>
        <w:gridCol w:w="109"/>
        <w:gridCol w:w="211"/>
        <w:gridCol w:w="771"/>
        <w:gridCol w:w="109"/>
        <w:gridCol w:w="109"/>
        <w:gridCol w:w="109"/>
        <w:gridCol w:w="109"/>
        <w:gridCol w:w="156"/>
      </w:tblGrid>
      <w:tr>
        <w:trPr/>
        <w:tc>
          <w:tcPr>
            <w:tcW w:w="2715" w:type="dxa"/>
            <w:tcBorders/>
            <w:vAlign w:val="center"/>
          </w:tcPr>
          <w:p>
            <w:pPr>
              <w:pStyle w:val="TableContents"/>
              <w:bidi w:val="0"/>
              <w:spacing w:before="0" w:after="283"/>
              <w:jc w:val="left"/>
              <w:rPr>
                <w:sz w:val="4"/>
                <w:szCs w:val="4"/>
              </w:rPr>
            </w:pPr>
            <w:r>
              <w:rPr>
                <w:sz w:val="4"/>
                <w:szCs w:val="4"/>
              </w:rPr>
            </w:r>
          </w:p>
        </w:tc>
        <w:tc>
          <w:tcPr>
            <w:tcW w:w="2236" w:type="dxa"/>
            <w:tcBorders/>
            <w:vAlign w:val="center"/>
          </w:tcPr>
          <w:p>
            <w:pPr>
              <w:pStyle w:val="TableContents"/>
              <w:bidi w:val="0"/>
              <w:spacing w:before="0" w:after="283"/>
              <w:jc w:val="left"/>
              <w:rPr>
                <w:sz w:val="4"/>
                <w:szCs w:val="4"/>
              </w:rPr>
            </w:pPr>
            <w:r>
              <w:rPr>
                <w:sz w:val="4"/>
                <w:szCs w:val="4"/>
              </w:rPr>
            </w:r>
          </w:p>
        </w:tc>
        <w:tc>
          <w:tcPr>
            <w:tcW w:w="226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5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5" w:type="dxa"/>
            <w:gridSpan w:val="2"/>
            <w:tcBorders/>
          </w:tcPr>
          <w:p>
            <w:pPr>
              <w:pStyle w:val="TableContents"/>
              <w:bidi w:val="0"/>
              <w:spacing w:before="0" w:after="283"/>
              <w:jc w:val="left"/>
              <w:rPr>
                <w:sz w:val="4"/>
                <w:szCs w:val="4"/>
              </w:rPr>
            </w:pPr>
            <w:r>
              <w:rPr>
                <w:sz w:val="4"/>
                <w:szCs w:val="4"/>
              </w:rPr>
            </w:r>
          </w:p>
        </w:tc>
      </w:tr>
      <w:tr>
        <w:trPr/>
        <w:tc>
          <w:tcPr>
            <w:tcW w:w="7213"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1"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1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Class B common stockholders, basic and diluted</w:t>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71" w:type="dxa"/>
            <w:tcBorders>
              <w:top w:val="doub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top w:val="doub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ind w:left="0" w:right="0" w:hanging="180"/>
              <w:jc w:val="left"/>
              <w:rPr>
                <w:sz w:val="4"/>
                <w:szCs w:val="4"/>
              </w:rPr>
            </w:pPr>
            <w:r>
              <w:rPr>
                <w:sz w:val="4"/>
                <w:szCs w:val="4"/>
              </w:rPr>
            </w:r>
          </w:p>
        </w:tc>
      </w:tr>
      <w:tr>
        <w:trPr/>
        <w:tc>
          <w:tcPr>
            <w:tcW w:w="721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attributable to Class A and Class B common stockholders, basic and diluted</w:t>
            </w:r>
          </w:p>
        </w:tc>
        <w:tc>
          <w:tcPr>
            <w:tcW w:w="9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392,219 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2" w:type="dxa"/>
            <w:gridSpan w:val="2"/>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373,025 </w:t>
            </w:r>
          </w:p>
        </w:tc>
        <w:tc>
          <w:tcPr>
            <w:tcW w:w="109" w:type="dxa"/>
            <w:tcBorders>
              <w:top w:val="doub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6"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80"/>
        <w:jc w:val="left"/>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6">
                <wp:simplePos x="0" y="0"/>
                <wp:positionH relativeFrom="character">
                  <wp:align>left</wp:align>
                </wp:positionH>
                <wp:positionV relativeFrom="line">
                  <wp:posOffset>635</wp:posOffset>
                </wp:positionV>
                <wp:extent cx="6480175" cy="146685"/>
                <wp:effectExtent l="0" t="0" r="0" b="0"/>
                <wp:wrapNone/>
                <wp:docPr id="8" name="Frame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txbxContent>
                </v:textbox>
                <w10:wrap type="none"/>
              </v:rect>
            </w:pict>
          </mc:Fallback>
        </mc:AlternateContent>
      </w:r>
    </w:p>
    <w:p>
      <w:pPr>
        <w:pStyle w:val="TextBody"/>
        <w:bidi w:val="0"/>
        <w:spacing w:lineRule="auto" w:line="288" w:before="0" w:after="180"/>
        <w:jc w:val="left"/>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CONDENSED CONSOLIDATED STATEMENTS OF COMPREHENSIVE LOSS </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9249" w:type="dxa"/>
        <w:jc w:val="left"/>
        <w:tblInd w:w="0" w:type="dxa"/>
        <w:tblLayout w:type="fixed"/>
        <w:tblCellMar>
          <w:top w:w="28" w:type="dxa"/>
          <w:left w:w="28" w:type="dxa"/>
          <w:bottom w:w="28" w:type="dxa"/>
          <w:right w:w="28" w:type="dxa"/>
        </w:tblCellMar>
      </w:tblPr>
      <w:tblGrid>
        <w:gridCol w:w="2249"/>
        <w:gridCol w:w="1961"/>
        <w:gridCol w:w="1999"/>
        <w:gridCol w:w="211"/>
        <w:gridCol w:w="796"/>
        <w:gridCol w:w="109"/>
        <w:gridCol w:w="109"/>
        <w:gridCol w:w="109"/>
        <w:gridCol w:w="109"/>
        <w:gridCol w:w="211"/>
        <w:gridCol w:w="796"/>
        <w:gridCol w:w="109"/>
        <w:gridCol w:w="109"/>
        <w:gridCol w:w="109"/>
        <w:gridCol w:w="109"/>
        <w:gridCol w:w="154"/>
      </w:tblGrid>
      <w:tr>
        <w:trPr/>
        <w:tc>
          <w:tcPr>
            <w:tcW w:w="2249" w:type="dxa"/>
            <w:tcBorders/>
            <w:vAlign w:val="center"/>
          </w:tcPr>
          <w:p>
            <w:pPr>
              <w:pStyle w:val="TableContents"/>
              <w:bidi w:val="0"/>
              <w:spacing w:before="0" w:after="283"/>
              <w:jc w:val="left"/>
              <w:rPr>
                <w:sz w:val="4"/>
                <w:szCs w:val="4"/>
              </w:rPr>
            </w:pPr>
            <w:r>
              <w:rPr>
                <w:sz w:val="4"/>
                <w:szCs w:val="4"/>
              </w:rPr>
            </w:r>
          </w:p>
        </w:tc>
        <w:tc>
          <w:tcPr>
            <w:tcW w:w="1961" w:type="dxa"/>
            <w:tcBorders/>
            <w:vAlign w:val="center"/>
          </w:tcPr>
          <w:p>
            <w:pPr>
              <w:pStyle w:val="TableContents"/>
              <w:bidi w:val="0"/>
              <w:spacing w:before="0" w:after="283"/>
              <w:jc w:val="left"/>
              <w:rPr>
                <w:sz w:val="4"/>
                <w:szCs w:val="4"/>
              </w:rPr>
            </w:pPr>
            <w:r>
              <w:rPr>
                <w:sz w:val="4"/>
                <w:szCs w:val="4"/>
              </w:rPr>
            </w:r>
          </w:p>
        </w:tc>
        <w:tc>
          <w:tcPr>
            <w:tcW w:w="199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16"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ind w:left="0" w:right="0" w:hanging="180"/>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comprehensive income (loss):</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Foreign currency translation adjustments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Change in unrealized gain (loss) on available-for-sale marketable securities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other comprehensive income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(784)</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62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Comprehensive loss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(29,045)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(32,206)</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7">
                <wp:simplePos x="0" y="0"/>
                <wp:positionH relativeFrom="character">
                  <wp:align>left</wp:align>
                </wp:positionH>
                <wp:positionV relativeFrom="line">
                  <wp:posOffset>635</wp:posOffset>
                </wp:positionV>
                <wp:extent cx="6480175" cy="146685"/>
                <wp:effectExtent l="0" t="0" r="0" b="0"/>
                <wp:wrapNone/>
                <wp:docPr id="9" name="Frame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8</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ind w:left="0" w:right="0" w:firstLine="72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STOCKHOLDERS’ EQUITY</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11790" w:type="dxa"/>
        <w:jc w:val="center"/>
        <w:tblInd w:w="0" w:type="dxa"/>
        <w:tblLayout w:type="fixed"/>
        <w:tblCellMar>
          <w:top w:w="28" w:type="dxa"/>
          <w:left w:w="28" w:type="dxa"/>
          <w:bottom w:w="28" w:type="dxa"/>
          <w:right w:w="28" w:type="dxa"/>
        </w:tblCellMar>
      </w:tblPr>
      <w:tblGrid>
        <w:gridCol w:w="649"/>
        <w:gridCol w:w="268"/>
        <w:gridCol w:w="269"/>
        <w:gridCol w:w="368"/>
        <w:gridCol w:w="368"/>
        <w:gridCol w:w="196"/>
        <w:gridCol w:w="109"/>
        <w:gridCol w:w="109"/>
        <w:gridCol w:w="109"/>
        <w:gridCol w:w="251"/>
        <w:gridCol w:w="331"/>
        <w:gridCol w:w="109"/>
        <w:gridCol w:w="109"/>
        <w:gridCol w:w="109"/>
        <w:gridCol w:w="109"/>
        <w:gridCol w:w="368"/>
        <w:gridCol w:w="368"/>
        <w:gridCol w:w="196"/>
        <w:gridCol w:w="109"/>
        <w:gridCol w:w="109"/>
        <w:gridCol w:w="109"/>
        <w:gridCol w:w="251"/>
        <w:gridCol w:w="331"/>
        <w:gridCol w:w="109"/>
        <w:gridCol w:w="109"/>
        <w:gridCol w:w="109"/>
        <w:gridCol w:w="109"/>
        <w:gridCol w:w="196"/>
        <w:gridCol w:w="871"/>
        <w:gridCol w:w="109"/>
        <w:gridCol w:w="109"/>
        <w:gridCol w:w="109"/>
        <w:gridCol w:w="109"/>
        <w:gridCol w:w="272"/>
        <w:gridCol w:w="792"/>
        <w:gridCol w:w="152"/>
        <w:gridCol w:w="109"/>
        <w:gridCol w:w="109"/>
        <w:gridCol w:w="109"/>
        <w:gridCol w:w="196"/>
        <w:gridCol w:w="751"/>
        <w:gridCol w:w="109"/>
        <w:gridCol w:w="109"/>
        <w:gridCol w:w="109"/>
        <w:gridCol w:w="109"/>
        <w:gridCol w:w="292"/>
        <w:gridCol w:w="1098"/>
        <w:gridCol w:w="231"/>
      </w:tblGrid>
      <w:tr>
        <w:trPr/>
        <w:tc>
          <w:tcPr>
            <w:tcW w:w="649" w:type="dxa"/>
            <w:tcBorders/>
            <w:vAlign w:val="center"/>
          </w:tcPr>
          <w:p>
            <w:pPr>
              <w:pStyle w:val="TableContents"/>
              <w:bidi w:val="0"/>
              <w:spacing w:before="0" w:after="283"/>
              <w:jc w:val="left"/>
              <w:rPr>
                <w:sz w:val="4"/>
                <w:szCs w:val="4"/>
              </w:rPr>
            </w:pPr>
            <w:r>
              <w:rPr>
                <w:sz w:val="4"/>
                <w:szCs w:val="4"/>
              </w:rPr>
            </w:r>
          </w:p>
        </w:tc>
        <w:tc>
          <w:tcPr>
            <w:tcW w:w="268" w:type="dxa"/>
            <w:tcBorders/>
            <w:vAlign w:val="center"/>
          </w:tcPr>
          <w:p>
            <w:pPr>
              <w:pStyle w:val="TableContents"/>
              <w:bidi w:val="0"/>
              <w:spacing w:before="0" w:after="283"/>
              <w:jc w:val="left"/>
              <w:rPr>
                <w:sz w:val="4"/>
                <w:szCs w:val="4"/>
              </w:rPr>
            </w:pPr>
            <w:r>
              <w:rPr>
                <w:sz w:val="4"/>
                <w:szCs w:val="4"/>
              </w:rPr>
            </w:r>
          </w:p>
        </w:tc>
        <w:tc>
          <w:tcPr>
            <w:tcW w:w="26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368"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1"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8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72" w:type="dxa"/>
            <w:tcBorders/>
            <w:vAlign w:val="center"/>
          </w:tcPr>
          <w:p>
            <w:pPr>
              <w:pStyle w:val="TableContents"/>
              <w:bidi w:val="0"/>
              <w:spacing w:before="0" w:after="283"/>
              <w:jc w:val="left"/>
              <w:rPr>
                <w:sz w:val="4"/>
                <w:szCs w:val="4"/>
              </w:rPr>
            </w:pPr>
            <w:r>
              <w:rPr>
                <w:sz w:val="4"/>
                <w:szCs w:val="4"/>
              </w:rPr>
            </w:r>
          </w:p>
        </w:tc>
        <w:tc>
          <w:tcPr>
            <w:tcW w:w="792" w:type="dxa"/>
            <w:tcBorders/>
            <w:vAlign w:val="center"/>
          </w:tcPr>
          <w:p>
            <w:pPr>
              <w:pStyle w:val="TableContents"/>
              <w:bidi w:val="0"/>
              <w:spacing w:before="0" w:after="283"/>
              <w:jc w:val="left"/>
              <w:rPr>
                <w:sz w:val="4"/>
                <w:szCs w:val="4"/>
              </w:rPr>
            </w:pPr>
            <w:r>
              <w:rPr>
                <w:sz w:val="4"/>
                <w:szCs w:val="4"/>
              </w:rPr>
            </w:r>
          </w:p>
        </w:tc>
        <w:tc>
          <w:tcPr>
            <w:tcW w:w="1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6" w:type="dxa"/>
            <w:tcBorders/>
            <w:vAlign w:val="center"/>
          </w:tcPr>
          <w:p>
            <w:pPr>
              <w:pStyle w:val="TableContents"/>
              <w:bidi w:val="0"/>
              <w:spacing w:before="0" w:after="283"/>
              <w:jc w:val="left"/>
              <w:rPr>
                <w:sz w:val="4"/>
                <w:szCs w:val="4"/>
              </w:rPr>
            </w:pPr>
            <w:r>
              <w:rPr>
                <w:sz w:val="4"/>
                <w:szCs w:val="4"/>
              </w:rPr>
            </w:r>
          </w:p>
        </w:tc>
        <w:tc>
          <w:tcPr>
            <w:tcW w:w="7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2" w:type="dxa"/>
            <w:tcBorders/>
            <w:vAlign w:val="center"/>
          </w:tcPr>
          <w:p>
            <w:pPr>
              <w:pStyle w:val="TableContents"/>
              <w:bidi w:val="0"/>
              <w:spacing w:before="0" w:after="283"/>
              <w:jc w:val="left"/>
              <w:rPr>
                <w:sz w:val="4"/>
                <w:szCs w:val="4"/>
              </w:rPr>
            </w:pPr>
            <w:r>
              <w:rPr>
                <w:sz w:val="4"/>
                <w:szCs w:val="4"/>
              </w:rPr>
            </w:r>
          </w:p>
        </w:tc>
        <w:tc>
          <w:tcPr>
            <w:tcW w:w="1098" w:type="dxa"/>
            <w:tcBorders/>
            <w:vAlign w:val="center"/>
          </w:tcPr>
          <w:p>
            <w:pPr>
              <w:pStyle w:val="TableContents"/>
              <w:bidi w:val="0"/>
              <w:spacing w:before="0" w:after="283"/>
              <w:jc w:val="left"/>
              <w:rPr>
                <w:sz w:val="4"/>
                <w:szCs w:val="4"/>
              </w:rPr>
            </w:pPr>
            <w:r>
              <w:rPr>
                <w:sz w:val="4"/>
                <w:szCs w:val="4"/>
              </w:rPr>
            </w:r>
          </w:p>
        </w:tc>
        <w:tc>
          <w:tcPr>
            <w:tcW w:w="231" w:type="dxa"/>
            <w:tcBorders/>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2024</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Income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2023</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186,415 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201,960 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1,323,595 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(766,020)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558,557 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of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4,242 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on release of restricted stock units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(4,448)</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(9,751)</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from Class B to Class A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(709)</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2,306 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407 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19,506 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(784)</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(28,261)</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2024</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189,631 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201,251 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1,335,525 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159 </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(794,281)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541,442 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tcBorders>
              <w:top w:val="doub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04" w:type="dxa"/>
            <w:gridSpan w:val="4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 2023</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A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5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Class B Common Stock</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Additional</w:t>
              <w:br/>
              <w:t>Paid-in</w:t>
              <w:br/>
              <w:t>Capital</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 Other Comprehensive 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6"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Accumulated</w:t>
              <w:br/>
              <w:t>Deficit</w:t>
            </w:r>
          </w:p>
        </w:tc>
        <w:tc>
          <w:tcPr>
            <w:tcW w:w="327" w:type="dxa"/>
            <w:gridSpan w:val="3"/>
            <w:vMerge w:val="restart"/>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21" w:type="dxa"/>
            <w:gridSpan w:val="3"/>
            <w:vMerge w:val="restart"/>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 Stockholders’Equity</w:t>
            </w:r>
          </w:p>
        </w:tc>
      </w:tr>
      <w:tr>
        <w:trPr/>
        <w:tc>
          <w:tcPr>
            <w:tcW w:w="118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Shares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Amount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1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c>
          <w:tcPr>
            <w:tcW w:w="1056"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c>
          <w:tcPr>
            <w:tcW w:w="327" w:type="dxa"/>
            <w:gridSpan w:val="3"/>
            <w:vMerge w:val="continue"/>
            <w:tcBorders>
              <w:top w:val="single" w:sz="8" w:space="0" w:color="000000"/>
            </w:tcBorders>
            <w:tcMar>
              <w:left w:w="0" w:type="dxa"/>
              <w:bottom w:w="0" w:type="dxa"/>
              <w:right w:w="0" w:type="dxa"/>
            </w:tcMar>
            <w:vAlign w:val="center"/>
          </w:tcPr>
          <w:p>
            <w:pPr>
              <w:pStyle w:val="Normal"/>
              <w:bidi w:val="0"/>
              <w:jc w:val="left"/>
              <w:rPr/>
            </w:pPr>
            <w:r>
              <w:rPr/>
            </w:r>
          </w:p>
        </w:tc>
        <w:tc>
          <w:tcPr>
            <w:tcW w:w="1621" w:type="dxa"/>
            <w:gridSpan w:val="3"/>
            <w:vMerge w:val="continue"/>
            <w:tcBorders>
              <w:top w:val="single" w:sz="8" w:space="0" w:color="000000"/>
            </w:tcBorders>
            <w:tcMar>
              <w:top w:w="30" w:type="dxa"/>
              <w:left w:w="0" w:type="dxa"/>
              <w:bottom w:w="0" w:type="dxa"/>
              <w:right w:w="0" w:type="dxa"/>
            </w:tcMar>
            <w:vAlign w:val="center"/>
          </w:tcPr>
          <w:p>
            <w:pPr>
              <w:pStyle w:val="Normal"/>
              <w:bidi w:val="0"/>
              <w:jc w:val="left"/>
              <w:rPr/>
            </w:pPr>
            <w:r>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December 31, 2022</w:t>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153,693 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218,029 </w:t>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1,231,482 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(2,196)</w:t>
            </w:r>
          </w:p>
        </w:tc>
        <w:tc>
          <w:tcPr>
            <w:tcW w:w="15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(618,255)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611,068 </w:t>
            </w:r>
          </w:p>
        </w:tc>
        <w:tc>
          <w:tcPr>
            <w:tcW w:w="2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Release of restricted stock units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1,935 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Conversion from Class B to Class A common stock</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(2,433)</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upon exercise of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297 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2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Issuance of common stock under employee stock purchase plan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560 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early exercised stock options</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15,816 </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 comprehensive income</w:t>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1,510 </w:t>
            </w:r>
          </w:p>
        </w:tc>
        <w:tc>
          <w:tcPr>
            <w:tcW w:w="15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1,510 </w:t>
            </w:r>
          </w:p>
        </w:tc>
        <w:tc>
          <w:tcPr>
            <w:tcW w:w="231"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9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8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(33,716)</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9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(33,716)</w:t>
            </w:r>
          </w:p>
        </w:tc>
        <w:tc>
          <w:tcPr>
            <w:tcW w:w="231"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1186"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Balances as of March 31, 2023</w:t>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158,918 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36"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215,596 </w:t>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3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87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1,249,043 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(686)</w:t>
            </w:r>
          </w:p>
        </w:tc>
        <w:tc>
          <w:tcPr>
            <w:tcW w:w="15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5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(651,971)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1098"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596,424 </w:t>
            </w:r>
          </w:p>
        </w:tc>
        <w:tc>
          <w:tcPr>
            <w:tcW w:w="23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72" w:type="dxa"/>
            <w:gridSpan w:val="42"/>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331" w:type="dxa"/>
            <w:gridSpan w:val="12"/>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7" w:type="dxa"/>
            <w:gridSpan w:val="15"/>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9672" w:type="dxa"/>
            <w:gridSpan w:val="42"/>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331" w:type="dxa"/>
            <w:gridSpan w:val="12"/>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4547" w:type="dxa"/>
            <w:gridSpan w:val="15"/>
            <w:tcBorders/>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r>
        <w:trPr/>
        <w:tc>
          <w:tcPr>
            <w:tcW w:w="1186"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93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69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7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1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5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621" w:type="dxa"/>
            <w:gridSpan w:val="3"/>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120"/>
        <w:jc w:val="left"/>
        <w:rPr/>
      </w:pPr>
      <w:r>
        <w:rPr/>
      </w:r>
    </w:p>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8">
                <wp:simplePos x="0" y="0"/>
                <wp:positionH relativeFrom="character">
                  <wp:align>left</wp:align>
                </wp:positionH>
                <wp:positionV relativeFrom="line">
                  <wp:posOffset>635</wp:posOffset>
                </wp:positionV>
                <wp:extent cx="6480175" cy="146685"/>
                <wp:effectExtent l="0" t="0" r="0" b="0"/>
                <wp:wrapNone/>
                <wp:docPr id="10" name="Frame1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9</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Nextdoor Holdings, Inc.</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CONDENSED CONSOLIDATED STATEMENTS OF CASH FLOWS</w:t>
      </w:r>
    </w:p>
    <w:p>
      <w:pPr>
        <w:pStyle w:val="TextBody"/>
        <w:bidi w:val="0"/>
        <w:spacing w:lineRule="auto" w:line="288" w:before="0" w:after="0"/>
        <w:jc w:val="center"/>
        <w:rPr>
          <w:rFonts w:ascii="Times New Roman;sans-serif" w:hAnsi="Times New Roman;sans-serif"/>
          <w:b w:val="false"/>
          <w:i/>
          <w:color w:val="000000"/>
          <w:sz w:val="18"/>
        </w:rPr>
      </w:pPr>
      <w:r>
        <w:rPr>
          <w:rFonts w:ascii="Times New Roman;sans-serif" w:hAnsi="Times New Roman;sans-serif"/>
          <w:b w:val="false"/>
          <w:i/>
          <w:color w:val="000000"/>
          <w:sz w:val="18"/>
        </w:rPr>
        <w:t>(in thousands)</w:t>
      </w:r>
    </w:p>
    <w:p>
      <w:pPr>
        <w:pStyle w:val="TextBody"/>
        <w:bidi w:val="0"/>
        <w:spacing w:lineRule="auto" w:line="288" w:before="0" w:after="180"/>
        <w:jc w:val="center"/>
        <w:rPr>
          <w:rFonts w:ascii="Times New Roman;sans-serif" w:hAnsi="Times New Roman;sans-serif"/>
          <w:b w:val="false"/>
          <w:i/>
          <w:color w:val="000000"/>
          <w:sz w:val="18"/>
        </w:rPr>
      </w:pPr>
      <w:r>
        <w:rPr>
          <w:rFonts w:ascii="Times New Roman;sans-serif" w:hAnsi="Times New Roman;sans-serif"/>
          <w:b w:val="false"/>
          <w:i/>
          <w:color w:val="000000"/>
          <w:sz w:val="18"/>
        </w:rPr>
        <w:t>(Unaudited)</w:t>
      </w:r>
    </w:p>
    <w:tbl>
      <w:tblPr>
        <w:tblW w:w="9743" w:type="dxa"/>
        <w:jc w:val="left"/>
        <w:tblInd w:w="0" w:type="dxa"/>
        <w:tblLayout w:type="fixed"/>
        <w:tblCellMar>
          <w:top w:w="28" w:type="dxa"/>
          <w:left w:w="28" w:type="dxa"/>
          <w:bottom w:w="28" w:type="dxa"/>
          <w:right w:w="28" w:type="dxa"/>
        </w:tblCellMar>
      </w:tblPr>
      <w:tblGrid>
        <w:gridCol w:w="2646"/>
        <w:gridCol w:w="2320"/>
        <w:gridCol w:w="2338"/>
        <w:gridCol w:w="197"/>
        <w:gridCol w:w="727"/>
        <w:gridCol w:w="109"/>
        <w:gridCol w:w="109"/>
        <w:gridCol w:w="109"/>
        <w:gridCol w:w="109"/>
        <w:gridCol w:w="197"/>
        <w:gridCol w:w="727"/>
        <w:gridCol w:w="155"/>
      </w:tblGrid>
      <w:tr>
        <w:trPr/>
        <w:tc>
          <w:tcPr>
            <w:tcW w:w="2646" w:type="dxa"/>
            <w:tcBorders/>
            <w:vAlign w:val="center"/>
          </w:tcPr>
          <w:p>
            <w:pPr>
              <w:pStyle w:val="TableContents"/>
              <w:bidi w:val="0"/>
              <w:spacing w:before="0" w:after="283"/>
              <w:jc w:val="left"/>
              <w:rPr>
                <w:sz w:val="4"/>
                <w:szCs w:val="4"/>
              </w:rPr>
            </w:pPr>
            <w:r>
              <w:rPr>
                <w:sz w:val="4"/>
                <w:szCs w:val="4"/>
              </w:rPr>
            </w:r>
          </w:p>
        </w:tc>
        <w:tc>
          <w:tcPr>
            <w:tcW w:w="2320" w:type="dxa"/>
            <w:tcBorders/>
            <w:vAlign w:val="center"/>
          </w:tcPr>
          <w:p>
            <w:pPr>
              <w:pStyle w:val="TableContents"/>
              <w:bidi w:val="0"/>
              <w:spacing w:before="0" w:after="283"/>
              <w:jc w:val="left"/>
              <w:rPr>
                <w:sz w:val="4"/>
                <w:szCs w:val="4"/>
              </w:rPr>
            </w:pPr>
            <w:r>
              <w:rPr>
                <w:sz w:val="4"/>
                <w:szCs w:val="4"/>
              </w:rPr>
            </w:r>
          </w:p>
        </w:tc>
        <w:tc>
          <w:tcPr>
            <w:tcW w:w="2338"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7" w:type="dxa"/>
            <w:tcBorders/>
            <w:vAlign w:val="center"/>
          </w:tcPr>
          <w:p>
            <w:pPr>
              <w:pStyle w:val="TableContents"/>
              <w:bidi w:val="0"/>
              <w:spacing w:before="0" w:after="283"/>
              <w:jc w:val="left"/>
              <w:rPr>
                <w:sz w:val="4"/>
                <w:szCs w:val="4"/>
              </w:rPr>
            </w:pPr>
            <w:r>
              <w:rPr>
                <w:sz w:val="4"/>
                <w:szCs w:val="4"/>
              </w:rPr>
            </w:r>
          </w:p>
        </w:tc>
        <w:tc>
          <w:tcPr>
            <w:tcW w:w="727"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730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operating activities</w:t>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loss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(28,261)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(33,716)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Adjustments to reconcile net loss to net cash used in operating activities: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Depreciation and amortization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1,451 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Stock-based compensation</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15,816 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Bad debt expense</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(15)</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Accretion of investments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(1,878)</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Other</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(269)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Changes in operating assets and liabilities:</w:t>
            </w:r>
          </w:p>
        </w:tc>
        <w:tc>
          <w:tcPr>
            <w:tcW w:w="103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receivable, net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Prepaid expenses and other assets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(1,731)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2,573 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right-of-use assets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1,180 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1,311 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Accounts payable</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498 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Operating lease liabilities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(1,472)</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(1,489)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Accrued expenses and other liabilities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(3,122)</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292 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used in operating activities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(13,627)</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(13,715)</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investing activities</w:t>
            </w:r>
          </w:p>
        </w:tc>
        <w:tc>
          <w:tcPr>
            <w:tcW w:w="103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(59)</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marketable securities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(52,637)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(190,007)</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Sales of marketable securities</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28,770 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42,684 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Maturities of marketable securities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67,277 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172,047 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Loan to Opportunity Finance Network</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(7,500)</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investing activities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35,890 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24,665 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Cash flows from financing activities</w:t>
            </w:r>
          </w:p>
        </w:tc>
        <w:tc>
          <w:tcPr>
            <w:tcW w:w="1033"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exercise of stock options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2,830 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537 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Proceeds from issuance of common stock under employee stock purchase plan</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606 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1,076 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Tax withholdings on release of restricted stock units</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(1,261)</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Repurchase of common stock</w:t>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(9,751)</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Prepayment under share repurchase program</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(5,317)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cash provided by (used in) financing activities</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(12,893)</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1,613 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Effect of exchange rate changes on cash and cash equivalents</w:t>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19 </w:t>
            </w:r>
          </w:p>
        </w:tc>
        <w:tc>
          <w:tcPr>
            <w:tcW w:w="1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Net increase in cash, cash equivalents, and restricted cash</w:t>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9,437 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12,582 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beginning of period</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71,404 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55,236 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cash equivalents, and restricted cash at end of period</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Reconciliation of cash, cash equivalents, and restricted cash to the consolidated balance sheets</w:t>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Cash and cash equivalents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69,670 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67,818 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Restricted cash, non-current</w:t>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11,171 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2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Total cash, cash equivalents, and restricted cash</w:t>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80,841 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67,818 </w:t>
            </w:r>
          </w:p>
        </w:tc>
        <w:tc>
          <w:tcPr>
            <w:tcW w:w="1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18"/>
              </w:rPr>
            </w:pPr>
            <w:r>
              <w:rPr>
                <w:rFonts w:ascii="Times New Roman;sans-serif" w:hAnsi="Times New Roman;sans-serif"/>
                <w:b/>
                <w:color w:val="000000"/>
                <w:sz w:val="18"/>
              </w:rPr>
              <w:t>Supplemental cash flow disclosures</w:t>
            </w:r>
          </w:p>
        </w:tc>
        <w:tc>
          <w:tcPr>
            <w:tcW w:w="1033"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top w:val="doub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7304" w:type="dxa"/>
            <w:gridSpan w:val="3"/>
            <w:tcBorders/>
            <w:vAlign w:val="center"/>
          </w:tcPr>
          <w:p>
            <w:pPr>
              <w:pStyle w:val="TableContents"/>
              <w:bidi w:val="0"/>
              <w:spacing w:before="0" w:after="283"/>
              <w:jc w:val="left"/>
              <w:rPr>
                <w:sz w:val="4"/>
                <w:szCs w:val="4"/>
              </w:rPr>
            </w:pPr>
            <w:r>
              <w:rPr>
                <w:sz w:val="4"/>
                <w:szCs w:val="4"/>
              </w:rPr>
            </w:r>
          </w:p>
        </w:tc>
        <w:tc>
          <w:tcPr>
            <w:tcW w:w="103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79"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Non-cash investing and financing activities:</w:t>
            </w:r>
          </w:p>
        </w:tc>
        <w:tc>
          <w:tcPr>
            <w:tcW w:w="103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9" w:type="dxa"/>
            <w:gridSpan w:val="3"/>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Vesting of restricted stock and early exercised stock options</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133 </w:t>
            </w:r>
          </w:p>
        </w:tc>
        <w:tc>
          <w:tcPr>
            <w:tcW w:w="155" w:type="dxa"/>
            <w:tcBorders/>
            <w:shd w:fill="CCEE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Lease liabilities arising from obtaining right-of-use assets</w:t>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10,665 </w:t>
            </w:r>
          </w:p>
        </w:tc>
        <w:tc>
          <w:tcPr>
            <w:tcW w:w="155"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7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Purchases of property and equipment not yet settled</w:t>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18"/>
              </w:rPr>
            </w:pPr>
            <w:r>
              <w:rPr>
                <w:rFonts w:ascii="Times New Roman;sans-serif" w:hAnsi="Times New Roman;sans-serif"/>
                <w:b w:val="false"/>
                <w:color w:val="000000"/>
                <w:sz w:val="18"/>
              </w:rPr>
              <w:t>$</w:t>
            </w:r>
          </w:p>
        </w:tc>
        <w:tc>
          <w:tcPr>
            <w:tcW w:w="72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18"/>
              </w:rPr>
            </w:pPr>
            <w:r>
              <w:rPr>
                <w:rFonts w:ascii="Times New Roman;sans-serif" w:hAnsi="Times New Roman;sans-serif"/>
                <w:b w:val="false"/>
                <w:color w:val="000000"/>
                <w:sz w:val="18"/>
              </w:rPr>
              <w:t>35 </w:t>
            </w:r>
          </w:p>
        </w:tc>
        <w:tc>
          <w:tcPr>
            <w:tcW w:w="1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The accompanying notes are an integral part of these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180" w:after="180"/>
        <w:jc w:val="center"/>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19">
                <wp:simplePos x="0" y="0"/>
                <wp:positionH relativeFrom="character">
                  <wp:align>left</wp:align>
                </wp:positionH>
                <wp:positionV relativeFrom="line">
                  <wp:posOffset>635</wp:posOffset>
                </wp:positionV>
                <wp:extent cx="6480175" cy="146685"/>
                <wp:effectExtent l="0" t="0" r="0" b="0"/>
                <wp:wrapNone/>
                <wp:docPr id="11" name="Frame1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10</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Notes to Condensed Consolidated Financial Statements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 Description of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Nextdoor Holdings, Inc. (“Nextdoor” or the “Company”) is headquartered in San Francisco, California. Nextdoor’s purpose is to cultivate a kinder world where everyone has a neighborhood they can rely on. That purpose enables the Company’s mission to be the neighborhood hub for trusted connections and the exchange of helpful information, goods, and services.</w:t>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On November 5, 2021 (the “Closing”), the Company consummated the transactions contemplated by the Agreement and Plan of Merger, dated July 6, 2021, as amended on September 30, 2021, by and among Khosla Ventures Acquisition Co. II (“KVSB”), a special purpose acquisition company, Lorelei Merger Sub Inc., and Nextdoor, Inc. (“Legacy Nextdoor”), with Legacy Nextdoor surviving as a wholly owned subsidiary of KVSB (the “Merger” and, collectively with the other transactions that occurred in connection with the Merger, the “Reverse Recapitalization”). In connection with the Closing, KVSB was renamed to Nextdoor Holdings, Inc.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2. Summary of Significant Accounting Policies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Basis of Presentation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unaudited condensed consolidated financial statements have been prepared in accordance with U.S. generally accepted accounting principles (“GAAP”) and include the accounts of the Company and its wholly owned subsidiaries. All intercompany balances and transactions have been eliminated in consolidation. The Company’s fiscal year ends on December 31.</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condensed consolidated balance sheet as of December 31, 2023 included herein was derived from the audited financial statements as of that date. The Company has condensed or omitted certain information and note disclosures normally included in financial statements prepared in accordance with GAAP pursuant to the applicable required disclosures and regulations of the U.S. Securities and Exchange Commission (“SEC”). As such, these unaudited condensed consolidated financial statements should be read in conjunction with the audited consolidated financial statements and the related notes thereto included in the Company’s Annual Report on Form 10-K for the year ended December 31, 2023.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management’s opinion, the unaudited condensed consolidated financial statements have been prepared on the same basis as the annual financial statements and reflect all adjustments, which include only normal recurring adjustments necessary for the fair statement of the Company’s financial position, results of operations, and cash flows. The results for the interim periods presented are not necessarily indicative of the results to be expected for the full year ending December 31, 2024 or any other future interim or annual period.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Use of Estimates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preparation of financial statements in conformity with GAAP requires management to make estimates and assumptions that affect the amounts reported in the unaudited condensed consolidated financial statements and accompanying notes. Estimates include, but are not limited to, valuation of financial instruments, valuation of common stock through the date of the Reverse Recapitalization, valuation of stock-based awards, revenue recognition, collectability of accounts receivable, valuation of acquired intangible assets and goodwill, useful lives of intangible assets, useful lives of property and equipment, the incremental borrowing rate applied in lease accounting, income taxes and deferred income tax assets and associated valuation allowances. The Company bases these estimates and assumptions on historical experience and various other assumptions that it considers reasonable. The actual results could differ materially from these estimates.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Significant Accounting Policies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changes to the Company’s significant accounting policies disclosed in Note 2 to the consolidated financial statements described in the Company’s Annual Report on Form 10-K as of and for the year ended December 31, 2023 that have had a material impact on the Company’s condensed consolidated financial statements and related notes.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Recently Issued Accounting Pronouncements Not Yet Adopted</w:t>
      </w:r>
    </w:p>
    <w:p>
      <w:pPr>
        <w:pStyle w:val="TextBody"/>
        <w:bidi w:val="0"/>
        <w:spacing w:lineRule="auto" w:line="288" w:before="0" w:after="180"/>
        <w:jc w:val="both"/>
        <w:rPr/>
      </w:pPr>
      <w:r>
        <w:rPr>
          <w:rFonts w:ascii="Times New Roman;sans-serif" w:hAnsi="Times New Roman;sans-serif"/>
          <w:b w:val="false"/>
          <w:color w:val="000000"/>
          <w:sz w:val="20"/>
        </w:rPr>
        <w:t xml:space="preserve">In November 2023, the Financial Accounting Standards Board (“FASB”) issued Accounting Standards Update (“ASU”) 2023-07, </w:t>
      </w:r>
      <w:r>
        <w:rPr>
          <w:rFonts w:ascii="Times New Roman;sans-serif" w:hAnsi="Times New Roman;sans-serif"/>
          <w:b w:val="false"/>
          <w:i/>
          <w:color w:val="000000"/>
          <w:sz w:val="20"/>
        </w:rPr>
        <w:t>Segment Reporting (Topic 280): Improvements to Reportable Segment Disclosures</w:t>
      </w:r>
      <w:r>
        <w:rPr>
          <w:rFonts w:ascii="Times New Roman;sans-serif" w:hAnsi="Times New Roman;sans-serif"/>
          <w:b w:val="false"/>
          <w:color w:val="000000"/>
          <w:sz w:val="20"/>
        </w:rPr>
        <w:t xml:space="preserve">, which expands annual and interim disclosure requirements for reportable segments, primarily through enhanced disclosures about significant segment expenses. The ASU is effective for fiscal years beginning after December 15, 2023, and interim periods within fiscal years beginning after December 15,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0">
                <wp:simplePos x="0" y="0"/>
                <wp:positionH relativeFrom="character">
                  <wp:align>left</wp:align>
                </wp:positionH>
                <wp:positionV relativeFrom="line">
                  <wp:posOffset>635</wp:posOffset>
                </wp:positionV>
                <wp:extent cx="6480175" cy="146685"/>
                <wp:effectExtent l="0" t="0" r="0" b="0"/>
                <wp:wrapNone/>
                <wp:docPr id="12" name="Frame1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11</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2024, with early adoption permitted. The Company is currently evaluating the impact of this standard on its consolidated financial statements and related disclosures.</w:t>
      </w:r>
    </w:p>
    <w:p>
      <w:pPr>
        <w:pStyle w:val="TextBody"/>
        <w:bidi w:val="0"/>
        <w:spacing w:lineRule="auto" w:line="288" w:before="0" w:after="180"/>
        <w:jc w:val="both"/>
        <w:rPr/>
      </w:pPr>
      <w:r>
        <w:rPr>
          <w:rFonts w:ascii="Times New Roman;sans-serif" w:hAnsi="Times New Roman;sans-serif"/>
          <w:b w:val="false"/>
          <w:color w:val="000000"/>
          <w:sz w:val="20"/>
        </w:rPr>
        <w:t xml:space="preserve">In December 2023, the FASB issued ASU 2023-09, </w:t>
      </w:r>
      <w:r>
        <w:rPr>
          <w:rFonts w:ascii="Times New Roman;sans-serif" w:hAnsi="Times New Roman;sans-serif"/>
          <w:b w:val="false"/>
          <w:i/>
          <w:color w:val="000000"/>
          <w:sz w:val="20"/>
        </w:rPr>
        <w:t>Income Taxes (Topic 740): Improvements to Income Tax Disclosures</w:t>
      </w:r>
      <w:r>
        <w:rPr>
          <w:rFonts w:ascii="Times New Roman;sans-serif" w:hAnsi="Times New Roman;sans-serif"/>
          <w:b w:val="false"/>
          <w:color w:val="000000"/>
          <w:sz w:val="20"/>
        </w:rPr>
        <w:t>, which expands income tax disclosures primarily related to an entity’s rate reconciliation and information on income taxes paid. The ASU is effective for fiscal years beginning after December 15, 2024 with early adoption permitted. The Company is currently evaluating the impact of this standard on its consolidated financial statements and related disclosures.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3. Deferred Revenue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certain advertising arrangements the Company requires payment upfront from its customers. The Company records deferred revenue when it collects cash from customers in advance of revenue recognition. As of March 31, 2024 and December 31, 2023, deferred revenue was $9.3 million and $8.3 million, respectively, and included within accrued expenses and other current liabilities on the condensed consolidated balance sheets. For the three months ended March 31, 2024 and 2023, revenue recognized from deferred revenue at the beginning of each period was $1.1 million and $2.6 million, respectively.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4. Cash Equivalents and Marketable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amortized costs, unrealized gains and losses, and estimated fair values of the Company’s cash equivalents and marketable securities were as follows (in thousands):</w:t>
      </w:r>
    </w:p>
    <w:tbl>
      <w:tblPr>
        <w:tblW w:w="7409"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37"/>
        <w:gridCol w:w="525"/>
        <w:gridCol w:w="124"/>
        <w:gridCol w:w="109"/>
        <w:gridCol w:w="109"/>
        <w:gridCol w:w="109"/>
        <w:gridCol w:w="233"/>
        <w:gridCol w:w="541"/>
        <w:gridCol w:w="121"/>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525" w:type="dxa"/>
            <w:tcBorders/>
            <w:vAlign w:val="center"/>
          </w:tcPr>
          <w:p>
            <w:pPr>
              <w:pStyle w:val="TableContents"/>
              <w:bidi w:val="0"/>
              <w:spacing w:before="0" w:after="283"/>
              <w:jc w:val="left"/>
              <w:rPr>
                <w:sz w:val="4"/>
                <w:szCs w:val="4"/>
              </w:rPr>
            </w:pPr>
            <w:r>
              <w:rPr>
                <w:sz w:val="4"/>
                <w:szCs w:val="4"/>
              </w:rPr>
            </w:r>
          </w:p>
        </w:tc>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09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8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895"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8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40,320 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217,998 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556 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63,274 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7,035 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41,444 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93 </w:t>
            </w:r>
          </w:p>
        </w:tc>
        <w:tc>
          <w:tcPr>
            <w:tcW w:w="1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428,277 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6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2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12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473,150 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754 </w:t>
            </w:r>
          </w:p>
        </w:tc>
        <w:tc>
          <w:tcPr>
            <w:tcW w:w="12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1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1">
                <wp:simplePos x="0" y="0"/>
                <wp:positionH relativeFrom="character">
                  <wp:align>left</wp:align>
                </wp:positionH>
                <wp:positionV relativeFrom="line">
                  <wp:posOffset>635</wp:posOffset>
                </wp:positionV>
                <wp:extent cx="6480175" cy="146685"/>
                <wp:effectExtent l="0" t="0" r="0" b="0"/>
                <wp:wrapNone/>
                <wp:docPr id="13" name="Frame1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12</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tbl>
      <w:tblPr>
        <w:tblW w:w="7459" w:type="dxa"/>
        <w:jc w:val="left"/>
        <w:tblInd w:w="0" w:type="dxa"/>
        <w:tblLayout w:type="fixed"/>
        <w:tblCellMar>
          <w:top w:w="28" w:type="dxa"/>
          <w:left w:w="28" w:type="dxa"/>
          <w:bottom w:w="28" w:type="dxa"/>
          <w:right w:w="28" w:type="dxa"/>
        </w:tblCellMar>
      </w:tblPr>
      <w:tblGrid>
        <w:gridCol w:w="837"/>
        <w:gridCol w:w="734"/>
        <w:gridCol w:w="739"/>
        <w:gridCol w:w="211"/>
        <w:gridCol w:w="826"/>
        <w:gridCol w:w="109"/>
        <w:gridCol w:w="109"/>
        <w:gridCol w:w="109"/>
        <w:gridCol w:w="109"/>
        <w:gridCol w:w="211"/>
        <w:gridCol w:w="616"/>
        <w:gridCol w:w="109"/>
        <w:gridCol w:w="109"/>
        <w:gridCol w:w="109"/>
        <w:gridCol w:w="109"/>
        <w:gridCol w:w="233"/>
        <w:gridCol w:w="541"/>
        <w:gridCol w:w="121"/>
        <w:gridCol w:w="109"/>
        <w:gridCol w:w="109"/>
        <w:gridCol w:w="109"/>
        <w:gridCol w:w="211"/>
        <w:gridCol w:w="826"/>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4"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5149" w:type="dxa"/>
            <w:gridSpan w:val="21"/>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Amortized</w:t>
              <w:br/>
              <w:t>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Gain</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Unrealized</w:t>
              <w:br/>
              <w:t>Loss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Estimated</w:t>
              <w:br/>
              <w:t>Fair Value</w:t>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39,484 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95"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38,253 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71,263 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226,495 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64,952 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29,918 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2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39,290 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2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4"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(534)</w:t>
            </w:r>
          </w:p>
        </w:tc>
        <w:tc>
          <w:tcPr>
            <w:tcW w:w="12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509,655 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1,231 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1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All marketable securities are designated as available-for-sale securities as of March 31, 2024 and December 31, 2023.</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following table summarizes the fair value and gross unrealized losses aggregated by category and the length of time that individual securities have been in a continuous unrealized loss position. </w:t>
      </w:r>
    </w:p>
    <w:tbl>
      <w:tblPr>
        <w:tblW w:w="10205" w:type="dxa"/>
        <w:jc w:val="left"/>
        <w:tblInd w:w="0" w:type="dxa"/>
        <w:tblLayout w:type="fixed"/>
        <w:tblCellMar>
          <w:top w:w="28" w:type="dxa"/>
          <w:left w:w="28" w:type="dxa"/>
          <w:bottom w:w="28" w:type="dxa"/>
          <w:right w:w="28" w:type="dxa"/>
        </w:tblCellMar>
      </w:tblPr>
      <w:tblGrid>
        <w:gridCol w:w="617"/>
        <w:gridCol w:w="467"/>
        <w:gridCol w:w="470"/>
        <w:gridCol w:w="211"/>
        <w:gridCol w:w="826"/>
        <w:gridCol w:w="109"/>
        <w:gridCol w:w="109"/>
        <w:gridCol w:w="109"/>
        <w:gridCol w:w="109"/>
        <w:gridCol w:w="325"/>
        <w:gridCol w:w="752"/>
        <w:gridCol w:w="169"/>
        <w:gridCol w:w="109"/>
        <w:gridCol w:w="109"/>
        <w:gridCol w:w="109"/>
        <w:gridCol w:w="211"/>
        <w:gridCol w:w="616"/>
        <w:gridCol w:w="109"/>
        <w:gridCol w:w="109"/>
        <w:gridCol w:w="109"/>
        <w:gridCol w:w="109"/>
        <w:gridCol w:w="361"/>
        <w:gridCol w:w="696"/>
        <w:gridCol w:w="188"/>
        <w:gridCol w:w="109"/>
        <w:gridCol w:w="109"/>
        <w:gridCol w:w="109"/>
        <w:gridCol w:w="211"/>
        <w:gridCol w:w="826"/>
        <w:gridCol w:w="109"/>
        <w:gridCol w:w="109"/>
        <w:gridCol w:w="109"/>
        <w:gridCol w:w="109"/>
        <w:gridCol w:w="319"/>
        <w:gridCol w:w="738"/>
        <w:gridCol w:w="240"/>
      </w:tblGrid>
      <w:tr>
        <w:trPr/>
        <w:tc>
          <w:tcPr>
            <w:tcW w:w="617"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25"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6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696" w:type="dxa"/>
            <w:tcBorders/>
            <w:vAlign w:val="center"/>
          </w:tcPr>
          <w:p>
            <w:pPr>
              <w:pStyle w:val="TableContents"/>
              <w:bidi w:val="0"/>
              <w:spacing w:before="0" w:after="283"/>
              <w:jc w:val="left"/>
              <w:rPr>
                <w:sz w:val="4"/>
                <w:szCs w:val="4"/>
              </w:rPr>
            </w:pPr>
            <w:r>
              <w:rPr>
                <w:sz w:val="4"/>
                <w:szCs w:val="4"/>
              </w:rPr>
            </w:r>
          </w:p>
        </w:tc>
        <w:tc>
          <w:tcPr>
            <w:tcW w:w="18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38" w:type="dxa"/>
            <w:tcBorders/>
            <w:vAlign w:val="center"/>
          </w:tcPr>
          <w:p>
            <w:pPr>
              <w:pStyle w:val="TableContents"/>
              <w:bidi w:val="0"/>
              <w:spacing w:before="0" w:after="283"/>
              <w:jc w:val="left"/>
              <w:rPr>
                <w:sz w:val="4"/>
                <w:szCs w:val="4"/>
              </w:rPr>
            </w:pPr>
            <w:r>
              <w:rPr>
                <w:sz w:val="4"/>
                <w:szCs w:val="4"/>
              </w:rPr>
            </w:r>
          </w:p>
        </w:tc>
        <w:tc>
          <w:tcPr>
            <w:tcW w:w="240" w:type="dxa"/>
            <w:tcBorders/>
            <w:vAlign w:val="center"/>
          </w:tcPr>
          <w:p>
            <w:pPr>
              <w:pStyle w:val="TableContents"/>
              <w:bidi w:val="0"/>
              <w:spacing w:before="0" w:after="283"/>
              <w:jc w:val="left"/>
              <w:rPr>
                <w:sz w:val="4"/>
                <w:szCs w:val="4"/>
              </w:rPr>
            </w:pPr>
            <w:r>
              <w:rPr>
                <w:sz w:val="4"/>
                <w:szCs w:val="4"/>
              </w:rPr>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51"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19"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0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70"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9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16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w:t>
            </w:r>
          </w:p>
        </w:tc>
        <w:tc>
          <w:tcPr>
            <w:tcW w:w="24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24,547 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54,227 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(127)</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5,931 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60,158 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62,253 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(685)</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16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6,986 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4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12,876 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w:t>
            </w:r>
          </w:p>
        </w:tc>
        <w:tc>
          <w:tcPr>
            <w:tcW w:w="16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w:t>
            </w:r>
          </w:p>
        </w:tc>
        <w:tc>
          <w:tcPr>
            <w:tcW w:w="18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13,461 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w:t>
            </w:r>
          </w:p>
        </w:tc>
        <w:tc>
          <w:tcPr>
            <w:tcW w:w="24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5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161,892 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(856)</w:t>
            </w:r>
          </w:p>
        </w:tc>
        <w:tc>
          <w:tcPr>
            <w:tcW w:w="16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18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168,408 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(908)</w:t>
            </w:r>
          </w:p>
        </w:tc>
        <w:tc>
          <w:tcPr>
            <w:tcW w:w="240"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TextBody"/>
        <w:bidi w:val="0"/>
        <w:spacing w:before="0" w:after="0"/>
        <w:jc w:val="both"/>
        <w:rPr/>
      </w:pPr>
      <w:r>
        <w:rPr/>
      </w:r>
    </w:p>
    <w:tbl>
      <w:tblPr>
        <w:tblW w:w="10205" w:type="dxa"/>
        <w:jc w:val="left"/>
        <w:tblInd w:w="0" w:type="dxa"/>
        <w:tblLayout w:type="fixed"/>
        <w:tblCellMar>
          <w:top w:w="28" w:type="dxa"/>
          <w:left w:w="28" w:type="dxa"/>
          <w:bottom w:w="28" w:type="dxa"/>
          <w:right w:w="28" w:type="dxa"/>
        </w:tblCellMar>
      </w:tblPr>
      <w:tblGrid>
        <w:gridCol w:w="587"/>
        <w:gridCol w:w="470"/>
        <w:gridCol w:w="471"/>
        <w:gridCol w:w="211"/>
        <w:gridCol w:w="826"/>
        <w:gridCol w:w="109"/>
        <w:gridCol w:w="109"/>
        <w:gridCol w:w="109"/>
        <w:gridCol w:w="109"/>
        <w:gridCol w:w="319"/>
        <w:gridCol w:w="736"/>
        <w:gridCol w:w="165"/>
        <w:gridCol w:w="109"/>
        <w:gridCol w:w="109"/>
        <w:gridCol w:w="109"/>
        <w:gridCol w:w="211"/>
        <w:gridCol w:w="721"/>
        <w:gridCol w:w="109"/>
        <w:gridCol w:w="109"/>
        <w:gridCol w:w="109"/>
        <w:gridCol w:w="109"/>
        <w:gridCol w:w="354"/>
        <w:gridCol w:w="682"/>
        <w:gridCol w:w="184"/>
        <w:gridCol w:w="109"/>
        <w:gridCol w:w="109"/>
        <w:gridCol w:w="109"/>
        <w:gridCol w:w="211"/>
        <w:gridCol w:w="826"/>
        <w:gridCol w:w="109"/>
        <w:gridCol w:w="109"/>
        <w:gridCol w:w="109"/>
        <w:gridCol w:w="109"/>
        <w:gridCol w:w="313"/>
        <w:gridCol w:w="723"/>
        <w:gridCol w:w="233"/>
      </w:tblGrid>
      <w:tr>
        <w:trPr/>
        <w:tc>
          <w:tcPr>
            <w:tcW w:w="587"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9"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1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682" w:type="dxa"/>
            <w:tcBorders/>
            <w:vAlign w:val="center"/>
          </w:tcPr>
          <w:p>
            <w:pPr>
              <w:pStyle w:val="TableContents"/>
              <w:bidi w:val="0"/>
              <w:spacing w:before="0" w:after="283"/>
              <w:jc w:val="left"/>
              <w:rPr>
                <w:sz w:val="4"/>
                <w:szCs w:val="4"/>
              </w:rPr>
            </w:pPr>
            <w:r>
              <w:rPr>
                <w:sz w:val="4"/>
                <w:szCs w:val="4"/>
              </w:rPr>
            </w:r>
          </w:p>
        </w:tc>
        <w:tc>
          <w:tcPr>
            <w:tcW w:w="18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13"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r>
      <w:tr>
        <w:trPr/>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77" w:type="dxa"/>
            <w:gridSpan w:val="3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93"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Less than 12 Months</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88"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12 Months or Greater</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42"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1528"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6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Gross Unrealized Loss</w:t>
            </w:r>
          </w:p>
        </w:tc>
      </w:tr>
      <w:tr>
        <w:trPr/>
        <w:tc>
          <w:tcPr>
            <w:tcW w:w="1528"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20"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69" w:type="dxa"/>
            <w:gridSpan w:val="3"/>
            <w:tcBorders/>
            <w:vAlign w:val="center"/>
          </w:tcPr>
          <w:p>
            <w:pPr>
              <w:pStyle w:val="TableContents"/>
              <w:bidi w:val="0"/>
              <w:spacing w:before="0" w:after="283"/>
              <w:jc w:val="left"/>
              <w:rPr>
                <w:sz w:val="4"/>
                <w:szCs w:val="4"/>
              </w:rPr>
            </w:pPr>
            <w:r>
              <w:rPr>
                <w:sz w:val="4"/>
                <w:szCs w:val="4"/>
              </w:rPr>
            </w:r>
          </w:p>
        </w:tc>
      </w:tr>
      <w:tr>
        <w:trPr/>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6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23,410 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23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46,728 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17,763 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64,491 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57,471 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16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8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26,662 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23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6,276 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5"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w:t>
            </w:r>
          </w:p>
        </w:tc>
        <w:tc>
          <w:tcPr>
            <w:tcW w:w="16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1,237 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w:t>
            </w:r>
          </w:p>
        </w:tc>
        <w:tc>
          <w:tcPr>
            <w:tcW w:w="18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w:t>
            </w:r>
          </w:p>
        </w:tc>
        <w:tc>
          <w:tcPr>
            <w:tcW w:w="23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528"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160,547 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3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(459)</w:t>
            </w:r>
          </w:p>
        </w:tc>
        <w:tc>
          <w:tcPr>
            <w:tcW w:w="165"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19,000 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82"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18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179,547 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(537)</w:t>
            </w:r>
          </w:p>
        </w:tc>
        <w:tc>
          <w:tcPr>
            <w:tcW w:w="233"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2">
                <wp:simplePos x="0" y="0"/>
                <wp:positionH relativeFrom="character">
                  <wp:align>left</wp:align>
                </wp:positionH>
                <wp:positionV relativeFrom="line">
                  <wp:posOffset>635</wp:posOffset>
                </wp:positionV>
                <wp:extent cx="14605" cy="14605"/>
                <wp:effectExtent l="0" t="0" r="0" b="0"/>
                <wp:wrapNone/>
                <wp:docPr id="14" name="Frame14"/>
                <a:graphic xmlns:a="http://schemas.openxmlformats.org/drawingml/2006/main">
                  <a:graphicData uri="http://schemas.microsoft.com/office/word/2010/wordprocessingShape">
                    <wps:wsp>
                      <wps:cNvSpPr txBox="1"/>
                      <wps:spPr>
                        <a:xfrm>
                          <a:off x="0" y="0"/>
                          <a:ext cx="14605" cy="1460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1.15pt;height:1.1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13</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tables present the contractual maturities of the Company’s marketable securities (in thousands):</w:t>
      </w:r>
    </w:p>
    <w:tbl>
      <w:tblPr>
        <w:tblW w:w="5561" w:type="dxa"/>
        <w:jc w:val="left"/>
        <w:tblInd w:w="0" w:type="dxa"/>
        <w:tblLayout w:type="fixed"/>
        <w:tblCellMar>
          <w:top w:w="28" w:type="dxa"/>
          <w:left w:w="28" w:type="dxa"/>
          <w:bottom w:w="28" w:type="dxa"/>
          <w:right w:w="28" w:type="dxa"/>
        </w:tblCellMar>
      </w:tblPr>
      <w:tblGrid>
        <w:gridCol w:w="815"/>
        <w:gridCol w:w="714"/>
        <w:gridCol w:w="720"/>
        <w:gridCol w:w="229"/>
        <w:gridCol w:w="898"/>
        <w:gridCol w:w="118"/>
        <w:gridCol w:w="109"/>
        <w:gridCol w:w="109"/>
        <w:gridCol w:w="109"/>
        <w:gridCol w:w="308"/>
        <w:gridCol w:w="1207"/>
        <w:gridCol w:w="225"/>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r>
      <w:tr>
        <w:trPr/>
        <w:tc>
          <w:tcPr>
            <w:tcW w:w="22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Estimated Fair Value </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227,771 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227,891 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to four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200,506 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200,232 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428,277 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428,123 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tbl>
      <w:tblPr>
        <w:tblW w:w="5561" w:type="dxa"/>
        <w:jc w:val="left"/>
        <w:tblInd w:w="0" w:type="dxa"/>
        <w:tblLayout w:type="fixed"/>
        <w:tblCellMar>
          <w:top w:w="28" w:type="dxa"/>
          <w:left w:w="28" w:type="dxa"/>
          <w:bottom w:w="28" w:type="dxa"/>
          <w:right w:w="28" w:type="dxa"/>
        </w:tblCellMar>
      </w:tblPr>
      <w:tblGrid>
        <w:gridCol w:w="815"/>
        <w:gridCol w:w="714"/>
        <w:gridCol w:w="720"/>
        <w:gridCol w:w="229"/>
        <w:gridCol w:w="898"/>
        <w:gridCol w:w="118"/>
        <w:gridCol w:w="109"/>
        <w:gridCol w:w="109"/>
        <w:gridCol w:w="109"/>
        <w:gridCol w:w="308"/>
        <w:gridCol w:w="1207"/>
        <w:gridCol w:w="225"/>
      </w:tblGrid>
      <w:tr>
        <w:trPr/>
        <w:tc>
          <w:tcPr>
            <w:tcW w:w="815" w:type="dxa"/>
            <w:tcBorders/>
            <w:vAlign w:val="center"/>
          </w:tcPr>
          <w:p>
            <w:pPr>
              <w:pStyle w:val="TableContents"/>
              <w:bidi w:val="0"/>
              <w:spacing w:before="0" w:after="283"/>
              <w:jc w:val="left"/>
              <w:rPr>
                <w:sz w:val="4"/>
                <w:szCs w:val="4"/>
              </w:rPr>
            </w:pPr>
            <w:r>
              <w:rPr>
                <w:sz w:val="4"/>
                <w:szCs w:val="4"/>
              </w:rPr>
            </w:r>
          </w:p>
        </w:tc>
        <w:tc>
          <w:tcPr>
            <w:tcW w:w="714"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229" w:type="dxa"/>
            <w:tcBorders/>
            <w:vAlign w:val="center"/>
          </w:tcPr>
          <w:p>
            <w:pPr>
              <w:pStyle w:val="TableContents"/>
              <w:bidi w:val="0"/>
              <w:spacing w:before="0" w:after="283"/>
              <w:jc w:val="left"/>
              <w:rPr>
                <w:sz w:val="4"/>
                <w:szCs w:val="4"/>
              </w:rPr>
            </w:pPr>
            <w:r>
              <w:rPr>
                <w:sz w:val="4"/>
                <w:szCs w:val="4"/>
              </w:rPr>
            </w:r>
          </w:p>
        </w:tc>
        <w:tc>
          <w:tcPr>
            <w:tcW w:w="89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08" w:type="dxa"/>
            <w:tcBorders/>
            <w:vAlign w:val="center"/>
          </w:tcPr>
          <w:p>
            <w:pPr>
              <w:pStyle w:val="TableContents"/>
              <w:bidi w:val="0"/>
              <w:spacing w:before="0" w:after="283"/>
              <w:jc w:val="left"/>
              <w:rPr>
                <w:sz w:val="4"/>
                <w:szCs w:val="4"/>
              </w:rPr>
            </w:pPr>
            <w:r>
              <w:rPr>
                <w:sz w:val="4"/>
                <w:szCs w:val="4"/>
              </w:rPr>
            </w:r>
          </w:p>
        </w:tc>
        <w:tc>
          <w:tcPr>
            <w:tcW w:w="1207" w:type="dxa"/>
            <w:tcBorders/>
            <w:vAlign w:val="center"/>
          </w:tcPr>
          <w:p>
            <w:pPr>
              <w:pStyle w:val="TableContents"/>
              <w:bidi w:val="0"/>
              <w:spacing w:before="0" w:after="283"/>
              <w:jc w:val="left"/>
              <w:rPr>
                <w:sz w:val="4"/>
                <w:szCs w:val="4"/>
              </w:rPr>
            </w:pPr>
            <w:r>
              <w:rPr>
                <w:sz w:val="4"/>
                <w:szCs w:val="4"/>
              </w:rPr>
            </w:r>
          </w:p>
        </w:tc>
        <w:tc>
          <w:tcPr>
            <w:tcW w:w="225" w:type="dxa"/>
            <w:tcBorders/>
            <w:vAlign w:val="center"/>
          </w:tcPr>
          <w:p>
            <w:pPr>
              <w:pStyle w:val="TableContents"/>
              <w:bidi w:val="0"/>
              <w:spacing w:before="0" w:after="283"/>
              <w:jc w:val="left"/>
              <w:rPr>
                <w:sz w:val="4"/>
                <w:szCs w:val="4"/>
              </w:rPr>
            </w:pPr>
            <w:r>
              <w:rPr>
                <w:sz w:val="4"/>
                <w:szCs w:val="4"/>
              </w:rPr>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331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2249"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 </w:t>
            </w:r>
          </w:p>
        </w:tc>
        <w:tc>
          <w:tcPr>
            <w:tcW w:w="124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Amortized Cost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4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color w:val="000000"/>
                <w:sz w:val="16"/>
              </w:rPr>
            </w:pPr>
            <w:r>
              <w:rPr>
                <w:rFonts w:ascii="Times New Roman;sans-serif" w:hAnsi="Times New Roman;sans-serif"/>
                <w:b/>
                <w:color w:val="000000"/>
                <w:sz w:val="16"/>
              </w:rPr>
              <w:t xml:space="preserve">Estimated Fair Value </w:t>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within one year</w:t>
            </w:r>
          </w:p>
        </w:tc>
        <w:tc>
          <w:tcPr>
            <w:tcW w:w="22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250,738 </w:t>
            </w:r>
          </w:p>
        </w:tc>
        <w:tc>
          <w:tcPr>
            <w:tcW w:w="11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250,927 </w:t>
            </w:r>
          </w:p>
        </w:tc>
        <w:tc>
          <w:tcPr>
            <w:tcW w:w="22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Due after one to four years</w:t>
            </w:r>
          </w:p>
        </w:tc>
        <w:tc>
          <w:tcPr>
            <w:tcW w:w="112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219,433 </w:t>
            </w:r>
          </w:p>
        </w:tc>
        <w:tc>
          <w:tcPr>
            <w:tcW w:w="11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15"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219,941 </w:t>
            </w:r>
          </w:p>
        </w:tc>
        <w:tc>
          <w:tcPr>
            <w:tcW w:w="22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2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2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470,171 </w:t>
            </w:r>
          </w:p>
        </w:tc>
        <w:tc>
          <w:tcPr>
            <w:tcW w:w="11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207"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470,868 </w:t>
            </w:r>
          </w:p>
        </w:tc>
        <w:tc>
          <w:tcPr>
            <w:tcW w:w="225"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5. Fair Value Measurements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Company’s financial assets and liabilities measured at fair value on a recurring basis are classified by level within the fair value hierarchy. There were no financial assets or liabilities measured using Level 3 inputs as of March 31, 2024 and December 31, 2023. The following table presents information about the Company’s financial assets that are measured at fair value on a recurring basis (in thousands):</w:t>
      </w:r>
    </w:p>
    <w:tbl>
      <w:tblPr>
        <w:tblW w:w="8081"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r>
      <w:tr>
        <w:trPr/>
        <w:tc>
          <w:tcPr>
            <w:tcW w:w="4049"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46"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191" w:type="dxa"/>
            <w:gridSpan w:val="3"/>
            <w:tcBorders/>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43,669 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1,204 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44,873 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4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40,379 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58,242 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218,382 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62,589 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62,589 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7,022 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41,509 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93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428,123 </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428,123 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marketable securities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43,669 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429,327 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472,996 </w:t>
            </w:r>
          </w:p>
        </w:tc>
        <w:tc>
          <w:tcPr>
            <w:tcW w:w="154"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3">
                <wp:simplePos x="0" y="0"/>
                <wp:positionH relativeFrom="character">
                  <wp:align>left</wp:align>
                </wp:positionH>
                <wp:positionV relativeFrom="line">
                  <wp:posOffset>635</wp:posOffset>
                </wp:positionV>
                <wp:extent cx="6480175" cy="146685"/>
                <wp:effectExtent l="0" t="0" r="0" b="0"/>
                <wp:wrapNone/>
                <wp:docPr id="15" name="Frame1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14</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tbl>
      <w:tblPr>
        <w:tblW w:w="8081" w:type="dxa"/>
        <w:jc w:val="left"/>
        <w:tblInd w:w="0" w:type="dxa"/>
        <w:tblLayout w:type="fixed"/>
        <w:tblCellMar>
          <w:top w:w="28" w:type="dxa"/>
          <w:left w:w="28" w:type="dxa"/>
          <w:bottom w:w="28" w:type="dxa"/>
          <w:right w:w="28" w:type="dxa"/>
        </w:tblCellMar>
      </w:tblPr>
      <w:tblGrid>
        <w:gridCol w:w="1467"/>
        <w:gridCol w:w="1287"/>
        <w:gridCol w:w="1295"/>
        <w:gridCol w:w="211"/>
        <w:gridCol w:w="721"/>
        <w:gridCol w:w="109"/>
        <w:gridCol w:w="109"/>
        <w:gridCol w:w="109"/>
        <w:gridCol w:w="109"/>
        <w:gridCol w:w="211"/>
        <w:gridCol w:w="826"/>
        <w:gridCol w:w="109"/>
        <w:gridCol w:w="109"/>
        <w:gridCol w:w="109"/>
        <w:gridCol w:w="109"/>
        <w:gridCol w:w="211"/>
        <w:gridCol w:w="826"/>
        <w:gridCol w:w="154"/>
      </w:tblGrid>
      <w:tr>
        <w:trPr/>
        <w:tc>
          <w:tcPr>
            <w:tcW w:w="1467" w:type="dxa"/>
            <w:tcBorders/>
            <w:vAlign w:val="center"/>
          </w:tcPr>
          <w:p>
            <w:pPr>
              <w:pStyle w:val="TableContents"/>
              <w:bidi w:val="0"/>
              <w:spacing w:before="0" w:after="283"/>
              <w:jc w:val="left"/>
              <w:rPr>
                <w:sz w:val="4"/>
                <w:szCs w:val="4"/>
              </w:rPr>
            </w:pPr>
            <w:r>
              <w:rPr>
                <w:sz w:val="4"/>
                <w:szCs w:val="4"/>
              </w:rPr>
            </w:r>
          </w:p>
        </w:tc>
        <w:tc>
          <w:tcPr>
            <w:tcW w:w="1287" w:type="dxa"/>
            <w:tcBorders/>
            <w:vAlign w:val="center"/>
          </w:tcPr>
          <w:p>
            <w:pPr>
              <w:pStyle w:val="TableContents"/>
              <w:bidi w:val="0"/>
              <w:spacing w:before="0" w:after="283"/>
              <w:jc w:val="left"/>
              <w:rPr>
                <w:sz w:val="4"/>
                <w:szCs w:val="4"/>
              </w:rPr>
            </w:pPr>
            <w:r>
              <w:rPr>
                <w:sz w:val="4"/>
                <w:szCs w:val="4"/>
              </w:rPr>
            </w:r>
          </w:p>
        </w:tc>
        <w:tc>
          <w:tcPr>
            <w:tcW w:w="1295"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32"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404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2</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Total</w:t>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Cash equivalents:</w:t>
            </w:r>
          </w:p>
        </w:tc>
        <w:tc>
          <w:tcPr>
            <w:tcW w:w="104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Money market funds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1,696 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5,213 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6,909 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39,481 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Marketable securities:</w:t>
            </w:r>
          </w:p>
        </w:tc>
        <w:tc>
          <w:tcPr>
            <w:tcW w:w="104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46"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91" w:type="dxa"/>
            <w:gridSpan w:val="3"/>
            <w:tcBorders>
              <w:top w:val="sing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Certificates of deposit</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38,351 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Commercial paper</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71,365 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71,365 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Corporate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227,146 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Treasury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64,704 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U.S. Agency bonds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29,868 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Asset-backed securities</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39,434 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39,434 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04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marketable securities</w:t>
            </w:r>
          </w:p>
        </w:tc>
        <w:tc>
          <w:tcPr>
            <w:tcW w:w="93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470,868 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3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470,868 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0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cash equivalents and marketable securities</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32,572 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477,777 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82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510,349 </w:t>
            </w:r>
          </w:p>
        </w:tc>
        <w:tc>
          <w:tcPr>
            <w:tcW w:w="15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classifies its cash equivalents and marketable securities within Level 1 or Level 2 because it determines their fair values using quoted market prices or alternative pricing sources and models utilizing market observable inputs. There were no transfers between levels of the fair value hierarchy during the periods presented.</w:t>
      </w:r>
    </w:p>
    <w:p>
      <w:pPr>
        <w:pStyle w:val="TextBody"/>
        <w:bidi w:val="0"/>
        <w:spacing w:lineRule="auto" w:line="288" w:before="0" w:after="180"/>
        <w:jc w:val="both"/>
        <w:rPr/>
      </w:pPr>
      <w:r>
        <w:rPr>
          <w:rFonts w:ascii="Times New Roman;sans-serif" w:hAnsi="Times New Roman;sans-serif"/>
          <w:b w:val="false"/>
          <w:color w:val="000000"/>
          <w:sz w:val="20"/>
        </w:rPr>
        <w:br/>
      </w:r>
      <w:r>
        <w:rPr>
          <w:rFonts w:ascii="Times New Roman;sans-serif" w:hAnsi="Times New Roman;sans-serif"/>
          <w:b/>
          <w:i/>
          <w:color w:val="000000"/>
          <w:sz w:val="20"/>
        </w:rPr>
        <w:t xml:space="preserve">Assets and Liabilities Measured at Fair Value on a Recurring Basis </w:t>
      </w:r>
    </w:p>
    <w:p>
      <w:pPr>
        <w:pStyle w:val="TextBody"/>
        <w:bidi w:val="0"/>
        <w:spacing w:lineRule="auto" w:line="288" w:before="12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carrying amounts of certain financial instruments, including cash held in banks, accounts receivable, and accounts payable approximate fair value due to their short-term maturities and are excluded from the fair value table above.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Financial Instruments, Assets, and Liabilities Not Recorded at Fair Value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presents the fair value of assets not recorded at fair value (in thousands):</w:t>
      </w:r>
    </w:p>
    <w:tbl>
      <w:tblPr>
        <w:tblW w:w="7691" w:type="dxa"/>
        <w:jc w:val="left"/>
        <w:tblInd w:w="0" w:type="dxa"/>
        <w:tblLayout w:type="fixed"/>
        <w:tblCellMar>
          <w:top w:w="28" w:type="dxa"/>
          <w:left w:w="28" w:type="dxa"/>
          <w:bottom w:w="28" w:type="dxa"/>
          <w:right w:w="28" w:type="dxa"/>
        </w:tblCellMar>
      </w:tblPr>
      <w:tblGrid>
        <w:gridCol w:w="504"/>
        <w:gridCol w:w="444"/>
        <w:gridCol w:w="447"/>
        <w:gridCol w:w="285"/>
        <w:gridCol w:w="977"/>
        <w:gridCol w:w="147"/>
        <w:gridCol w:w="109"/>
        <w:gridCol w:w="109"/>
        <w:gridCol w:w="109"/>
        <w:gridCol w:w="211"/>
        <w:gridCol w:w="406"/>
        <w:gridCol w:w="109"/>
        <w:gridCol w:w="109"/>
        <w:gridCol w:w="109"/>
        <w:gridCol w:w="109"/>
        <w:gridCol w:w="211"/>
        <w:gridCol w:w="406"/>
        <w:gridCol w:w="109"/>
        <w:gridCol w:w="109"/>
        <w:gridCol w:w="109"/>
        <w:gridCol w:w="109"/>
        <w:gridCol w:w="211"/>
        <w:gridCol w:w="721"/>
        <w:gridCol w:w="109"/>
        <w:gridCol w:w="109"/>
        <w:gridCol w:w="109"/>
        <w:gridCol w:w="109"/>
        <w:gridCol w:w="211"/>
        <w:gridCol w:w="721"/>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285" w:type="dxa"/>
            <w:tcBorders/>
            <w:vAlign w:val="center"/>
          </w:tcPr>
          <w:p>
            <w:pPr>
              <w:pStyle w:val="TableContents"/>
              <w:bidi w:val="0"/>
              <w:spacing w:before="0" w:after="283"/>
              <w:jc w:val="left"/>
              <w:rPr>
                <w:sz w:val="4"/>
                <w:szCs w:val="4"/>
              </w:rPr>
            </w:pPr>
            <w:r>
              <w:rPr>
                <w:sz w:val="4"/>
                <w:szCs w:val="4"/>
              </w:rPr>
            </w:r>
          </w:p>
        </w:tc>
        <w:tc>
          <w:tcPr>
            <w:tcW w:w="977" w:type="dxa"/>
            <w:tcBorders/>
            <w:vAlign w:val="center"/>
          </w:tcPr>
          <w:p>
            <w:pPr>
              <w:pStyle w:val="TableContents"/>
              <w:bidi w:val="0"/>
              <w:spacing w:before="0" w:after="283"/>
              <w:jc w:val="left"/>
              <w:rPr>
                <w:sz w:val="4"/>
                <w:szCs w:val="4"/>
              </w:rPr>
            </w:pPr>
            <w:r>
              <w:rPr>
                <w:sz w:val="4"/>
                <w:szCs w:val="4"/>
              </w:rPr>
            </w:r>
          </w:p>
        </w:tc>
        <w:tc>
          <w:tcPr>
            <w:tcW w:w="14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296"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 2024</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09"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w:t>
            </w:r>
          </w:p>
        </w:tc>
        <w:tc>
          <w:tcPr>
            <w:tcW w:w="28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7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15,000 </w:t>
            </w:r>
          </w:p>
        </w:tc>
        <w:tc>
          <w:tcPr>
            <w:tcW w:w="147"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13,997 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tbl>
      <w:tblPr>
        <w:tblW w:w="7482" w:type="dxa"/>
        <w:jc w:val="left"/>
        <w:tblInd w:w="0" w:type="dxa"/>
        <w:tblLayout w:type="fixed"/>
        <w:tblCellMar>
          <w:top w:w="28" w:type="dxa"/>
          <w:left w:w="28" w:type="dxa"/>
          <w:bottom w:w="28" w:type="dxa"/>
          <w:right w:w="28" w:type="dxa"/>
        </w:tblCellMar>
      </w:tblPr>
      <w:tblGrid>
        <w:gridCol w:w="504"/>
        <w:gridCol w:w="444"/>
        <w:gridCol w:w="447"/>
        <w:gridCol w:w="318"/>
        <w:gridCol w:w="928"/>
        <w:gridCol w:w="164"/>
        <w:gridCol w:w="109"/>
        <w:gridCol w:w="109"/>
        <w:gridCol w:w="109"/>
        <w:gridCol w:w="211"/>
        <w:gridCol w:w="406"/>
        <w:gridCol w:w="109"/>
        <w:gridCol w:w="109"/>
        <w:gridCol w:w="109"/>
        <w:gridCol w:w="109"/>
        <w:gridCol w:w="211"/>
        <w:gridCol w:w="406"/>
        <w:gridCol w:w="109"/>
        <w:gridCol w:w="109"/>
        <w:gridCol w:w="109"/>
        <w:gridCol w:w="109"/>
        <w:gridCol w:w="211"/>
        <w:gridCol w:w="616"/>
        <w:gridCol w:w="109"/>
        <w:gridCol w:w="109"/>
        <w:gridCol w:w="109"/>
        <w:gridCol w:w="109"/>
        <w:gridCol w:w="211"/>
        <w:gridCol w:w="616"/>
        <w:gridCol w:w="154"/>
      </w:tblGrid>
      <w:tr>
        <w:trPr/>
        <w:tc>
          <w:tcPr>
            <w:tcW w:w="504" w:type="dxa"/>
            <w:tcBorders/>
            <w:vAlign w:val="center"/>
          </w:tcPr>
          <w:p>
            <w:pPr>
              <w:pStyle w:val="TableContents"/>
              <w:bidi w:val="0"/>
              <w:spacing w:before="0" w:after="283"/>
              <w:jc w:val="left"/>
              <w:rPr>
                <w:sz w:val="4"/>
                <w:szCs w:val="4"/>
              </w:rPr>
            </w:pPr>
            <w:r>
              <w:rPr>
                <w:sz w:val="4"/>
                <w:szCs w:val="4"/>
              </w:rPr>
            </w:r>
          </w:p>
        </w:tc>
        <w:tc>
          <w:tcPr>
            <w:tcW w:w="444" w:type="dxa"/>
            <w:tcBorders/>
            <w:vAlign w:val="center"/>
          </w:tcPr>
          <w:p>
            <w:pPr>
              <w:pStyle w:val="TableContents"/>
              <w:bidi w:val="0"/>
              <w:spacing w:before="0" w:after="283"/>
              <w:jc w:val="left"/>
              <w:rPr>
                <w:sz w:val="4"/>
                <w:szCs w:val="4"/>
              </w:rPr>
            </w:pPr>
            <w:r>
              <w:rPr>
                <w:sz w:val="4"/>
                <w:szCs w:val="4"/>
              </w:rPr>
            </w:r>
          </w:p>
        </w:tc>
        <w:tc>
          <w:tcPr>
            <w:tcW w:w="447" w:type="dxa"/>
            <w:tcBorders/>
            <w:vAlign w:val="center"/>
          </w:tcPr>
          <w:p>
            <w:pPr>
              <w:pStyle w:val="TableContents"/>
              <w:bidi w:val="0"/>
              <w:spacing w:before="0" w:after="283"/>
              <w:jc w:val="left"/>
              <w:rPr>
                <w:sz w:val="4"/>
                <w:szCs w:val="4"/>
              </w:rPr>
            </w:pPr>
            <w:r>
              <w:rPr>
                <w:sz w:val="4"/>
                <w:szCs w:val="4"/>
              </w:rPr>
            </w:r>
          </w:p>
        </w:tc>
        <w:tc>
          <w:tcPr>
            <w:tcW w:w="318" w:type="dxa"/>
            <w:tcBorders/>
            <w:vAlign w:val="center"/>
          </w:tcPr>
          <w:p>
            <w:pPr>
              <w:pStyle w:val="TableContents"/>
              <w:bidi w:val="0"/>
              <w:spacing w:before="0" w:after="283"/>
              <w:jc w:val="left"/>
              <w:rPr>
                <w:sz w:val="4"/>
                <w:szCs w:val="4"/>
              </w:rPr>
            </w:pPr>
            <w:r>
              <w:rPr>
                <w:sz w:val="4"/>
                <w:szCs w:val="4"/>
              </w:rPr>
            </w:r>
          </w:p>
        </w:tc>
        <w:tc>
          <w:tcPr>
            <w:tcW w:w="928"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7" w:type="dxa"/>
            <w:gridSpan w:val="27"/>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December 31, 2023</w:t>
            </w:r>
          </w:p>
        </w:tc>
      </w:tr>
      <w:tr>
        <w:trPr/>
        <w:tc>
          <w:tcPr>
            <w:tcW w:w="139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1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Carrying Amount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1</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 xml:space="preserve">Level 2 </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Level 3</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Fair Value</w:t>
            </w:r>
          </w:p>
        </w:tc>
      </w:tr>
      <w:tr>
        <w:trPr/>
        <w:tc>
          <w:tcPr>
            <w:tcW w:w="139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Assets</w:t>
            </w:r>
          </w:p>
        </w:tc>
        <w:tc>
          <w:tcPr>
            <w:tcW w:w="141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9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Note receivable</w:t>
            </w:r>
          </w:p>
        </w:tc>
        <w:tc>
          <w:tcPr>
            <w:tcW w:w="318"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2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7,500 </w:t>
            </w:r>
          </w:p>
        </w:tc>
        <w:tc>
          <w:tcPr>
            <w:tcW w:w="1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0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7,011 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and December 31, 2023, there were no other financial instruments or liabilities that were not recorded at fair value.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Note 6. Commitments and Contingencies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Legal matters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From time to time, the Company is a party to a variety of claims, lawsuits, and proceedings which arise in the ordinary course of business, including claims of alleged infringement of intellectual property rights. The Company records a liability when it believes that it is probable that a loss will be incurred and the amount of loss or range of loss can be reasonably estimated. The Company discloses potential losses when they are reasonably possible. In the Company’s opinion, resolution of pending matters is not likely to have a material adverse impact on its consolidated results of operations, cash flows, or its financial position. Given the unpredictable nature of legal proceedings, the Company bases its estimate on the information available at the time of the assessment. As additional information becomes available, the Company reassesses the potential liability and may revise the estimate. There were no such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4">
                <wp:simplePos x="0" y="0"/>
                <wp:positionH relativeFrom="character">
                  <wp:align>left</wp:align>
                </wp:positionH>
                <wp:positionV relativeFrom="line">
                  <wp:posOffset>635</wp:posOffset>
                </wp:positionV>
                <wp:extent cx="6480175" cy="146685"/>
                <wp:effectExtent l="0" t="0" r="0" b="0"/>
                <wp:wrapNone/>
                <wp:docPr id="16" name="Frame1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15</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material matters as of March 31, 2024 and December 31, 2023.</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Indemnification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ordinary course of business, the Company often includes standard indemnification provisions in its arrangements with its customers, partners, suppliers, and vendors. Pursuant to these provisions, the Company may be obligated to indemnify such parties for losses or claims suffered or incurred in connection with its service, breach of representations or covenants, intellectual property infringement, or other claims made against such parties. These provisions may limit the time within which an indemnification claim can be made. It is not possible to determine the maximum potential amount under these indemnification obligations due to the limited history of prior indemnification claims and the unique facts and circumstances involved in each particular agreement. For the three months ended March 31, 2024 and 2023, the Company did not incur material costs to defend lawsuits or settle claims related to these indemnifications. The Company believes the fair value of these liabilities is not material and accordingly has no liabilities recorded for these agreements as of March 31, 2024 and December 31, 2023.</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Opportunity Finance Network Loan Agreement</w:t>
      </w:r>
    </w:p>
    <w:p>
      <w:pPr>
        <w:pStyle w:val="TextBody"/>
        <w:bidi w:val="0"/>
        <w:spacing w:lineRule="auto" w:line="288" w:before="0" w:after="180"/>
        <w:jc w:val="left"/>
        <w:rPr>
          <w:rFonts w:ascii="Times New Roman;sans-serif" w:hAnsi="Times New Roman;sans-serif"/>
          <w:b w:val="false"/>
          <w:color w:val="000000"/>
          <w:sz w:val="20"/>
        </w:rPr>
      </w:pPr>
      <w:r>
        <w:rPr>
          <w:rFonts w:ascii="Times New Roman;sans-serif" w:hAnsi="Times New Roman;sans-serif"/>
          <w:b w:val="false"/>
          <w:color w:val="000000"/>
          <w:sz w:val="20"/>
        </w:rPr>
        <w:t>On June 29, 2022, the Company entered into a credit agreement with Opportunity Finance Network (“OFN”) to lend up to an aggregate of $15.0 million, unsecured, over the course of 24 months. OFN is a national network of community development financial institutions (“CDFIs”). OFN will use the loan proceeds to make low-cost, fixed-rate loans to OFN-member CDFIs that on-lend those loan proceeds to fund affordable housing, community facilities, small businesses, nonprofit organizations, consumer finance, and other eligible financing extended by such CDFIs. Each disbursement made by the Company will bear interest at a rate of 0.75% per annum and will be due quarterly from OFN. The outstanding principal, plus any accrued and unpaid interest, for each disbursement becomes due and payable 10 years following the disbursement date. During the three months ended March 31, 2024, the Company made one loan disbursement of $7.5 million. During the year ended December 31, 2023, the Company made one loan disbursement of $2.5 million. As of March 31, 2024, the note receivable from OFN totaled $15.0 million and is recorded under other assets on the condensed consolidated balance sheets.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7. Common Stock and Stockholders’ Equity</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Equity Incentive Plans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2021 Equity Incentive Plan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November 2021, the Company’s Board of Directors and stockholders approved the Company’s 2021 Equity Incentive Plan (the “2021 Plan”) as a successor to the 2018 Equity Incentive Plan (the “2018 Plan”), with the purpose of granting stock-based awards to employees, directors, officers, and consultants, including stock options, restricted stock awards, and restricted stock units (“RSUs”).</w:t>
        <w:br/>
        <w:br/>
        <w:t xml:space="preserve">The Company initially reserved for issuance under the 2021 Plan (a) 46,008,885 shares of Class A common stock, plus (b) shares that are subject to issuance upon exercise of options granted under the 2018 Plan prior to the Closing but which, after the Closing, cease to be subject to the option for any reason other than exercise of the option, (c) shares that are subject to awards granted under the 2018 Plan prior to the Closing that, after the Closing, are forfeited or are repurchased by the Company at the original issue price, (d) shares that are subject to awards granted under the 2018 Plan prior to the Closing that, after the Closing, otherwise terminate without such shares being issued, and (e) shares that, after the Closing, are used to pay the exercise price of a stock option issued under the 2018 Plan prior to the Closing or are withheld to satisfy the tax withholding obligations related to any award issued under the 2018 Plan prior to the Closing. The number of shares available for grant and issuance under the 2021 Plan will increase automatically on January 1 of each of 2022 through 2031 by the number of shares equal to the lesser of (i) five percent (5%) of the number of shares (rounded down to the nearest whole share) of Class A common stock and Class B common stock issued and outstanding on each December 31 immediately prior to the date of increase, or (ii) such number of shares determined by the Company’s Board of Directors.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2021 Employee Stock Purchase Plan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November 2021, the Company’s Board of Directors and stockholders approved the Company’s 2021 Employee Stock Purchase Plan (the “2021 ESPP”). Over a series of offering periods, each of which may consist of one or more purchase periods, eligible employees will be offered the option to purchase shares of Class A common stock at 85% of the lesser of the fair market value of Class A common stock on (i) the first business day of the applicable offering period and (ii) the date of purchase. Under the 2021 ESPP, the Company initially reserved 8,901,159 shares of Class A common stock for issuance, and the aggregate number of shares reserved will increase automatically on January 1 of each of 2022 through 2031 by the number of shares equal to the lesser of (i) one percent (1%) of the total number of outstanding shares of Class A common stock and Class B common stock as of the immediately preceding December 31, or (ii) a number of shares as may be determined by the Company’s Board of Directors. The aggregate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5">
                <wp:simplePos x="0" y="0"/>
                <wp:positionH relativeFrom="character">
                  <wp:align>left</wp:align>
                </wp:positionH>
                <wp:positionV relativeFrom="line">
                  <wp:posOffset>635</wp:posOffset>
                </wp:positionV>
                <wp:extent cx="6480175" cy="146685"/>
                <wp:effectExtent l="0" t="0" r="0" b="0"/>
                <wp:wrapNone/>
                <wp:docPr id="17" name="Frame1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16</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of shares issued over the term of the 2021 ESPP, subject to adjustments for stock-splits, recapitalizations, or similar events, may not exceed 89,011,590 shares. In February 2022, the Company commenced its first offering period under the 2021 ESPP. During the three months ended March 31, 2024 and 2023, 407,298 and 559,707 shares of Class A common stock were purchased under the 2021 ESPP, respectively.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Share Repurchase Program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2022, the Company’s Board of Directors authorized and approved a share repurchase program (the “Share Repurchase Program”) to repurchase up to $100.0 million in aggregate of the Company’s Class A common stock, with the authorization to expire on June 30, 2024. Repurchases of Class A common stock under the Share Repurchase Program may be made from time to time, on the open market, in privately negotiated transactions or by other methods, and in accordance with the limitations set forth in Rule 10b-18 promulgated under the Securities Exchange Act of 1934, as amended, and other applicable legal requirements. The timing of any repurchases will depend on market conditions and other investment opportunities, and will be made at the Company’s discretion. The Share Repurchase Program does not obligate the Company to repurchase any dollar amount or number of shares, and the program may be extended, modified, suspended, or discontinued at any time. On February 21, 2024, the Company’s Board of Directors authorized and approved an increase of $150.0 million to the Share Repurchase Program and extended the expiration date to March 31, 2026.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When the Company repurchases shares under the Share Repurchase Program, it reduces the common stock component of stockholders’ equity by the par value of the repurchased shares. The excess of the repurchase price over par value is recorded to additional paid-in capital. All repurchased shares are retired and become authorized and unissued shares.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During the three months ended March 31, 2024, the Company repurchased and retired 4,448,423 shares of Class A common stock at an average purchase price of $2.19 per share for an aggregate repurchase price of $9.8 million. During the three months ended March 31, 2023, the Company did not repurchase or retire any shares of its Class A common stock. As of March 31, 2024, the Company had $163.0 million available for future share repurchases under the Share Repurchase Program. </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 Options and RSUs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may grant options to acquire shares of Class A common stock to employees, directors, officers, and consultants at a price not less than the fair market value of the shares at the date of grant. Options granted to a person who, at the time of the grant, owns more than 10% of the voting power of all classes of stock shall be at no less than 110% of the fair market value and expire five years from the date of grant. All other options generally have a contractual term of ten years. Options granted generally vest on a monthly basis over two to three years. RSUs granted for Class A common stock generally vest on a quarterly basis over two to three years.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summary of the Company’s stock option activity for the three months ended March 31, 2024 and related information is as follows (in thousands, except per share data):</w:t>
      </w:r>
    </w:p>
    <w:tbl>
      <w:tblPr>
        <w:tblW w:w="10205" w:type="dxa"/>
        <w:jc w:val="left"/>
        <w:tblInd w:w="0" w:type="dxa"/>
        <w:tblLayout w:type="fixed"/>
        <w:tblCellMar>
          <w:top w:w="28" w:type="dxa"/>
          <w:left w:w="28" w:type="dxa"/>
          <w:bottom w:w="28" w:type="dxa"/>
          <w:right w:w="28" w:type="dxa"/>
        </w:tblCellMar>
      </w:tblPr>
      <w:tblGrid>
        <w:gridCol w:w="873"/>
        <w:gridCol w:w="767"/>
        <w:gridCol w:w="769"/>
        <w:gridCol w:w="494"/>
        <w:gridCol w:w="354"/>
        <w:gridCol w:w="355"/>
        <w:gridCol w:w="109"/>
        <w:gridCol w:w="109"/>
        <w:gridCol w:w="109"/>
        <w:gridCol w:w="409"/>
        <w:gridCol w:w="991"/>
        <w:gridCol w:w="211"/>
        <w:gridCol w:w="109"/>
        <w:gridCol w:w="109"/>
        <w:gridCol w:w="109"/>
        <w:gridCol w:w="824"/>
        <w:gridCol w:w="824"/>
        <w:gridCol w:w="827"/>
        <w:gridCol w:w="109"/>
        <w:gridCol w:w="109"/>
        <w:gridCol w:w="109"/>
        <w:gridCol w:w="295"/>
        <w:gridCol w:w="1009"/>
        <w:gridCol w:w="222"/>
      </w:tblGrid>
      <w:tr>
        <w:trPr/>
        <w:tc>
          <w:tcPr>
            <w:tcW w:w="873" w:type="dxa"/>
            <w:tcBorders/>
            <w:vAlign w:val="center"/>
          </w:tcPr>
          <w:p>
            <w:pPr>
              <w:pStyle w:val="TableContents"/>
              <w:bidi w:val="0"/>
              <w:spacing w:before="0" w:after="283"/>
              <w:jc w:val="left"/>
              <w:rPr>
                <w:sz w:val="4"/>
                <w:szCs w:val="4"/>
              </w:rPr>
            </w:pPr>
            <w:r>
              <w:rPr>
                <w:sz w:val="4"/>
                <w:szCs w:val="4"/>
              </w:rPr>
            </w:r>
          </w:p>
        </w:tc>
        <w:tc>
          <w:tcPr>
            <w:tcW w:w="767" w:type="dxa"/>
            <w:tcBorders/>
            <w:vAlign w:val="center"/>
          </w:tcPr>
          <w:p>
            <w:pPr>
              <w:pStyle w:val="TableContents"/>
              <w:bidi w:val="0"/>
              <w:spacing w:before="0" w:after="283"/>
              <w:jc w:val="left"/>
              <w:rPr>
                <w:sz w:val="4"/>
                <w:szCs w:val="4"/>
              </w:rPr>
            </w:pPr>
            <w:r>
              <w:rPr>
                <w:sz w:val="4"/>
                <w:szCs w:val="4"/>
              </w:rPr>
            </w:r>
          </w:p>
        </w:tc>
        <w:tc>
          <w:tcPr>
            <w:tcW w:w="769" w:type="dxa"/>
            <w:tcBorders/>
            <w:vAlign w:val="center"/>
          </w:tcPr>
          <w:p>
            <w:pPr>
              <w:pStyle w:val="TableContents"/>
              <w:bidi w:val="0"/>
              <w:spacing w:before="0" w:after="283"/>
              <w:jc w:val="left"/>
              <w:rPr>
                <w:sz w:val="4"/>
                <w:szCs w:val="4"/>
              </w:rPr>
            </w:pPr>
            <w:r>
              <w:rPr>
                <w:sz w:val="4"/>
                <w:szCs w:val="4"/>
              </w:rPr>
            </w:r>
          </w:p>
        </w:tc>
        <w:tc>
          <w:tcPr>
            <w:tcW w:w="494"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c>
          <w:tcPr>
            <w:tcW w:w="35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09" w:type="dxa"/>
            <w:tcBorders/>
            <w:vAlign w:val="center"/>
          </w:tcPr>
          <w:p>
            <w:pPr>
              <w:pStyle w:val="TableContents"/>
              <w:bidi w:val="0"/>
              <w:spacing w:before="0" w:after="283"/>
              <w:jc w:val="left"/>
              <w:rPr>
                <w:sz w:val="4"/>
                <w:szCs w:val="4"/>
              </w:rPr>
            </w:pPr>
            <w:r>
              <w:rPr>
                <w:sz w:val="4"/>
                <w:szCs w:val="4"/>
              </w:rPr>
            </w:r>
          </w:p>
        </w:tc>
        <w:tc>
          <w:tcPr>
            <w:tcW w:w="99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5" w:type="dxa"/>
            <w:tcBorders/>
            <w:vAlign w:val="center"/>
          </w:tcPr>
          <w:p>
            <w:pPr>
              <w:pStyle w:val="TableContents"/>
              <w:bidi w:val="0"/>
              <w:spacing w:before="0" w:after="283"/>
              <w:jc w:val="left"/>
              <w:rPr>
                <w:sz w:val="4"/>
                <w:szCs w:val="4"/>
              </w:rPr>
            </w:pPr>
            <w:r>
              <w:rPr>
                <w:sz w:val="4"/>
                <w:szCs w:val="4"/>
              </w:rPr>
            </w:r>
          </w:p>
        </w:tc>
        <w:tc>
          <w:tcPr>
            <w:tcW w:w="1009" w:type="dxa"/>
            <w:tcBorders/>
            <w:vAlign w:val="center"/>
          </w:tcPr>
          <w:p>
            <w:pPr>
              <w:pStyle w:val="TableContents"/>
              <w:bidi w:val="0"/>
              <w:spacing w:before="0" w:after="283"/>
              <w:jc w:val="left"/>
              <w:rPr>
                <w:sz w:val="4"/>
                <w:szCs w:val="4"/>
              </w:rPr>
            </w:pPr>
            <w:r>
              <w:rPr>
                <w:sz w:val="4"/>
                <w:szCs w:val="4"/>
              </w:rPr>
            </w:r>
          </w:p>
        </w:tc>
        <w:tc>
          <w:tcPr>
            <w:tcW w:w="222" w:type="dxa"/>
            <w:tcBorders/>
            <w:vAlign w:val="center"/>
          </w:tcPr>
          <w:p>
            <w:pPr>
              <w:pStyle w:val="TableContents"/>
              <w:bidi w:val="0"/>
              <w:spacing w:before="0" w:after="283"/>
              <w:jc w:val="left"/>
              <w:rPr>
                <w:sz w:val="4"/>
                <w:szCs w:val="4"/>
              </w:rPr>
            </w:pPr>
            <w:r>
              <w:rPr>
                <w:sz w:val="4"/>
                <w:szCs w:val="4"/>
              </w:rPr>
            </w:r>
          </w:p>
        </w:tc>
      </w:tr>
      <w:tr>
        <w:trPr/>
        <w:tc>
          <w:tcPr>
            <w:tcW w:w="24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3"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Options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1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Exercise Price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Remaining Contractual Term (years)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Aggregate Intrinsic Value</w:t>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December 31, 2023</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47,858 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5.2</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8,196 </w:t>
            </w:r>
          </w:p>
        </w:tc>
        <w:tc>
          <w:tcPr>
            <w:tcW w:w="222"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granted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173 </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1.84 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exercised</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(2,306)</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1.23 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Options forfeited or expired</w:t>
            </w:r>
          </w:p>
        </w:tc>
        <w:tc>
          <w:tcPr>
            <w:tcW w:w="84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(5,944)</w:t>
            </w:r>
          </w:p>
        </w:tc>
        <w:tc>
          <w:tcPr>
            <w:tcW w:w="355"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at March 31, 2024</w:t>
            </w:r>
          </w:p>
        </w:tc>
        <w:tc>
          <w:tcPr>
            <w:tcW w:w="84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39,781 </w:t>
            </w:r>
          </w:p>
        </w:tc>
        <w:tc>
          <w:tcPr>
            <w:tcW w:w="355"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FFFF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Exercisable at March 31, 2024</w:t>
            </w:r>
          </w:p>
        </w:tc>
        <w:tc>
          <w:tcPr>
            <w:tcW w:w="848"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29,780 </w:t>
            </w:r>
          </w:p>
        </w:tc>
        <w:tc>
          <w:tcPr>
            <w:tcW w:w="355"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2.34 </w:t>
            </w:r>
          </w:p>
        </w:tc>
        <w:tc>
          <w:tcPr>
            <w:tcW w:w="21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9,564 </w:t>
            </w:r>
          </w:p>
        </w:tc>
        <w:tc>
          <w:tcPr>
            <w:tcW w:w="222"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409"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Vested or expected to vest at March 31, 2024</w:t>
            </w:r>
          </w:p>
        </w:tc>
        <w:tc>
          <w:tcPr>
            <w:tcW w:w="84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39,781 </w:t>
            </w:r>
          </w:p>
        </w:tc>
        <w:tc>
          <w:tcPr>
            <w:tcW w:w="355"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9"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99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2.65 </w:t>
            </w:r>
          </w:p>
        </w:tc>
        <w:tc>
          <w:tcPr>
            <w:tcW w:w="21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5"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09"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10,611 </w:t>
            </w:r>
          </w:p>
        </w:tc>
        <w:tc>
          <w:tcPr>
            <w:tcW w:w="222"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is calculated as the difference between the exercise price of the underlying common stock option award and the fair value of the Company’s common stock as of the respective balance sheet date. The weighted average grant date fair value of options granted was $1.10 per share and $1.21 per share during the three months ended March 31, 2024 and 2023, respectively.</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intrinsic value of the options exercised was $1.6 million and $0.2 million for the three months ended March 31, 2024 and 2023, respectively.</w:t>
        <w:br/>
        <w:br/>
        <w:t>A summary of the Company’s RSU activity for the three months ended March 31, 2024 and related information is as follows (in thousands, except per share data):</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6">
                <wp:simplePos x="0" y="0"/>
                <wp:positionH relativeFrom="character">
                  <wp:align>left</wp:align>
                </wp:positionH>
                <wp:positionV relativeFrom="line">
                  <wp:posOffset>635</wp:posOffset>
                </wp:positionV>
                <wp:extent cx="6480175" cy="146685"/>
                <wp:effectExtent l="0" t="0" r="0" b="0"/>
                <wp:wrapNone/>
                <wp:docPr id="18" name="Frame1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17</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7">
                <wp:simplePos x="0" y="0"/>
                <wp:positionH relativeFrom="character">
                  <wp:align>left</wp:align>
                </wp:positionH>
                <wp:positionV relativeFrom="line">
                  <wp:posOffset>635</wp:posOffset>
                </wp:positionV>
                <wp:extent cx="6480175" cy="146685"/>
                <wp:effectExtent l="0" t="0" r="0" b="0"/>
                <wp:wrapNone/>
                <wp:docPr id="19" name="Frame1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18</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tbl>
      <w:tblPr>
        <w:tblW w:w="7646" w:type="dxa"/>
        <w:jc w:val="left"/>
        <w:tblInd w:w="0" w:type="dxa"/>
        <w:tblLayout w:type="fixed"/>
        <w:tblCellMar>
          <w:top w:w="28" w:type="dxa"/>
          <w:left w:w="28" w:type="dxa"/>
          <w:bottom w:w="28" w:type="dxa"/>
          <w:right w:w="28" w:type="dxa"/>
        </w:tblCellMar>
      </w:tblPr>
      <w:tblGrid>
        <w:gridCol w:w="979"/>
        <w:gridCol w:w="858"/>
        <w:gridCol w:w="863"/>
        <w:gridCol w:w="469"/>
        <w:gridCol w:w="469"/>
        <w:gridCol w:w="471"/>
        <w:gridCol w:w="109"/>
        <w:gridCol w:w="109"/>
        <w:gridCol w:w="109"/>
        <w:gridCol w:w="773"/>
        <w:gridCol w:w="1873"/>
        <w:gridCol w:w="564"/>
      </w:tblGrid>
      <w:tr>
        <w:trPr/>
        <w:tc>
          <w:tcPr>
            <w:tcW w:w="979" w:type="dxa"/>
            <w:tcBorders/>
            <w:vAlign w:val="center"/>
          </w:tcPr>
          <w:p>
            <w:pPr>
              <w:pStyle w:val="TableContents"/>
              <w:bidi w:val="0"/>
              <w:spacing w:before="0" w:after="283"/>
              <w:jc w:val="left"/>
              <w:rPr>
                <w:sz w:val="4"/>
                <w:szCs w:val="4"/>
              </w:rPr>
            </w:pPr>
            <w:r>
              <w:rPr>
                <w:sz w:val="4"/>
                <w:szCs w:val="4"/>
              </w:rPr>
            </w:r>
          </w:p>
        </w:tc>
        <w:tc>
          <w:tcPr>
            <w:tcW w:w="858" w:type="dxa"/>
            <w:tcBorders/>
            <w:vAlign w:val="center"/>
          </w:tcPr>
          <w:p>
            <w:pPr>
              <w:pStyle w:val="TableContents"/>
              <w:bidi w:val="0"/>
              <w:spacing w:before="0" w:after="283"/>
              <w:jc w:val="left"/>
              <w:rPr>
                <w:sz w:val="4"/>
                <w:szCs w:val="4"/>
              </w:rPr>
            </w:pPr>
            <w:r>
              <w:rPr>
                <w:sz w:val="4"/>
                <w:szCs w:val="4"/>
              </w:rPr>
            </w:r>
          </w:p>
        </w:tc>
        <w:tc>
          <w:tcPr>
            <w:tcW w:w="863"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6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73" w:type="dxa"/>
            <w:tcBorders/>
            <w:vAlign w:val="center"/>
          </w:tcPr>
          <w:p>
            <w:pPr>
              <w:pStyle w:val="TableContents"/>
              <w:bidi w:val="0"/>
              <w:spacing w:before="0" w:after="283"/>
              <w:jc w:val="left"/>
              <w:rPr>
                <w:sz w:val="4"/>
                <w:szCs w:val="4"/>
              </w:rPr>
            </w:pPr>
            <w:r>
              <w:rPr>
                <w:sz w:val="4"/>
                <w:szCs w:val="4"/>
              </w:rPr>
            </w:r>
          </w:p>
        </w:tc>
        <w:tc>
          <w:tcPr>
            <w:tcW w:w="1873" w:type="dxa"/>
            <w:tcBorders/>
            <w:vAlign w:val="center"/>
          </w:tcPr>
          <w:p>
            <w:pPr>
              <w:pStyle w:val="TableContents"/>
              <w:bidi w:val="0"/>
              <w:spacing w:before="0" w:after="283"/>
              <w:jc w:val="left"/>
              <w:rPr>
                <w:sz w:val="4"/>
                <w:szCs w:val="4"/>
              </w:rPr>
            </w:pPr>
            <w:r>
              <w:rPr>
                <w:sz w:val="4"/>
                <w:szCs w:val="4"/>
              </w:rPr>
            </w:r>
          </w:p>
        </w:tc>
        <w:tc>
          <w:tcPr>
            <w:tcW w:w="564" w:type="dxa"/>
            <w:tcBorders/>
            <w:vAlign w:val="center"/>
          </w:tcPr>
          <w:p>
            <w:pPr>
              <w:pStyle w:val="TableContents"/>
              <w:bidi w:val="0"/>
              <w:spacing w:before="0" w:after="283"/>
              <w:jc w:val="left"/>
              <w:rPr>
                <w:sz w:val="4"/>
                <w:szCs w:val="4"/>
              </w:rPr>
            </w:pPr>
            <w:r>
              <w:rPr>
                <w:sz w:val="4"/>
                <w:szCs w:val="4"/>
              </w:rPr>
            </w:r>
          </w:p>
        </w:tc>
      </w:tr>
      <w:tr>
        <w:trPr/>
        <w:tc>
          <w:tcPr>
            <w:tcW w:w="270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Number of Shares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10"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Weighted Average Grant Date Fair Value</w:t>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December 31, 2023</w:t>
            </w:r>
          </w:p>
        </w:tc>
        <w:tc>
          <w:tcPr>
            <w:tcW w:w="938"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33,515 </w:t>
            </w:r>
          </w:p>
        </w:tc>
        <w:tc>
          <w:tcPr>
            <w:tcW w:w="47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2.64 </w:t>
            </w:r>
          </w:p>
        </w:tc>
        <w:tc>
          <w:tcPr>
            <w:tcW w:w="56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granted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15,411 </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vested</w:t>
            </w:r>
          </w:p>
        </w:tc>
        <w:tc>
          <w:tcPr>
            <w:tcW w:w="938"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(4,875)</w:t>
            </w:r>
          </w:p>
        </w:tc>
        <w:tc>
          <w:tcPr>
            <w:tcW w:w="47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2.58 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RSUs forfeited</w:t>
            </w:r>
          </w:p>
        </w:tc>
        <w:tc>
          <w:tcPr>
            <w:tcW w:w="938"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(3,127)</w:t>
            </w:r>
          </w:p>
        </w:tc>
        <w:tc>
          <w:tcPr>
            <w:tcW w:w="47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3.27 </w:t>
            </w:r>
          </w:p>
        </w:tc>
        <w:tc>
          <w:tcPr>
            <w:tcW w:w="56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00" w:type="dxa"/>
            <w:gridSpan w:val="3"/>
            <w:tcBorders/>
            <w:shd w:fill="CCEEFF" w:val="clear"/>
            <w:tcMar>
              <w:top w:w="0" w:type="dxa"/>
              <w:left w:w="0" w:type="dxa"/>
              <w:bottom w:w="0" w:type="dxa"/>
              <w:right w:w="0" w:type="dxa"/>
            </w:tcMar>
            <w:vAlign w:val="center"/>
          </w:tcPr>
          <w:p>
            <w:pPr>
              <w:pStyle w:val="TableContents"/>
              <w:bidi w:val="0"/>
              <w:spacing w:lineRule="auto" w:line="240" w:before="0" w:after="0"/>
              <w:ind w:left="0" w:right="0" w:hanging="180"/>
              <w:jc w:val="left"/>
              <w:rPr>
                <w:rFonts w:ascii="Times New Roman;sans-serif" w:hAnsi="Times New Roman;sans-serif"/>
                <w:b w:val="false"/>
                <w:color w:val="000000"/>
                <w:sz w:val="20"/>
              </w:rPr>
            </w:pPr>
            <w:r>
              <w:rPr>
                <w:rFonts w:ascii="Times New Roman;sans-serif" w:hAnsi="Times New Roman;sans-serif"/>
                <w:b w:val="false"/>
                <w:color w:val="000000"/>
                <w:sz w:val="20"/>
              </w:rPr>
              <w:t>Unvested at March 31, 2024</w:t>
            </w:r>
          </w:p>
        </w:tc>
        <w:tc>
          <w:tcPr>
            <w:tcW w:w="938"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40,924 </w:t>
            </w:r>
          </w:p>
        </w:tc>
        <w:tc>
          <w:tcPr>
            <w:tcW w:w="47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87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2.43 </w:t>
            </w:r>
          </w:p>
        </w:tc>
        <w:tc>
          <w:tcPr>
            <w:tcW w:w="56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Valuation Assumptions</w:t>
      </w:r>
    </w:p>
    <w:p>
      <w:pPr>
        <w:pStyle w:val="TextBody"/>
        <w:bidi w:val="0"/>
        <w:spacing w:lineRule="auto" w:line="288" w:before="12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assumptions were used to calculate the fair value of employee and non-employee stock option grants made during the following periods:</w:t>
      </w:r>
    </w:p>
    <w:tbl>
      <w:tblPr>
        <w:tblW w:w="6521" w:type="dxa"/>
        <w:jc w:val="left"/>
        <w:tblInd w:w="0" w:type="dxa"/>
        <w:tblLayout w:type="fixed"/>
        <w:tblCellMar>
          <w:top w:w="28" w:type="dxa"/>
          <w:left w:w="28" w:type="dxa"/>
          <w:bottom w:w="28" w:type="dxa"/>
          <w:right w:w="28" w:type="dxa"/>
        </w:tblCellMar>
      </w:tblPr>
      <w:tblGrid>
        <w:gridCol w:w="1137"/>
        <w:gridCol w:w="997"/>
        <w:gridCol w:w="1001"/>
        <w:gridCol w:w="435"/>
        <w:gridCol w:w="435"/>
        <w:gridCol w:w="435"/>
        <w:gridCol w:w="259"/>
        <w:gridCol w:w="259"/>
        <w:gridCol w:w="259"/>
        <w:gridCol w:w="612"/>
        <w:gridCol w:w="286"/>
        <w:gridCol w:w="406"/>
      </w:tblGrid>
      <w:tr>
        <w:trPr/>
        <w:tc>
          <w:tcPr>
            <w:tcW w:w="1137" w:type="dxa"/>
            <w:tcBorders/>
            <w:vAlign w:val="center"/>
          </w:tcPr>
          <w:p>
            <w:pPr>
              <w:pStyle w:val="TableContents"/>
              <w:bidi w:val="0"/>
              <w:spacing w:before="0" w:after="283"/>
              <w:jc w:val="left"/>
              <w:rPr>
                <w:sz w:val="4"/>
                <w:szCs w:val="4"/>
              </w:rPr>
            </w:pPr>
            <w:r>
              <w:rPr>
                <w:sz w:val="4"/>
                <w:szCs w:val="4"/>
              </w:rPr>
            </w:r>
          </w:p>
        </w:tc>
        <w:tc>
          <w:tcPr>
            <w:tcW w:w="997" w:type="dxa"/>
            <w:tcBorders/>
            <w:vAlign w:val="center"/>
          </w:tcPr>
          <w:p>
            <w:pPr>
              <w:pStyle w:val="TableContents"/>
              <w:bidi w:val="0"/>
              <w:spacing w:before="0" w:after="283"/>
              <w:jc w:val="left"/>
              <w:rPr>
                <w:sz w:val="4"/>
                <w:szCs w:val="4"/>
              </w:rPr>
            </w:pPr>
            <w:r>
              <w:rPr>
                <w:sz w:val="4"/>
                <w:szCs w:val="4"/>
              </w:rPr>
            </w:r>
          </w:p>
        </w:tc>
        <w:tc>
          <w:tcPr>
            <w:tcW w:w="1001"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435"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259" w:type="dxa"/>
            <w:tcBorders/>
            <w:vAlign w:val="center"/>
          </w:tcPr>
          <w:p>
            <w:pPr>
              <w:pStyle w:val="TableContents"/>
              <w:bidi w:val="0"/>
              <w:spacing w:before="0" w:after="283"/>
              <w:jc w:val="left"/>
              <w:rPr>
                <w:sz w:val="4"/>
                <w:szCs w:val="4"/>
              </w:rPr>
            </w:pPr>
            <w:r>
              <w:rPr>
                <w:sz w:val="4"/>
                <w:szCs w:val="4"/>
              </w:rPr>
            </w:r>
          </w:p>
        </w:tc>
        <w:tc>
          <w:tcPr>
            <w:tcW w:w="612" w:type="dxa"/>
            <w:tcBorders/>
            <w:vAlign w:val="center"/>
          </w:tcPr>
          <w:p>
            <w:pPr>
              <w:pStyle w:val="TableContents"/>
              <w:bidi w:val="0"/>
              <w:spacing w:before="0" w:after="283"/>
              <w:jc w:val="left"/>
              <w:rPr>
                <w:sz w:val="4"/>
                <w:szCs w:val="4"/>
              </w:rPr>
            </w:pPr>
            <w:r>
              <w:rPr>
                <w:sz w:val="4"/>
                <w:szCs w:val="4"/>
              </w:rPr>
            </w:r>
          </w:p>
        </w:tc>
        <w:tc>
          <w:tcPr>
            <w:tcW w:w="286" w:type="dxa"/>
            <w:tcBorders/>
            <w:vAlign w:val="center"/>
          </w:tcPr>
          <w:p>
            <w:pPr>
              <w:pStyle w:val="TableContents"/>
              <w:bidi w:val="0"/>
              <w:spacing w:before="0" w:after="283"/>
              <w:jc w:val="left"/>
              <w:rPr>
                <w:sz w:val="4"/>
                <w:szCs w:val="4"/>
              </w:rPr>
            </w:pPr>
            <w:r>
              <w:rPr>
                <w:sz w:val="4"/>
                <w:szCs w:val="4"/>
              </w:rPr>
            </w:r>
          </w:p>
        </w:tc>
        <w:tc>
          <w:tcPr>
            <w:tcW w:w="406" w:type="dxa"/>
            <w:tcBorders/>
            <w:vAlign w:val="center"/>
          </w:tcPr>
          <w:p>
            <w:pPr>
              <w:pStyle w:val="TableContents"/>
              <w:bidi w:val="0"/>
              <w:spacing w:before="0" w:after="283"/>
              <w:jc w:val="left"/>
              <w:rPr>
                <w:sz w:val="4"/>
                <w:szCs w:val="4"/>
              </w:rPr>
            </w:pPr>
            <w:r>
              <w:rPr>
                <w:sz w:val="4"/>
                <w:szCs w:val="4"/>
              </w:rPr>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86"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313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77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volatility</w:t>
            </w:r>
          </w:p>
        </w:tc>
        <w:tc>
          <w:tcPr>
            <w:tcW w:w="1305"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67.9% - 68.0%</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66.7% -66.8%</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term (in years)</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Risk-free interest rate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3.8% - 4.4%</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c>
      </w:tr>
      <w:tr>
        <w:trPr/>
        <w:tc>
          <w:tcPr>
            <w:tcW w:w="313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Expected dividend yield</w:t>
            </w:r>
          </w:p>
        </w:tc>
        <w:tc>
          <w:tcPr>
            <w:tcW w:w="130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c>
          <w:tcPr>
            <w:tcW w:w="77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center"/>
              <w:rPr>
                <w:color w:val="000000"/>
              </w:rPr>
            </w:pPr>
            <w:r>
              <w:rPr>
                <w:color w:val="000000"/>
              </w:rPr>
              <w:t>—</w:t>
            </w:r>
          </w:p>
        </w:tc>
      </w:tr>
      <w:tr>
        <w:trPr/>
        <w:tc>
          <w:tcPr>
            <w:tcW w:w="313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Fair value of common stock per share</w:t>
            </w:r>
          </w:p>
        </w:tc>
        <w:tc>
          <w:tcPr>
            <w:tcW w:w="1305"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center"/>
              <w:rPr>
                <w:rFonts w:ascii="Times New Roman;sans-serif" w:hAnsi="Times New Roman;sans-serif"/>
                <w:b w:val="false"/>
                <w:color w:val="000000"/>
                <w:sz w:val="20"/>
              </w:rPr>
            </w:pPr>
            <w:r>
              <w:rPr>
                <w:rFonts w:ascii="Times New Roman;sans-serif" w:hAnsi="Times New Roman;sans-serif"/>
                <w:b w:val="false"/>
                <w:color w:val="000000"/>
                <w:sz w:val="20"/>
              </w:rPr>
              <w:t>$1.61 - $2.18</w:t>
            </w:r>
          </w:p>
        </w:tc>
        <w:tc>
          <w:tcPr>
            <w:tcW w:w="77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0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$1.91</w:t>
            </w:r>
          </w:p>
        </w:tc>
      </w:tr>
    </w:tbl>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Stock-Based Compensation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Company recorded stock-based compensation expense in the condensed consolidated statements of operations as follows (in thousands):</w:t>
      </w:r>
    </w:p>
    <w:tbl>
      <w:tblPr>
        <w:tblW w:w="5200" w:type="dxa"/>
        <w:jc w:val="left"/>
        <w:tblInd w:w="0" w:type="dxa"/>
        <w:tblLayout w:type="fixed"/>
        <w:tblCellMar>
          <w:top w:w="28" w:type="dxa"/>
          <w:left w:w="28" w:type="dxa"/>
          <w:bottom w:w="28" w:type="dxa"/>
          <w:right w:w="28" w:type="dxa"/>
        </w:tblCellMar>
      </w:tblPr>
      <w:tblGrid>
        <w:gridCol w:w="835"/>
        <w:gridCol w:w="736"/>
        <w:gridCol w:w="739"/>
        <w:gridCol w:w="211"/>
        <w:gridCol w:w="721"/>
        <w:gridCol w:w="109"/>
        <w:gridCol w:w="109"/>
        <w:gridCol w:w="109"/>
        <w:gridCol w:w="109"/>
        <w:gridCol w:w="211"/>
        <w:gridCol w:w="721"/>
        <w:gridCol w:w="109"/>
        <w:gridCol w:w="109"/>
        <w:gridCol w:w="109"/>
        <w:gridCol w:w="109"/>
        <w:gridCol w:w="154"/>
      </w:tblGrid>
      <w:tr>
        <w:trPr/>
        <w:tc>
          <w:tcPr>
            <w:tcW w:w="835"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041" w:type="dxa"/>
            <w:gridSpan w:val="3"/>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there was $108.9 million of unrecognized stock-based compensation expense, which is expected to be recognized over a weighted average period of 1.6 years.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8. Net Loss Per Share Attributable to Common Stockholders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computation of basic and diluted net loss per share attributable to common stockholders (in thousands, except per share data):</w:t>
      </w:r>
    </w:p>
    <w:tbl>
      <w:tblPr>
        <w:tblW w:w="10205" w:type="dxa"/>
        <w:jc w:val="left"/>
        <w:tblInd w:w="0" w:type="dxa"/>
        <w:tblLayout w:type="fixed"/>
        <w:tblCellMar>
          <w:top w:w="28" w:type="dxa"/>
          <w:left w:w="28" w:type="dxa"/>
          <w:bottom w:w="28" w:type="dxa"/>
          <w:right w:w="28" w:type="dxa"/>
        </w:tblCellMar>
      </w:tblPr>
      <w:tblGrid>
        <w:gridCol w:w="1476"/>
        <w:gridCol w:w="1268"/>
        <w:gridCol w:w="1271"/>
        <w:gridCol w:w="211"/>
        <w:gridCol w:w="752"/>
        <w:gridCol w:w="109"/>
        <w:gridCol w:w="109"/>
        <w:gridCol w:w="109"/>
        <w:gridCol w:w="109"/>
        <w:gridCol w:w="211"/>
        <w:gridCol w:w="752"/>
        <w:gridCol w:w="109"/>
        <w:gridCol w:w="109"/>
        <w:gridCol w:w="109"/>
        <w:gridCol w:w="109"/>
        <w:gridCol w:w="211"/>
        <w:gridCol w:w="752"/>
        <w:gridCol w:w="109"/>
        <w:gridCol w:w="109"/>
        <w:gridCol w:w="109"/>
        <w:gridCol w:w="109"/>
        <w:gridCol w:w="211"/>
        <w:gridCol w:w="752"/>
        <w:gridCol w:w="109"/>
        <w:gridCol w:w="109"/>
        <w:gridCol w:w="109"/>
        <w:gridCol w:w="109"/>
        <w:gridCol w:w="109"/>
        <w:gridCol w:w="109"/>
        <w:gridCol w:w="109"/>
        <w:gridCol w:w="109"/>
        <w:gridCol w:w="158"/>
      </w:tblGrid>
      <w:tr>
        <w:trPr/>
        <w:tc>
          <w:tcPr>
            <w:tcW w:w="1476"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27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52"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69" w:type="dxa"/>
            <w:gridSpan w:val="21"/>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03" w:type="dxa"/>
            <w:gridSpan w:val="6"/>
            <w:tcBorders/>
          </w:tcPr>
          <w:p>
            <w:pPr>
              <w:pStyle w:val="TableContents"/>
              <w:bidi w:val="0"/>
              <w:spacing w:before="0" w:after="283"/>
              <w:jc w:val="left"/>
              <w:rPr>
                <w:sz w:val="4"/>
                <w:szCs w:val="4"/>
              </w:rPr>
            </w:pPr>
            <w:r>
              <w:rPr>
                <w:sz w:val="4"/>
                <w:szCs w:val="4"/>
              </w:rPr>
            </w:r>
          </w:p>
        </w:tc>
      </w:tr>
      <w:tr>
        <w:trPr/>
        <w:tc>
          <w:tcPr>
            <w:tcW w:w="4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1" w:type="dxa"/>
            <w:gridSpan w:val="9"/>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5" w:type="dxa"/>
            <w:gridSpan w:val="4"/>
            <w:tcBorders/>
          </w:tcPr>
          <w:p>
            <w:pPr>
              <w:pStyle w:val="TableContents"/>
              <w:bidi w:val="0"/>
              <w:spacing w:before="0" w:after="283"/>
              <w:jc w:val="left"/>
              <w:rPr>
                <w:sz w:val="4"/>
                <w:szCs w:val="4"/>
              </w:rPr>
            </w:pPr>
            <w:r>
              <w:rPr>
                <w:sz w:val="4"/>
                <w:szCs w:val="4"/>
              </w:rPr>
            </w:r>
          </w:p>
        </w:tc>
      </w:tr>
      <w:tr>
        <w:trPr/>
        <w:tc>
          <w:tcPr>
            <w:tcW w:w="40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A</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16"/>
              </w:rPr>
            </w:pPr>
            <w:r>
              <w:rPr>
                <w:rFonts w:ascii="Times New Roman;sans-serif" w:hAnsi="Times New Roman;sans-serif"/>
                <w:b w:val="false"/>
                <w:color w:val="000000"/>
                <w:sz w:val="16"/>
              </w:rPr>
              <w:t>Class B</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attributable to common stockholders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(13,731)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(14,530)</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(14,083)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(19,633)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Weighted average shares used in computing net loss per share attributable to Class A and Class B common stockholders, basic and diluted</w:t>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190,564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201,655</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155,807</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72"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217,218</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ind w:left="0" w:right="0" w:hanging="180"/>
              <w:jc w:val="left"/>
              <w:rPr>
                <w:sz w:val="4"/>
                <w:szCs w:val="4"/>
              </w:rPr>
            </w:pPr>
            <w:r>
              <w:rPr>
                <w:sz w:val="4"/>
                <w:szCs w:val="4"/>
              </w:rPr>
            </w:r>
          </w:p>
        </w:tc>
      </w:tr>
      <w:tr>
        <w:trPr/>
        <w:tc>
          <w:tcPr>
            <w:tcW w:w="40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 per share attributable to Class A and Class B common stockholders, basic and diluted</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(0.07)</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5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(0.09)</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8"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8">
                <wp:simplePos x="0" y="0"/>
                <wp:positionH relativeFrom="character">
                  <wp:align>left</wp:align>
                </wp:positionH>
                <wp:positionV relativeFrom="line">
                  <wp:posOffset>635</wp:posOffset>
                </wp:positionV>
                <wp:extent cx="6480175" cy="146685"/>
                <wp:effectExtent l="0" t="0" r="0" b="0"/>
                <wp:wrapNone/>
                <wp:docPr id="20" name="Frame2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19</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potentially dilutive securities outstanding have been excluded from the computations of diluted net loss per share because such securities have an anti-dilutive impact due to losses reported (in thousands):</w:t>
      </w:r>
    </w:p>
    <w:tbl>
      <w:tblPr>
        <w:tblW w:w="7432" w:type="dxa"/>
        <w:jc w:val="left"/>
        <w:tblInd w:w="0" w:type="dxa"/>
        <w:tblLayout w:type="fixed"/>
        <w:tblCellMar>
          <w:top w:w="28" w:type="dxa"/>
          <w:left w:w="28" w:type="dxa"/>
          <w:bottom w:w="28" w:type="dxa"/>
          <w:right w:w="28" w:type="dxa"/>
        </w:tblCellMar>
      </w:tblPr>
      <w:tblGrid>
        <w:gridCol w:w="1827"/>
        <w:gridCol w:w="1602"/>
        <w:gridCol w:w="1611"/>
        <w:gridCol w:w="360"/>
        <w:gridCol w:w="361"/>
        <w:gridCol w:w="228"/>
        <w:gridCol w:w="140"/>
        <w:gridCol w:w="140"/>
        <w:gridCol w:w="140"/>
        <w:gridCol w:w="387"/>
        <w:gridCol w:w="334"/>
        <w:gridCol w:w="302"/>
      </w:tblGrid>
      <w:tr>
        <w:trPr/>
        <w:tc>
          <w:tcPr>
            <w:tcW w:w="1827" w:type="dxa"/>
            <w:tcBorders/>
            <w:vAlign w:val="center"/>
          </w:tcPr>
          <w:p>
            <w:pPr>
              <w:pStyle w:val="TableContents"/>
              <w:bidi w:val="0"/>
              <w:spacing w:before="0" w:after="283"/>
              <w:jc w:val="left"/>
              <w:rPr>
                <w:sz w:val="4"/>
                <w:szCs w:val="4"/>
              </w:rPr>
            </w:pPr>
            <w:r>
              <w:rPr>
                <w:sz w:val="4"/>
                <w:szCs w:val="4"/>
              </w:rPr>
            </w:r>
          </w:p>
        </w:tc>
        <w:tc>
          <w:tcPr>
            <w:tcW w:w="1602" w:type="dxa"/>
            <w:tcBorders/>
            <w:vAlign w:val="center"/>
          </w:tcPr>
          <w:p>
            <w:pPr>
              <w:pStyle w:val="TableContents"/>
              <w:bidi w:val="0"/>
              <w:spacing w:before="0" w:after="283"/>
              <w:jc w:val="left"/>
              <w:rPr>
                <w:sz w:val="4"/>
                <w:szCs w:val="4"/>
              </w:rPr>
            </w:pPr>
            <w:r>
              <w:rPr>
                <w:sz w:val="4"/>
                <w:szCs w:val="4"/>
              </w:rPr>
            </w:r>
          </w:p>
        </w:tc>
        <w:tc>
          <w:tcPr>
            <w:tcW w:w="1611" w:type="dxa"/>
            <w:tcBorders/>
            <w:vAlign w:val="center"/>
          </w:tcPr>
          <w:p>
            <w:pPr>
              <w:pStyle w:val="TableContents"/>
              <w:bidi w:val="0"/>
              <w:spacing w:before="0" w:after="283"/>
              <w:jc w:val="left"/>
              <w:rPr>
                <w:sz w:val="4"/>
                <w:szCs w:val="4"/>
              </w:rPr>
            </w:pPr>
            <w:r>
              <w:rPr>
                <w:sz w:val="4"/>
                <w:szCs w:val="4"/>
              </w:rPr>
            </w:r>
          </w:p>
        </w:tc>
        <w:tc>
          <w:tcPr>
            <w:tcW w:w="360"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228"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387" w:type="dxa"/>
            <w:tcBorders/>
            <w:vAlign w:val="center"/>
          </w:tcPr>
          <w:p>
            <w:pPr>
              <w:pStyle w:val="TableContents"/>
              <w:bidi w:val="0"/>
              <w:spacing w:before="0" w:after="283"/>
              <w:jc w:val="left"/>
              <w:rPr>
                <w:sz w:val="4"/>
                <w:szCs w:val="4"/>
              </w:rPr>
            </w:pPr>
            <w:r>
              <w:rPr>
                <w:sz w:val="4"/>
                <w:szCs w:val="4"/>
              </w:rPr>
            </w:r>
          </w:p>
        </w:tc>
        <w:tc>
          <w:tcPr>
            <w:tcW w:w="334" w:type="dxa"/>
            <w:tcBorders/>
            <w:vAlign w:val="center"/>
          </w:tcPr>
          <w:p>
            <w:pPr>
              <w:pStyle w:val="TableContents"/>
              <w:bidi w:val="0"/>
              <w:spacing w:before="0" w:after="283"/>
              <w:jc w:val="left"/>
              <w:rPr>
                <w:sz w:val="4"/>
                <w:szCs w:val="4"/>
              </w:rPr>
            </w:pPr>
            <w:r>
              <w:rPr>
                <w:sz w:val="4"/>
                <w:szCs w:val="4"/>
              </w:rPr>
            </w:r>
          </w:p>
        </w:tc>
        <w:tc>
          <w:tcPr>
            <w:tcW w:w="302" w:type="dxa"/>
            <w:tcBorders/>
            <w:vAlign w:val="center"/>
          </w:tcPr>
          <w:p>
            <w:pPr>
              <w:pStyle w:val="TableContents"/>
              <w:bidi w:val="0"/>
              <w:spacing w:before="0" w:after="283"/>
              <w:jc w:val="left"/>
              <w:rPr>
                <w:sz w:val="4"/>
                <w:szCs w:val="4"/>
              </w:rPr>
            </w:pPr>
            <w:r>
              <w:rPr>
                <w:sz w:val="4"/>
                <w:szCs w:val="4"/>
              </w:rPr>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As of March 31,</w:t>
            </w:r>
          </w:p>
        </w:tc>
      </w:tr>
      <w:tr>
        <w:trPr/>
        <w:tc>
          <w:tcPr>
            <w:tcW w:w="504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4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2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Outstanding stock options</w:t>
            </w:r>
          </w:p>
        </w:tc>
        <w:tc>
          <w:tcPr>
            <w:tcW w:w="949"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39,781</w:t>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54,409</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RSUs</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88"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40,924</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ind w:left="0" w:right="0" w:hanging="180"/>
              <w:jc w:val="right"/>
              <w:rPr>
                <w:rFonts w:ascii="Times New Roman;sans-serif" w:hAnsi="Times New Roman;sans-serif"/>
                <w:b w:val="false"/>
                <w:color w:val="000000"/>
                <w:sz w:val="20"/>
              </w:rPr>
            </w:pPr>
            <w:r>
              <w:rPr>
                <w:rFonts w:ascii="Times New Roman;sans-serif" w:hAnsi="Times New Roman;sans-serif"/>
                <w:b w:val="false"/>
                <w:color w:val="000000"/>
                <w:sz w:val="20"/>
              </w:rPr>
              <w:t>24,414</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Unvested early exercised stock options subject to repurchase</w:t>
            </w:r>
          </w:p>
        </w:tc>
        <w:tc>
          <w:tcPr>
            <w:tcW w:w="72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2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w:t>
            </w:r>
          </w:p>
        </w:tc>
      </w:tr>
      <w:tr>
        <w:trPr/>
        <w:tc>
          <w:tcPr>
            <w:tcW w:w="504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Shares issuable pursuant to the ESPP</w:t>
            </w:r>
          </w:p>
        </w:tc>
        <w:tc>
          <w:tcPr>
            <w:tcW w:w="94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1,562</w:t>
            </w:r>
          </w:p>
        </w:tc>
        <w:tc>
          <w:tcPr>
            <w:tcW w:w="42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3"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2,372</w:t>
            </w:r>
          </w:p>
        </w:tc>
      </w:tr>
      <w:tr>
        <w:trPr/>
        <w:tc>
          <w:tcPr>
            <w:tcW w:w="504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82,267 </w:t>
            </w:r>
          </w:p>
        </w:tc>
        <w:tc>
          <w:tcPr>
            <w:tcW w:w="22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42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21"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81,214 </w:t>
            </w:r>
          </w:p>
        </w:tc>
        <w:tc>
          <w:tcPr>
            <w:tcW w:w="302"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9. Income Taxes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provision for income taxes for interim periods was determined using an estimate of its annual effective tax rate, adjusted for discrete items, if any, that arose during the period. Each quarter, the Company updates its estimate of the annual effective tax rate, and if the estimated annual effective tax rate changes, the Company makes a cumulative adjustment in such period.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Company’s quarterly tax provision, and estimate of its annual effective tax rate, is subject to variation due to several factors, including variability in pretax income or loss, the mix of jurisdictions to which such income or loss relates, tax law developments and changes in how the Company does business, such as acquisitions, intercompany transactions, or the Company’s corporate structure.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recorded an income tax expense for the three months ended March 31, 2024 and 2023 of $0.2 million and $0.3 million, respectively, both of which were primarily related to foreign taxes.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10. Geographical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disaggregated by geography based on the customers’ location was as follows (in thousands):</w:t>
      </w:r>
    </w:p>
    <w:tbl>
      <w:tblPr>
        <w:tblW w:w="4089" w:type="dxa"/>
        <w:jc w:val="left"/>
        <w:tblInd w:w="0" w:type="dxa"/>
        <w:tblLayout w:type="fixed"/>
        <w:tblCellMar>
          <w:top w:w="28" w:type="dxa"/>
          <w:left w:w="28" w:type="dxa"/>
          <w:bottom w:w="28" w:type="dxa"/>
          <w:right w:w="28" w:type="dxa"/>
        </w:tblCellMar>
      </w:tblPr>
      <w:tblGrid>
        <w:gridCol w:w="435"/>
        <w:gridCol w:w="381"/>
        <w:gridCol w:w="383"/>
        <w:gridCol w:w="211"/>
        <w:gridCol w:w="721"/>
        <w:gridCol w:w="109"/>
        <w:gridCol w:w="109"/>
        <w:gridCol w:w="109"/>
        <w:gridCol w:w="109"/>
        <w:gridCol w:w="211"/>
        <w:gridCol w:w="721"/>
        <w:gridCol w:w="109"/>
        <w:gridCol w:w="109"/>
        <w:gridCol w:w="109"/>
        <w:gridCol w:w="109"/>
        <w:gridCol w:w="154"/>
      </w:tblGrid>
      <w:tr>
        <w:trPr/>
        <w:tc>
          <w:tcPr>
            <w:tcW w:w="435"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38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119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United States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49,899 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46,815 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International</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3,247 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2,956 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119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49,771 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36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the Company’s long-lived assets are located in the United States.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Note 11. Subsequent Events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April 24, 2024, the Company performed a restructuring intended to refocus the Company for future growth. The plan is expected to impact 40 of the Company’s full-time employees. The Company currently estimates that it will incur one-time charges of approximately $3 million in connection with the plan, consisting primarily of cash expenditures for severance payments, employee benefits, and related costs. The Company expects that the majority of the charges will be incurred in the second quarter of 2024 and that the execution of the plan will be substantially complete by the end of the second quarter of 2024.</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On April 26, 2024, the Company announced that Heidi Andersen, the Company’s Head of Revenue, and John Orta, the Company’s Head of Legal &amp; Corporate Development and Secretary, will each resign from their respective positions, effective on May 8, 2024. Neither Ms. Andersen’s nor Mr. Orta’s planned departure is the result of any disagreement regarding the Company’s operations, policies or practices.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9">
                <wp:simplePos x="0" y="0"/>
                <wp:positionH relativeFrom="character">
                  <wp:align>left</wp:align>
                </wp:positionH>
                <wp:positionV relativeFrom="line">
                  <wp:posOffset>635</wp:posOffset>
                </wp:positionV>
                <wp:extent cx="6480175" cy="146685"/>
                <wp:effectExtent l="0" t="0" r="0" b="0"/>
                <wp:wrapNone/>
                <wp:docPr id="21" name="Frame2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20</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Management’s Discussion and Analysis of Financial Condition and Results of Operations</w:t>
      </w:r>
    </w:p>
    <w:p>
      <w:pPr>
        <w:pStyle w:val="TextBody"/>
        <w:bidi w:val="0"/>
        <w:spacing w:lineRule="auto" w:line="276"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The following discussion and analysis provides information which our management believes is relevant to an assessment and understanding of our consolidated results of operations and financial condition. The discussion should be read together with our unaudited condensed consolidated financial statements and related notes that are included elsewhere in this Quarterly Report. This discussion may contain forward-looking statements based upon current expectations that involve risks and uncertainties. Our actual results may differ materially from those anticipated in these forward-looking statements as a result of various factors, including those set forth under “Special Note Regarding Forward-Looking Statements” and “Risk Factors” or in other parts of this Quarterly Report.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Overview</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At Nextdoor, our purpose is to cultivate a kinder world where everyone has a neighborhood they can rely on. Neighbors around the world turn to Nextdoor to receive trusted information, give and get help, get things done, and build real world connections with those nearby — neighbors, businesses, and public services. By fostering these connections, both online and in the real world, Nextdoor builds stronger, more vibrant, and more resilient neighborhoods. As of March 31, 2024, Nextdoor was in more than 335,000 neighborhoods around the world and in 1 in 3 households in the United States.</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Key business metrics for the three months ended March 31, 2024 are as follows: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Weekly Active Users (“WAUs”) were 43.4 million, an increase of 2% compared to the three months ended March 31, 2023.</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Average revenue per weekly active user (“ARPU”) was $1.22, an increase of 4% compared to the three months ended March 31, 2023.</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Financial Results as of and for the three months ended March 31, 2024 are as follows: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Revenue for the three months ended March 31, 2024 was $53.1 million, an increase of 7% compared to the three months ended March 31, 2023.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Total costs and expenses for the three months ended March 31, 2024 were $87.9 million, a decrease of 1% compared to the three months ended March 31, 2023.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Net loss for the three months ended March 31, 2024 decreased 16% to $28.3 million, compared to $33.7 million for the three months ended March 31, 2023.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 xml:space="preserve">Adjusted EBITDA loss for the three months ended March 31, 2024 decreased 35% to $14.0 million, compared to $21.7 million for the three months ended March 31, 2023. </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Cash, cash equivalents, and marketable securities were $497.8 million as of March 31, 2024.</w:t>
      </w:r>
    </w:p>
    <w:p>
      <w:pPr>
        <w:pStyle w:val="TextBody"/>
        <w:bidi w:val="0"/>
        <w:spacing w:lineRule="auto" w:line="276" w:before="0" w:after="180"/>
        <w:jc w:val="both"/>
        <w:rPr/>
      </w:pPr>
      <w:r>
        <w:rPr>
          <w:rFonts w:ascii="Times New Roman;sans-serif" w:hAnsi="Times New Roman;sans-serif"/>
          <w:b w:val="false"/>
          <w:color w:val="000000"/>
          <w:sz w:val="20"/>
        </w:rPr>
        <w:t>See “</w:t>
      </w:r>
      <w:r>
        <w:rPr>
          <w:rFonts w:ascii="Times New Roman;sans-serif" w:hAnsi="Times New Roman;sans-serif"/>
          <w:b w:val="false"/>
          <w:i/>
          <w:color w:val="000000"/>
          <w:sz w:val="20"/>
        </w:rPr>
        <w:t>Non-GAAP Financial Measure</w:t>
      </w:r>
      <w:r>
        <w:rPr>
          <w:color w:val="000000"/>
        </w:rPr>
        <w:t xml:space="preserve">” </w:t>
      </w:r>
      <w:r>
        <w:rPr>
          <w:rFonts w:ascii="Times New Roman;sans-serif" w:hAnsi="Times New Roman;sans-serif"/>
          <w:b w:val="false"/>
          <w:color w:val="000000"/>
          <w:sz w:val="20"/>
        </w:rPr>
        <w:t>below for more information and for a reconciliation of net loss, the most directly comparable financial measure calculated and presented in accordance with U.S. generally accepted accounting principles (“GAAP”), to Adjusted EBITDA.</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Key Business Metrics</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the measures presented in our unaudited condensed consolidated financial statements, we use the following key business metrics to evaluate our business, measure our performance, develop financial forecasts, and make strategic decisions: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Weekly Active Users (WAU)</w:t>
      </w:r>
    </w:p>
    <w:p>
      <w:pPr>
        <w:pStyle w:val="TextBody"/>
        <w:bidi w:val="0"/>
        <w:spacing w:lineRule="auto" w:line="276" w:before="0" w:after="180"/>
        <w:jc w:val="both"/>
        <w:rPr/>
      </w:pPr>
      <w:r>
        <w:rPr>
          <w:rFonts w:ascii="Times New Roman;sans-serif" w:hAnsi="Times New Roman;sans-serif"/>
          <w:b w:val="false"/>
          <w:color w:val="000000"/>
          <w:sz w:val="20"/>
        </w:rPr>
        <w:t>We define a WAU as a Nextdoor user who opens our application, logs on to our website, or engages with an email with monetizable content at least once during a defined 7-day period.</w:t>
      </w: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We calculate average WAUs for a particular period by calculating the count of unique users, on a rolling basis for the past seven days, for each day of that period, and dividing that sum by the number of days in that period. We assess the health of our business by measuring WAUs because we believe that weekly usage best captures the cadence at which we expect a healthy user base to engage with, and derive the most utility from our platform, and by extension their neighborh</w:t>
      </w:r>
    </w:p>
    <w:p>
      <w:pPr>
        <w:pStyle w:val="TextBody"/>
        <w:bidi w:val="0"/>
        <w:spacing w:lineRule="auto" w:line="288" w:before="0" w:after="1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16"/>
        </w:rPr>
        <w:t>Emails with monetizable content are emails with a primary purpose to regularly inform users about topics that are relevant to them, and are therefore appropriate for delivering ads to users. These emails comprise almost all of the emails that we send our users and include, but are not limited to, new, trending and top posts, weekly and anytime digests, welcome emails and urgent and emergency alerts. We earn revenue from delivery of ad impressions in emails with monetizable content on either a cost per thousand (“CPM”) basis, a cost per click (“CPC”) basis or on a fixed-fee basis. While we have the ability to serve ads in all emails with monetizable content, we currently only do so on a portion of the total.</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0">
                <wp:simplePos x="0" y="0"/>
                <wp:positionH relativeFrom="character">
                  <wp:align>left</wp:align>
                </wp:positionH>
                <wp:positionV relativeFrom="line">
                  <wp:posOffset>635</wp:posOffset>
                </wp:positionV>
                <wp:extent cx="6480175" cy="146685"/>
                <wp:effectExtent l="0" t="0" r="0" b="0"/>
                <wp:wrapNone/>
                <wp:docPr id="22" name="Frame2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21</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ood. We also present WAUs by geography because we are more advanced in engagement and monetization in the United States than internationally. </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September 2021, Apple released changes to the Apple email client available on its operating systems, including iOS 15 and iPadOS 15, which limit our ability to measure user engagement with emails containing monetizable content for users that use the Apple email client. The introduction of these changes impacts our ability to accurately calculate a portion of WAUs for periods following the adoption of the updated operating systems. Following this introduction, we use estimates for these user engagement numbers based on historical data sets, as well as data from users who engage with Nextdoor’s monetizable content on email clients other than Apple email.</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WAU for the three months ended March 31, 2024 and 2023 were 43.4 million and 42.4 million, respectively, which represents 2% growth period over period.</w: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Quarterly Average Weekly Active Users</w:t>
      </w:r>
    </w:p>
    <w:p>
      <w:pPr>
        <w:pStyle w:val="TextBody"/>
        <w:bidi w:val="0"/>
        <w:spacing w:lineRule="auto" w:line="288" w:before="0" w:after="180"/>
        <w:jc w:val="center"/>
        <w:rPr>
          <w:rFonts w:ascii="Times New Roman;sans-serif" w:hAnsi="Times New Roman;sans-serif"/>
          <w:b/>
          <w:i/>
          <w:color w:val="000000"/>
          <w:sz w:val="20"/>
        </w:rPr>
      </w:pPr>
      <w:r>
        <w:rPr>
          <w:rFonts w:ascii="Times New Roman;sans-serif" w:hAnsi="Times New Roman;sans-serif"/>
          <w:b/>
          <w:i/>
          <w:color w:val="000000"/>
          <w:sz w:val="20"/>
        </w:rPr>
        <w:t>(in millions)</w:t>
      </w:r>
    </w:p>
    <w:p>
      <w:pPr>
        <w:pStyle w:val="TextBody"/>
        <w:bidi w:val="0"/>
        <w:spacing w:before="0" w:after="180"/>
        <w:jc w:val="center"/>
        <w:rPr/>
      </w:pPr>
      <w:r>
        <w:rPr/>
        <w:drawing>
          <wp:inline distT="0" distB="0" distL="0" distR="0">
            <wp:extent cx="5048250" cy="3143250"/>
            <wp:effectExtent l="0" t="0" r="0" b="0"/>
            <wp:docPr id="23"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1" descr=""/>
                    <pic:cNvPicPr>
                      <a:picLocks noChangeAspect="1" noChangeArrowheads="1"/>
                    </pic:cNvPicPr>
                  </pic:nvPicPr>
                  <pic:blipFill>
                    <a:blip r:embed="rId2"/>
                    <a:stretch>
                      <a:fillRect/>
                    </a:stretch>
                  </pic:blipFill>
                  <pic:spPr bwMode="auto">
                    <a:xfrm>
                      <a:off x="0" y="0"/>
                      <a:ext cx="5048250" cy="3143250"/>
                    </a:xfrm>
                    <a:prstGeom prst="rect">
                      <a:avLst/>
                    </a:prstGeom>
                  </pic:spPr>
                </pic:pic>
              </a:graphicData>
            </a:graphic>
          </wp:inline>
        </w:drawing>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1">
                <wp:simplePos x="0" y="0"/>
                <wp:positionH relativeFrom="character">
                  <wp:align>left</wp:align>
                </wp:positionH>
                <wp:positionV relativeFrom="line">
                  <wp:posOffset>635</wp:posOffset>
                </wp:positionV>
                <wp:extent cx="6480175" cy="146685"/>
                <wp:effectExtent l="0" t="0" r="0" b="0"/>
                <wp:wrapNone/>
                <wp:docPr id="24" name="Frame2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22</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before="0" w:after="180"/>
        <w:jc w:val="center"/>
        <w:rPr/>
      </w:pPr>
      <w:r>
        <w:rPr/>
        <w:drawing>
          <wp:inline distT="0" distB="0" distL="0" distR="0">
            <wp:extent cx="2952750" cy="3048000"/>
            <wp:effectExtent l="0" t="0" r="0" b="0"/>
            <wp:docPr id="25"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 descr=""/>
                    <pic:cNvPicPr>
                      <a:picLocks noChangeAspect="1" noChangeArrowheads="1"/>
                    </pic:cNvPicPr>
                  </pic:nvPicPr>
                  <pic:blipFill>
                    <a:blip r:embed="rId3"/>
                    <a:stretch>
                      <a:fillRect/>
                    </a:stretch>
                  </pic:blipFill>
                  <pic:spPr bwMode="auto">
                    <a:xfrm>
                      <a:off x="0" y="0"/>
                      <a:ext cx="2952750" cy="3048000"/>
                    </a:xfrm>
                    <a:prstGeom prst="rect">
                      <a:avLst/>
                    </a:prstGeom>
                  </pic:spPr>
                </pic:pic>
              </a:graphicData>
            </a:graphic>
          </wp:inline>
        </w:drawing>
      </w:r>
      <w:r>
        <w:rPr/>
        <w:drawing>
          <wp:inline distT="0" distB="0" distL="0" distR="0">
            <wp:extent cx="2952750" cy="3048000"/>
            <wp:effectExtent l="0" t="0" r="0" b="0"/>
            <wp:docPr id="26"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3" descr=""/>
                    <pic:cNvPicPr>
                      <a:picLocks noChangeAspect="1" noChangeArrowheads="1"/>
                    </pic:cNvPicPr>
                  </pic:nvPicPr>
                  <pic:blipFill>
                    <a:blip r:embed="rId4"/>
                    <a:stretch>
                      <a:fillRect/>
                    </a:stretch>
                  </pic:blipFill>
                  <pic:spPr bwMode="auto">
                    <a:xfrm>
                      <a:off x="0" y="0"/>
                      <a:ext cx="2952750" cy="3048000"/>
                    </a:xfrm>
                    <a:prstGeom prst="rect">
                      <a:avLst/>
                    </a:prstGeom>
                  </pic:spPr>
                </pic:pic>
              </a:graphicData>
            </a:graphic>
          </wp:inline>
        </w:drawing>
      </w:r>
    </w:p>
    <w:p>
      <w:pPr>
        <w:pStyle w:val="TextBody"/>
        <w:bidi w:val="0"/>
        <w:spacing w:lineRule="auto" w:line="276"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 xml:space="preserve">Average Revenue per Weekly Active User (ARPU) </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generate revenue primarily from advertising. We measure monetization of our platform through our ARPU metric. We define ARPU as our total revenue in that geography during a period divided by the average of the number of WAUs in that geography during the same period. We present ARPU on a U.S. and international basis because we are more advanced in our monetization in the United States than internationally. </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U.S. ARPU is higher primarily due to our decision to focus our earliest monetization efforts there, the size and maturity of our audience in the United States, as well the size of the U.S. advertising market. For purposes of calculating ARPU, revenue by user geography is apportioned to each region based on a determination of the location of the account where the revenue-generating activities occur. Our ARPU for the three months ended March 31, 2024 and 2023 was $1.22 and $1.17, respectively, with the increase due to stronger revenue growth relative to WAU growth.</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2">
                <wp:simplePos x="0" y="0"/>
                <wp:positionH relativeFrom="character">
                  <wp:align>left</wp:align>
                </wp:positionH>
                <wp:positionV relativeFrom="line">
                  <wp:posOffset>635</wp:posOffset>
                </wp:positionV>
                <wp:extent cx="6480175" cy="146685"/>
                <wp:effectExtent l="0" t="0" r="0" b="0"/>
                <wp:wrapNone/>
                <wp:docPr id="27" name="Frame2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23</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Quarterly ARPU</w:t>
      </w:r>
    </w:p>
    <w:p>
      <w:pPr>
        <w:pStyle w:val="TextBody"/>
        <w:bidi w:val="0"/>
        <w:spacing w:before="0" w:after="180"/>
        <w:jc w:val="center"/>
        <w:rPr/>
      </w:pPr>
      <w:r>
        <w:rPr/>
        <w:drawing>
          <wp:inline distT="0" distB="0" distL="0" distR="0">
            <wp:extent cx="5048250" cy="3143250"/>
            <wp:effectExtent l="0" t="0" r="0" b="0"/>
            <wp:docPr id="28"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4" descr=""/>
                    <pic:cNvPicPr>
                      <a:picLocks noChangeAspect="1" noChangeArrowheads="1"/>
                    </pic:cNvPicPr>
                  </pic:nvPicPr>
                  <pic:blipFill>
                    <a:blip r:embed="rId5"/>
                    <a:stretch>
                      <a:fillRect/>
                    </a:stretch>
                  </pic:blipFill>
                  <pic:spPr bwMode="auto">
                    <a:xfrm>
                      <a:off x="0" y="0"/>
                      <a:ext cx="5048250" cy="3143250"/>
                    </a:xfrm>
                    <a:prstGeom prst="rect">
                      <a:avLst/>
                    </a:prstGeom>
                  </pic:spPr>
                </pic:pic>
              </a:graphicData>
            </a:graphic>
          </wp:inline>
        </w:drawing>
      </w:r>
    </w:p>
    <w:p>
      <w:pPr>
        <w:pStyle w:val="TextBody"/>
        <w:bidi w:val="0"/>
        <w:spacing w:before="0" w:after="180"/>
        <w:jc w:val="center"/>
        <w:rPr/>
      </w:pPr>
      <w:r>
        <w:rPr/>
        <w:drawing>
          <wp:inline distT="0" distB="0" distL="0" distR="0">
            <wp:extent cx="2952750" cy="3048000"/>
            <wp:effectExtent l="0" t="0" r="0" b="0"/>
            <wp:docPr id="29"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5" descr=""/>
                    <pic:cNvPicPr>
                      <a:picLocks noChangeAspect="1" noChangeArrowheads="1"/>
                    </pic:cNvPicPr>
                  </pic:nvPicPr>
                  <pic:blipFill>
                    <a:blip r:embed="rId6"/>
                    <a:stretch>
                      <a:fillRect/>
                    </a:stretch>
                  </pic:blipFill>
                  <pic:spPr bwMode="auto">
                    <a:xfrm>
                      <a:off x="0" y="0"/>
                      <a:ext cx="2952750" cy="3048000"/>
                    </a:xfrm>
                    <a:prstGeom prst="rect">
                      <a:avLst/>
                    </a:prstGeom>
                  </pic:spPr>
                </pic:pic>
              </a:graphicData>
            </a:graphic>
          </wp:inline>
        </w:drawing>
      </w:r>
      <w:r>
        <w:rPr/>
        <w:drawing>
          <wp:inline distT="0" distB="0" distL="0" distR="0">
            <wp:extent cx="2952750" cy="3048000"/>
            <wp:effectExtent l="0" t="0" r="0" b="0"/>
            <wp:docPr id="30"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 name="Image6" descr=""/>
                    <pic:cNvPicPr>
                      <a:picLocks noChangeAspect="1" noChangeArrowheads="1"/>
                    </pic:cNvPicPr>
                  </pic:nvPicPr>
                  <pic:blipFill>
                    <a:blip r:embed="rId7"/>
                    <a:stretch>
                      <a:fillRect/>
                    </a:stretch>
                  </pic:blipFill>
                  <pic:spPr bwMode="auto">
                    <a:xfrm>
                      <a:off x="0" y="0"/>
                      <a:ext cx="2952750" cy="3048000"/>
                    </a:xfrm>
                    <a:prstGeom prst="rect">
                      <a:avLst/>
                    </a:prstGeom>
                  </pic:spPr>
                </pic:pic>
              </a:graphicData>
            </a:graphic>
          </wp:inline>
        </w:drawing>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Components of Results of Operations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generate substantially all of our revenue from the delivery of advertisements on our platform which includes the delivery of advertising impressions sold on a CPM basis and CPC basis, as well as on a fixed-fee basis. The majority of our revenue is generated in the United States.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Cost of revenue consists primarily of expenses associated with the delivery of our revenue generating activities, including the third-party cost of hosting our platform and allocated personnel-related costs, which include salaries, benefits, and stock-based compensation for employees engaged in development of our revenue generating products. Cost of revenue also includes third-party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3">
                <wp:simplePos x="0" y="0"/>
                <wp:positionH relativeFrom="character">
                  <wp:align>left</wp:align>
                </wp:positionH>
                <wp:positionV relativeFrom="line">
                  <wp:posOffset>635</wp:posOffset>
                </wp:positionV>
                <wp:extent cx="6480175" cy="146685"/>
                <wp:effectExtent l="0" t="0" r="0" b="0"/>
                <wp:wrapNone/>
                <wp:docPr id="31" name="Frame2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24</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costs associated with delivering and supporting our advertising products and credit card transaction fees related to processing customer transactions.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consist primarily of personnel-related costs, including salaries, benefits, and stock-based compensation for our employees engaged in research and development, as well as costs for consultants, contractors and third-party software. In addition, allocated overhead costs, such as facilities, information technology, and depreciation are included in research and development expenses.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Sales and marketing expenses consist of personnel-related and other costs which include salaries, commissions, benefits, and stock-based compensation for employees engaged in sales and marketing activities as well as other costs including third-party consulting, public relations, allocated overhead costs, and amortization of acquired intangible assets. Sales and marketing expenses also include brand and performance marketing for both user and local business acquisition, and neighbor services, which includes personnel-related costs for our neighbor support team, our outsourced neighbor support function, and verification costs. </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Performance marketing costs related to user acquisition largely consist of the distribution of mailed invitations and, to a lesser extent, digital advertising. Performance marketing costs related to small and mid-sized customer acquisition largely consists of digital advertising and, to a lesser extent, direct mail campaigns. Fluctuations in our performance marketing expenses are driven by a variety of factors, including but not limited to: our target geographies, whether we are acquiring users or businesses, assessment of return on investment of marketing spend, strategic priorities, and seasonal factors.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consist primarily of personnel-related costs, including salaries, benefits, and stock-based compensation for certain executives, finance, legal, information technology, human resources, and other administrative employees. In addition, general and administrative expenses include fees and costs for professional services, including consulting, third-party legal and accounting services, and allocated overhead costs.</w:t>
      </w:r>
    </w:p>
    <w:p>
      <w:pPr>
        <w:pStyle w:val="TextBody"/>
        <w:bidi w:val="0"/>
        <w:spacing w:lineRule="auto" w:line="288" w:before="0" w:after="180"/>
        <w:jc w:val="left"/>
        <w:rPr/>
      </w:pPr>
      <w:r>
        <w:rPr>
          <w:rFonts w:ascii="Times New Roman;sans-serif" w:hAnsi="Times New Roman;sans-serif"/>
          <w:b/>
          <w:i/>
          <w:color w:val="000000"/>
          <w:sz w:val="20"/>
        </w:rPr>
        <w:t>Interest Income</w:t>
      </w:r>
      <w:r>
        <w:rPr>
          <w:color w:val="000000"/>
        </w:rPr>
        <w:t xml:space="preserve"> </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consists of interest earned on our cash, cash equivalents, and marketable securities.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 xml:space="preserve">Other Income (Expense), Net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income (expense), net consists primarily of unrealized gains and losses from the re-measurement of monetary assets and liabilities denominated in non-functional currencies, and gains and losses on marketable securities and foreign currency transactions.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provision for income taxes consists primarily of income taxes related to foreign and state jurisdictions in which we conduct business. We maintain a full valuation allowance on our U.S. federal and state deferred tax assets as we have concluded that it is more likely than not that the deferred tax assets will not be realized.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4">
                <wp:simplePos x="0" y="0"/>
                <wp:positionH relativeFrom="character">
                  <wp:align>left</wp:align>
                </wp:positionH>
                <wp:positionV relativeFrom="line">
                  <wp:posOffset>635</wp:posOffset>
                </wp:positionV>
                <wp:extent cx="6480175" cy="146685"/>
                <wp:effectExtent l="0" t="0" r="0" b="0"/>
                <wp:wrapNone/>
                <wp:docPr id="32" name="Frame2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25</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Results of Operations</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results of operations presented below should be reviewed in conjunction with our unaudited condensed consolidated financial statements and related notes thereto included elsewhere in this Quarterly Report. The following table sets forth our unaudited condensed consolidated results of operations for the periods presented.</w:t>
      </w:r>
    </w:p>
    <w:tbl>
      <w:tblPr>
        <w:tblW w:w="5424" w:type="dxa"/>
        <w:jc w:val="center"/>
        <w:tblInd w:w="0" w:type="dxa"/>
        <w:tblLayout w:type="fixed"/>
        <w:tblCellMar>
          <w:top w:w="28" w:type="dxa"/>
          <w:left w:w="28" w:type="dxa"/>
          <w:bottom w:w="28" w:type="dxa"/>
          <w:right w:w="28" w:type="dxa"/>
        </w:tblCellMar>
      </w:tblPr>
      <w:tblGrid>
        <w:gridCol w:w="863"/>
        <w:gridCol w:w="760"/>
        <w:gridCol w:w="761"/>
        <w:gridCol w:w="211"/>
        <w:gridCol w:w="796"/>
        <w:gridCol w:w="109"/>
        <w:gridCol w:w="109"/>
        <w:gridCol w:w="109"/>
        <w:gridCol w:w="109"/>
        <w:gridCol w:w="211"/>
        <w:gridCol w:w="796"/>
        <w:gridCol w:w="109"/>
        <w:gridCol w:w="109"/>
        <w:gridCol w:w="109"/>
        <w:gridCol w:w="109"/>
        <w:gridCol w:w="154"/>
      </w:tblGrid>
      <w:tr>
        <w:trPr/>
        <w:tc>
          <w:tcPr>
            <w:tcW w:w="863" w:type="dxa"/>
            <w:tcBorders/>
            <w:vAlign w:val="center"/>
          </w:tcPr>
          <w:p>
            <w:pPr>
              <w:pStyle w:val="TableContents"/>
              <w:bidi w:val="0"/>
              <w:spacing w:before="0" w:after="283"/>
              <w:jc w:val="left"/>
              <w:rPr>
                <w:sz w:val="4"/>
                <w:szCs w:val="4"/>
              </w:rPr>
            </w:pPr>
            <w:r>
              <w:rPr>
                <w:sz w:val="4"/>
                <w:szCs w:val="4"/>
              </w:rPr>
            </w:r>
          </w:p>
        </w:tc>
        <w:tc>
          <w:tcPr>
            <w:tcW w:w="760" w:type="dxa"/>
            <w:tcBorders/>
            <w:vAlign w:val="center"/>
          </w:tcPr>
          <w:p>
            <w:pPr>
              <w:pStyle w:val="TableContents"/>
              <w:bidi w:val="0"/>
              <w:spacing w:before="0" w:after="283"/>
              <w:jc w:val="left"/>
              <w:rPr>
                <w:sz w:val="4"/>
                <w:szCs w:val="4"/>
              </w:rPr>
            </w:pPr>
            <w:r>
              <w:rPr>
                <w:sz w:val="4"/>
                <w:szCs w:val="4"/>
              </w:rPr>
            </w:r>
          </w:p>
        </w:tc>
        <w:tc>
          <w:tcPr>
            <w:tcW w:w="761"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Costs and expenses</w:t>
            </w:r>
            <w:r>
              <w:rPr>
                <w:rFonts w:ascii="Times New Roman;sans-serif" w:hAnsi="Times New Roman;sans-serif"/>
                <w:b w:val="false"/>
                <w:color w:val="000000"/>
                <w:sz w:val="13"/>
              </w:rPr>
              <w:t>(1)</w:t>
            </w:r>
            <w:r>
              <w:rPr>
                <w:rFonts w:ascii="Times New Roman;sans-serif" w:hAnsi="Times New Roman;sans-serif"/>
                <w:b w:val="false"/>
                <w:color w:val="000000"/>
                <w:sz w:val="20"/>
              </w:rPr>
              <w:t>:</w:t>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87,895 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88,583 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(34,749)</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(38,812)</w:t>
            </w:r>
          </w:p>
        </w:tc>
        <w:tc>
          <w:tcPr>
            <w:tcW w:w="109"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(28,062)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(33,415)</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8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(28,261)</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(33,716)</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__________________</w:t>
      </w:r>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(1)Includes stock-based compensation expense as follows:</w:t>
      </w:r>
    </w:p>
    <w:tbl>
      <w:tblPr>
        <w:tblW w:w="5200" w:type="dxa"/>
        <w:jc w:val="center"/>
        <w:tblInd w:w="0" w:type="dxa"/>
        <w:tblLayout w:type="fixed"/>
        <w:tblCellMar>
          <w:top w:w="28" w:type="dxa"/>
          <w:left w:w="28" w:type="dxa"/>
          <w:bottom w:w="28" w:type="dxa"/>
          <w:right w:w="28" w:type="dxa"/>
        </w:tblCellMar>
      </w:tblPr>
      <w:tblGrid>
        <w:gridCol w:w="837"/>
        <w:gridCol w:w="736"/>
        <w:gridCol w:w="737"/>
        <w:gridCol w:w="211"/>
        <w:gridCol w:w="721"/>
        <w:gridCol w:w="109"/>
        <w:gridCol w:w="109"/>
        <w:gridCol w:w="109"/>
        <w:gridCol w:w="109"/>
        <w:gridCol w:w="211"/>
        <w:gridCol w:w="721"/>
        <w:gridCol w:w="109"/>
        <w:gridCol w:w="109"/>
        <w:gridCol w:w="109"/>
        <w:gridCol w:w="109"/>
        <w:gridCol w:w="154"/>
      </w:tblGrid>
      <w:tr>
        <w:trPr/>
        <w:tc>
          <w:tcPr>
            <w:tcW w:w="837" w:type="dxa"/>
            <w:tcBorders/>
            <w:vAlign w:val="center"/>
          </w:tcPr>
          <w:p>
            <w:pPr>
              <w:pStyle w:val="TableContents"/>
              <w:bidi w:val="0"/>
              <w:spacing w:before="0" w:after="283"/>
              <w:jc w:val="left"/>
              <w:rPr>
                <w:sz w:val="4"/>
                <w:szCs w:val="4"/>
              </w:rPr>
            </w:pPr>
            <w:r>
              <w:rPr>
                <w:sz w:val="4"/>
                <w:szCs w:val="4"/>
              </w:rPr>
            </w:r>
          </w:p>
        </w:tc>
        <w:tc>
          <w:tcPr>
            <w:tcW w:w="736" w:type="dxa"/>
            <w:tcBorders/>
            <w:vAlign w:val="center"/>
          </w:tcPr>
          <w:p>
            <w:pPr>
              <w:pStyle w:val="TableContents"/>
              <w:bidi w:val="0"/>
              <w:spacing w:before="0" w:after="283"/>
              <w:jc w:val="left"/>
              <w:rPr>
                <w:sz w:val="4"/>
                <w:szCs w:val="4"/>
              </w:rPr>
            </w:pPr>
            <w:r>
              <w:rPr>
                <w:sz w:val="4"/>
                <w:szCs w:val="4"/>
              </w:rPr>
            </w:r>
          </w:p>
        </w:tc>
        <w:tc>
          <w:tcPr>
            <w:tcW w:w="73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3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(in thousands)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709 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630 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10,007 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8,457 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3,352 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2,433 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5,438 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4,296 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31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15,816 </w:t>
            </w:r>
          </w:p>
        </w:tc>
        <w:tc>
          <w:tcPr>
            <w:tcW w:w="109"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sets forth the components of our unaudited condensed consolidated statements of operations as a percentage of revenue for each of the periods presented:</w:t>
      </w:r>
    </w:p>
    <w:tbl>
      <w:tblPr>
        <w:tblW w:w="5873" w:type="dxa"/>
        <w:jc w:val="center"/>
        <w:tblInd w:w="0" w:type="dxa"/>
        <w:tblLayout w:type="fixed"/>
        <w:tblCellMar>
          <w:top w:w="28" w:type="dxa"/>
          <w:left w:w="28" w:type="dxa"/>
          <w:bottom w:w="28" w:type="dxa"/>
          <w:right w:w="28" w:type="dxa"/>
        </w:tblCellMar>
      </w:tblPr>
      <w:tblGrid>
        <w:gridCol w:w="1037"/>
        <w:gridCol w:w="912"/>
        <w:gridCol w:w="915"/>
        <w:gridCol w:w="233"/>
        <w:gridCol w:w="233"/>
        <w:gridCol w:w="498"/>
        <w:gridCol w:w="200"/>
        <w:gridCol w:w="200"/>
        <w:gridCol w:w="200"/>
        <w:gridCol w:w="233"/>
        <w:gridCol w:w="233"/>
        <w:gridCol w:w="498"/>
        <w:gridCol w:w="109"/>
        <w:gridCol w:w="109"/>
        <w:gridCol w:w="109"/>
        <w:gridCol w:w="154"/>
      </w:tblGrid>
      <w:tr>
        <w:trPr/>
        <w:tc>
          <w:tcPr>
            <w:tcW w:w="1037" w:type="dxa"/>
            <w:tcBorders/>
            <w:vAlign w:val="center"/>
          </w:tcPr>
          <w:p>
            <w:pPr>
              <w:pStyle w:val="TableContents"/>
              <w:bidi w:val="0"/>
              <w:spacing w:before="0" w:after="283"/>
              <w:jc w:val="left"/>
              <w:rPr>
                <w:sz w:val="4"/>
                <w:szCs w:val="4"/>
              </w:rPr>
            </w:pPr>
            <w:r>
              <w:rPr>
                <w:sz w:val="4"/>
                <w:szCs w:val="4"/>
              </w:rPr>
            </w:r>
          </w:p>
        </w:tc>
        <w:tc>
          <w:tcPr>
            <w:tcW w:w="912" w:type="dxa"/>
            <w:tcBorders/>
            <w:vAlign w:val="center"/>
          </w:tcPr>
          <w:p>
            <w:pPr>
              <w:pStyle w:val="TableContents"/>
              <w:bidi w:val="0"/>
              <w:spacing w:before="0" w:after="283"/>
              <w:jc w:val="left"/>
              <w:rPr>
                <w:sz w:val="4"/>
                <w:szCs w:val="4"/>
              </w:rPr>
            </w:pPr>
            <w:r>
              <w:rPr>
                <w:sz w:val="4"/>
                <w:szCs w:val="4"/>
              </w:rPr>
            </w:r>
          </w:p>
        </w:tc>
        <w:tc>
          <w:tcPr>
            <w:tcW w:w="915"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00"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233" w:type="dxa"/>
            <w:tcBorders/>
            <w:vAlign w:val="center"/>
          </w:tcPr>
          <w:p>
            <w:pPr>
              <w:pStyle w:val="TableContents"/>
              <w:bidi w:val="0"/>
              <w:spacing w:before="0" w:after="283"/>
              <w:jc w:val="left"/>
              <w:rPr>
                <w:sz w:val="4"/>
                <w:szCs w:val="4"/>
              </w:rPr>
            </w:pPr>
            <w:r>
              <w:rPr>
                <w:sz w:val="4"/>
                <w:szCs w:val="4"/>
              </w:rPr>
            </w:r>
          </w:p>
        </w:tc>
        <w:tc>
          <w:tcPr>
            <w:tcW w:w="49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86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(as a percentage of total revenue)</w:t>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600"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100 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Costs and expenses:</w:t>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6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Sales and marketing</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56 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59 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costs and expenses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165 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178 </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from operations</w:t>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(78)</w:t>
            </w:r>
          </w:p>
        </w:tc>
        <w:tc>
          <w:tcPr>
            <w:tcW w:w="498"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11 </w:t>
            </w:r>
          </w:p>
        </w:tc>
        <w:tc>
          <w:tcPr>
            <w:tcW w:w="498"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Loss before income taxes</w:t>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(67)</w:t>
            </w:r>
          </w:p>
        </w:tc>
        <w:tc>
          <w:tcPr>
            <w:tcW w:w="498"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498"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6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00"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66" w:type="dxa"/>
            <w:gridSpan w:val="2"/>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w:t>
            </w:r>
          </w:p>
        </w:tc>
        <w:tc>
          <w:tcPr>
            <w:tcW w:w="498" w:type="dxa"/>
            <w:tcBorders>
              <w:top w:val="single" w:sz="8" w:space="0" w:color="000000"/>
              <w:bottom w:val="double" w:sz="8" w:space="0" w:color="000000"/>
            </w:tcBorders>
            <w:shd w:fill="CCEE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5">
                <wp:simplePos x="0" y="0"/>
                <wp:positionH relativeFrom="character">
                  <wp:align>left</wp:align>
                </wp:positionH>
                <wp:positionV relativeFrom="line">
                  <wp:posOffset>635</wp:posOffset>
                </wp:positionV>
                <wp:extent cx="6480175" cy="146685"/>
                <wp:effectExtent l="0" t="0" r="0" b="0"/>
                <wp:wrapNone/>
                <wp:docPr id="33" name="Frame2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26</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Note: Certain figures may not sum due to rounding.</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Comparison of the Three Months Ended March 31, 2024 and 2023</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Revenue</w:t>
      </w:r>
    </w:p>
    <w:tbl>
      <w:tblPr>
        <w:tblW w:w="7963" w:type="dxa"/>
        <w:jc w:val="center"/>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16"/>
        <w:gridCol w:w="109"/>
        <w:gridCol w:w="109"/>
        <w:gridCol w:w="109"/>
        <w:gridCol w:w="109"/>
        <w:gridCol w:w="128"/>
        <w:gridCol w:w="128"/>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Revenue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53,146 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49,771 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3,375 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7 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Revenue increased by $3.4 million, or 7%, for the three months ended March 31, 2024 compared to the three months ended March 31, 2023. The increase was primarily due to an increase in advertiser demand for our product offerings, which was driven by increased marketer spending as well as increased user engagement as measured by a 2% increase in Q1 WAUs. ARPU increased 4% in the three months ended March 31, 2024 compared to the three months ended March 31, 2023, reflecting stronger year-over-year revenue growth relative to WAU growth.</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Cost of revenue</w:t>
      </w:r>
    </w:p>
    <w:tbl>
      <w:tblPr>
        <w:tblW w:w="7698" w:type="dxa"/>
        <w:jc w:val="center"/>
        <w:tblInd w:w="0" w:type="dxa"/>
        <w:tblLayout w:type="fixed"/>
        <w:tblCellMar>
          <w:top w:w="28" w:type="dxa"/>
          <w:left w:w="28" w:type="dxa"/>
          <w:bottom w:w="28" w:type="dxa"/>
          <w:right w:w="28" w:type="dxa"/>
        </w:tblCellMar>
      </w:tblPr>
      <w:tblGrid>
        <w:gridCol w:w="911"/>
        <w:gridCol w:w="802"/>
        <w:gridCol w:w="807"/>
        <w:gridCol w:w="230"/>
        <w:gridCol w:w="672"/>
        <w:gridCol w:w="119"/>
        <w:gridCol w:w="119"/>
        <w:gridCol w:w="119"/>
        <w:gridCol w:w="119"/>
        <w:gridCol w:w="230"/>
        <w:gridCol w:w="672"/>
        <w:gridCol w:w="119"/>
        <w:gridCol w:w="109"/>
        <w:gridCol w:w="109"/>
        <w:gridCol w:w="109"/>
        <w:gridCol w:w="211"/>
        <w:gridCol w:w="361"/>
        <w:gridCol w:w="109"/>
        <w:gridCol w:w="109"/>
        <w:gridCol w:w="109"/>
        <w:gridCol w:w="109"/>
        <w:gridCol w:w="128"/>
        <w:gridCol w:w="128"/>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36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3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Cost of revenue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9,978 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9,913 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36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65 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Cost of revenue increased by $0.1 million, or 1%, for the three months ended March 31, 2024 compared to the three months ended March 31, 2023. The increase was primarily due to a $0.3 million increase in third-party costs associated with delivering and supporting our advertising products, partially offset by a $0.3 million decrease in allocated personnel-related costs.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Research and development</w:t>
      </w:r>
    </w:p>
    <w:tbl>
      <w:tblPr>
        <w:tblW w:w="8112"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691"/>
        <w:gridCol w:w="109"/>
        <w:gridCol w:w="109"/>
        <w:gridCol w:w="109"/>
        <w:gridCol w:w="109"/>
        <w:gridCol w:w="164"/>
        <w:gridCol w:w="166"/>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9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64" w:type="dxa"/>
            <w:tcBorders/>
            <w:vAlign w:val="center"/>
          </w:tcPr>
          <w:p>
            <w:pPr>
              <w:pStyle w:val="TableContents"/>
              <w:bidi w:val="0"/>
              <w:spacing w:before="0" w:after="283"/>
              <w:jc w:val="left"/>
              <w:rPr>
                <w:sz w:val="4"/>
                <w:szCs w:val="4"/>
              </w:rPr>
            </w:pPr>
            <w:r>
              <w:rPr>
                <w:sz w:val="4"/>
                <w:szCs w:val="4"/>
              </w:rPr>
            </w:r>
          </w:p>
        </w:tc>
        <w:tc>
          <w:tcPr>
            <w:tcW w:w="166"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93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Research and development</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31,319 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32,982 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9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(1,663)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Research and development expenses decreased by $1.7 million, or 5%, for the three months ended March 31, 2024 compared to the three months ended March 31, 2023. The decrease was primarily due to a $2.0 million decrease in personnel-related costs primarily driven by a decrease in headcount, partially offset by a $0.4 million increase in third-party software costs.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Sales and marketing</w:t>
      </w:r>
    </w:p>
    <w:tbl>
      <w:tblPr>
        <w:tblW w:w="8322" w:type="dxa"/>
        <w:jc w:val="left"/>
        <w:tblInd w:w="0" w:type="dxa"/>
        <w:tblLayout w:type="fixed"/>
        <w:tblCellMar>
          <w:top w:w="28" w:type="dxa"/>
          <w:left w:w="28" w:type="dxa"/>
          <w:bottom w:w="28" w:type="dxa"/>
          <w:right w:w="28" w:type="dxa"/>
        </w:tblCellMar>
      </w:tblPr>
      <w:tblGrid>
        <w:gridCol w:w="1041"/>
        <w:gridCol w:w="916"/>
        <w:gridCol w:w="922"/>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203"/>
        <w:gridCol w:w="203"/>
        <w:gridCol w:w="271"/>
        <w:gridCol w:w="109"/>
        <w:gridCol w:w="109"/>
        <w:gridCol w:w="109"/>
        <w:gridCol w:w="109"/>
        <w:gridCol w:w="109"/>
        <w:gridCol w:w="109"/>
        <w:gridCol w:w="109"/>
        <w:gridCol w:w="154"/>
      </w:tblGrid>
      <w:tr>
        <w:trPr/>
        <w:tc>
          <w:tcPr>
            <w:tcW w:w="1041" w:type="dxa"/>
            <w:tcBorders/>
            <w:vAlign w:val="center"/>
          </w:tcPr>
          <w:p>
            <w:pPr>
              <w:pStyle w:val="TableContents"/>
              <w:bidi w:val="0"/>
              <w:spacing w:before="0" w:after="283"/>
              <w:jc w:val="left"/>
              <w:rPr>
                <w:sz w:val="4"/>
                <w:szCs w:val="4"/>
              </w:rPr>
            </w:pPr>
            <w:r>
              <w:rPr>
                <w:sz w:val="4"/>
                <w:szCs w:val="4"/>
              </w:rPr>
            </w:r>
          </w:p>
        </w:tc>
        <w:tc>
          <w:tcPr>
            <w:tcW w:w="916" w:type="dxa"/>
            <w:tcBorders/>
            <w:vAlign w:val="center"/>
          </w:tcPr>
          <w:p>
            <w:pPr>
              <w:pStyle w:val="TableContents"/>
              <w:bidi w:val="0"/>
              <w:spacing w:before="0" w:after="283"/>
              <w:jc w:val="left"/>
              <w:rPr>
                <w:sz w:val="4"/>
                <w:szCs w:val="4"/>
              </w:rPr>
            </w:pPr>
            <w:r>
              <w:rPr>
                <w:sz w:val="4"/>
                <w:szCs w:val="4"/>
              </w:rPr>
            </w:r>
          </w:p>
        </w:tc>
        <w:tc>
          <w:tcPr>
            <w:tcW w:w="922"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03"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9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87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Personnel-related and other</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20,916 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20,889 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Brand and performance marketing</w:t>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6,143 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Neighbor services</w:t>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2,813 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2,729 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7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84 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3 </w:t>
            </w:r>
          </w:p>
        </w:tc>
        <w:tc>
          <w:tcPr>
            <w:tcW w:w="271"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879"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 sales and marketing</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29,872 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29,209 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663 </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2 </w:t>
            </w:r>
          </w:p>
        </w:tc>
        <w:tc>
          <w:tcPr>
            <w:tcW w:w="271"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and marketing expenses increased by $0.7 million, or 2%, for the three months ended March 31, 2024 compared to the three months ended March 31, 2023. The increase was primarily due to a $0.3 million increase in performance marketing costs for user acquisition and a $0.2 million increase in performance marketing costs to attract local businesses.</w:t>
      </w:r>
    </w:p>
    <w:p>
      <w:pPr>
        <w:pStyle w:val="TextBody"/>
        <w:bidi w:val="0"/>
        <w:spacing w:before="0" w:after="18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6">
                <wp:simplePos x="0" y="0"/>
                <wp:positionH relativeFrom="character">
                  <wp:align>left</wp:align>
                </wp:positionH>
                <wp:positionV relativeFrom="line">
                  <wp:posOffset>635</wp:posOffset>
                </wp:positionV>
                <wp:extent cx="6480175" cy="146685"/>
                <wp:effectExtent l="0" t="0" r="0" b="0"/>
                <wp:wrapNone/>
                <wp:docPr id="34" name="Frame2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27</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General and administrative</w:t>
      </w:r>
    </w:p>
    <w:tbl>
      <w:tblPr>
        <w:tblW w:w="7813" w:type="dxa"/>
        <w:jc w:val="left"/>
        <w:tblInd w:w="0" w:type="dxa"/>
        <w:tblLayout w:type="fixed"/>
        <w:tblCellMar>
          <w:top w:w="28" w:type="dxa"/>
          <w:left w:w="28" w:type="dxa"/>
          <w:bottom w:w="28" w:type="dxa"/>
          <w:right w:w="28" w:type="dxa"/>
        </w:tblCellMar>
      </w:tblPr>
      <w:tblGrid>
        <w:gridCol w:w="911"/>
        <w:gridCol w:w="802"/>
        <w:gridCol w:w="807"/>
        <w:gridCol w:w="211"/>
        <w:gridCol w:w="721"/>
        <w:gridCol w:w="109"/>
        <w:gridCol w:w="109"/>
        <w:gridCol w:w="109"/>
        <w:gridCol w:w="109"/>
        <w:gridCol w:w="211"/>
        <w:gridCol w:w="721"/>
        <w:gridCol w:w="109"/>
        <w:gridCol w:w="109"/>
        <w:gridCol w:w="109"/>
        <w:gridCol w:w="109"/>
        <w:gridCol w:w="211"/>
        <w:gridCol w:w="466"/>
        <w:gridCol w:w="109"/>
        <w:gridCol w:w="109"/>
        <w:gridCol w:w="109"/>
        <w:gridCol w:w="109"/>
        <w:gridCol w:w="128"/>
        <w:gridCol w:w="128"/>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12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0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4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8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2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16,726 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16,479 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247 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General and administrative expenses increased by $0.2 million, or 1%, for the three months ended March 31, 2024 compared to the three months ended March 31, 2023. The increase was primarily due to a $0.7 million increase in stock-based compensation costs, partially offset by a $0.3 million decrease in insurance expenses and a $0.2 million decrease in professional fees.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income</w:t>
      </w:r>
    </w:p>
    <w:tbl>
      <w:tblPr>
        <w:tblW w:w="8058" w:type="dxa"/>
        <w:jc w:val="left"/>
        <w:tblInd w:w="0" w:type="dxa"/>
        <w:tblLayout w:type="fixed"/>
        <w:tblCellMar>
          <w:top w:w="28" w:type="dxa"/>
          <w:left w:w="28" w:type="dxa"/>
          <w:bottom w:w="28" w:type="dxa"/>
          <w:right w:w="28" w:type="dxa"/>
        </w:tblCellMar>
      </w:tblPr>
      <w:tblGrid>
        <w:gridCol w:w="911"/>
        <w:gridCol w:w="802"/>
        <w:gridCol w:w="807"/>
        <w:gridCol w:w="230"/>
        <w:gridCol w:w="672"/>
        <w:gridCol w:w="119"/>
        <w:gridCol w:w="119"/>
        <w:gridCol w:w="119"/>
        <w:gridCol w:w="119"/>
        <w:gridCol w:w="230"/>
        <w:gridCol w:w="672"/>
        <w:gridCol w:w="119"/>
        <w:gridCol w:w="109"/>
        <w:gridCol w:w="109"/>
        <w:gridCol w:w="109"/>
        <w:gridCol w:w="211"/>
        <w:gridCol w:w="616"/>
        <w:gridCol w:w="109"/>
        <w:gridCol w:w="109"/>
        <w:gridCol w:w="109"/>
        <w:gridCol w:w="109"/>
        <w:gridCol w:w="180"/>
        <w:gridCol w:w="181"/>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230" w:type="dxa"/>
            <w:tcBorders/>
            <w:vAlign w:val="center"/>
          </w:tcPr>
          <w:p>
            <w:pPr>
              <w:pStyle w:val="TableContents"/>
              <w:bidi w:val="0"/>
              <w:spacing w:before="0" w:after="283"/>
              <w:jc w:val="left"/>
              <w:rPr>
                <w:sz w:val="4"/>
                <w:szCs w:val="4"/>
              </w:rPr>
            </w:pPr>
            <w:r>
              <w:rPr>
                <w:sz w:val="4"/>
                <w:szCs w:val="4"/>
              </w:rPr>
            </w:r>
          </w:p>
        </w:tc>
        <w:tc>
          <w:tcPr>
            <w:tcW w:w="672" w:type="dxa"/>
            <w:tcBorders/>
            <w:vAlign w:val="center"/>
          </w:tcPr>
          <w:p>
            <w:pPr>
              <w:pStyle w:val="TableContents"/>
              <w:bidi w:val="0"/>
              <w:spacing w:before="0" w:after="283"/>
              <w:jc w:val="left"/>
              <w:rPr>
                <w:sz w:val="4"/>
                <w:szCs w:val="4"/>
              </w:rPr>
            </w:pPr>
            <w:r>
              <w:rPr>
                <w:sz w:val="4"/>
                <w:szCs w:val="4"/>
              </w:rPr>
            </w:r>
          </w:p>
        </w:tc>
        <w:tc>
          <w:tcPr>
            <w:tcW w:w="11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61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5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2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3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7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5,513 </w:t>
            </w:r>
          </w:p>
        </w:tc>
        <w:tc>
          <w:tcPr>
            <w:tcW w:w="11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1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1,333 </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Interest income increased by $1.3 million, or 24%, for the three months ended March 31, 2024 compared to the three months ended March 31, 2023. The increase was primarily driven by higher interest rates.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Other income (expense), net</w:t>
      </w:r>
    </w:p>
    <w:tbl>
      <w:tblPr>
        <w:tblW w:w="7874" w:type="dxa"/>
        <w:jc w:val="left"/>
        <w:tblInd w:w="0" w:type="dxa"/>
        <w:tblLayout w:type="fixed"/>
        <w:tblCellMar>
          <w:top w:w="28" w:type="dxa"/>
          <w:left w:w="28" w:type="dxa"/>
          <w:bottom w:w="28" w:type="dxa"/>
          <w:right w:w="28" w:type="dxa"/>
        </w:tblCellMar>
      </w:tblPr>
      <w:tblGrid>
        <w:gridCol w:w="911"/>
        <w:gridCol w:w="802"/>
        <w:gridCol w:w="807"/>
        <w:gridCol w:w="247"/>
        <w:gridCol w:w="633"/>
        <w:gridCol w:w="127"/>
        <w:gridCol w:w="127"/>
        <w:gridCol w:w="127"/>
        <w:gridCol w:w="127"/>
        <w:gridCol w:w="247"/>
        <w:gridCol w:w="633"/>
        <w:gridCol w:w="127"/>
        <w:gridCol w:w="109"/>
        <w:gridCol w:w="109"/>
        <w:gridCol w:w="109"/>
        <w:gridCol w:w="211"/>
        <w:gridCol w:w="436"/>
        <w:gridCol w:w="109"/>
        <w:gridCol w:w="109"/>
        <w:gridCol w:w="109"/>
        <w:gridCol w:w="109"/>
        <w:gridCol w:w="180"/>
        <w:gridCol w:w="181"/>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247" w:type="dxa"/>
            <w:tcBorders/>
            <w:vAlign w:val="center"/>
          </w:tcPr>
          <w:p>
            <w:pPr>
              <w:pStyle w:val="TableContents"/>
              <w:bidi w:val="0"/>
              <w:spacing w:before="0" w:after="283"/>
              <w:jc w:val="left"/>
              <w:rPr>
                <w:sz w:val="4"/>
                <w:szCs w:val="4"/>
              </w:rPr>
            </w:pPr>
            <w:r>
              <w:rPr>
                <w:sz w:val="4"/>
                <w:szCs w:val="4"/>
              </w:rPr>
            </w:r>
          </w:p>
        </w:tc>
        <w:tc>
          <w:tcPr>
            <w:tcW w:w="633" w:type="dxa"/>
            <w:tcBorders/>
            <w:vAlign w:val="center"/>
          </w:tcPr>
          <w:p>
            <w:pPr>
              <w:pStyle w:val="TableContents"/>
              <w:bidi w:val="0"/>
              <w:spacing w:before="0" w:after="283"/>
              <w:jc w:val="left"/>
              <w:rPr>
                <w:sz w:val="4"/>
                <w:szCs w:val="4"/>
              </w:rPr>
            </w:pPr>
            <w:r>
              <w:rPr>
                <w:sz w:val="4"/>
                <w:szCs w:val="4"/>
              </w:rPr>
            </w:r>
          </w:p>
        </w:tc>
        <w:tc>
          <w:tcPr>
            <w:tcW w:w="12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43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181"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71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8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Other income (expense), net</w:t>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(159)</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63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(116)</w:t>
            </w:r>
          </w:p>
        </w:tc>
        <w:tc>
          <w:tcPr>
            <w:tcW w:w="12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43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(43)</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6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37 </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Other expense increased by less than $0.1 million, or 37%, for the three months ended March 31, 2024 compared to the three months ended March 31, 2023. The increase was primarily due to the periodic re-measurement of monetary assets and liabilities denominated in non-functional currencies and gains and losses on marketable securities and foreign currency transactions.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Provision for income taxes</w:t>
      </w:r>
    </w:p>
    <w:tbl>
      <w:tblPr>
        <w:tblW w:w="8054" w:type="dxa"/>
        <w:jc w:val="left"/>
        <w:tblInd w:w="0" w:type="dxa"/>
        <w:tblLayout w:type="fixed"/>
        <w:tblCellMar>
          <w:top w:w="28" w:type="dxa"/>
          <w:left w:w="28" w:type="dxa"/>
          <w:bottom w:w="28" w:type="dxa"/>
          <w:right w:w="28" w:type="dxa"/>
        </w:tblCellMar>
      </w:tblPr>
      <w:tblGrid>
        <w:gridCol w:w="911"/>
        <w:gridCol w:w="802"/>
        <w:gridCol w:w="807"/>
        <w:gridCol w:w="266"/>
        <w:gridCol w:w="589"/>
        <w:gridCol w:w="137"/>
        <w:gridCol w:w="137"/>
        <w:gridCol w:w="137"/>
        <w:gridCol w:w="137"/>
        <w:gridCol w:w="266"/>
        <w:gridCol w:w="589"/>
        <w:gridCol w:w="137"/>
        <w:gridCol w:w="109"/>
        <w:gridCol w:w="109"/>
        <w:gridCol w:w="109"/>
        <w:gridCol w:w="211"/>
        <w:gridCol w:w="541"/>
        <w:gridCol w:w="109"/>
        <w:gridCol w:w="109"/>
        <w:gridCol w:w="109"/>
        <w:gridCol w:w="109"/>
        <w:gridCol w:w="218"/>
        <w:gridCol w:w="218"/>
        <w:gridCol w:w="271"/>
        <w:gridCol w:w="109"/>
        <w:gridCol w:w="109"/>
        <w:gridCol w:w="109"/>
        <w:gridCol w:w="109"/>
        <w:gridCol w:w="109"/>
        <w:gridCol w:w="109"/>
        <w:gridCol w:w="109"/>
        <w:gridCol w:w="154"/>
      </w:tblGrid>
      <w:tr>
        <w:trPr/>
        <w:tc>
          <w:tcPr>
            <w:tcW w:w="911" w:type="dxa"/>
            <w:tcBorders/>
            <w:vAlign w:val="center"/>
          </w:tcPr>
          <w:p>
            <w:pPr>
              <w:pStyle w:val="TableContents"/>
              <w:bidi w:val="0"/>
              <w:spacing w:before="0" w:after="283"/>
              <w:jc w:val="left"/>
              <w:rPr>
                <w:sz w:val="4"/>
                <w:szCs w:val="4"/>
              </w:rPr>
            </w:pPr>
            <w:r>
              <w:rPr>
                <w:sz w:val="4"/>
                <w:szCs w:val="4"/>
              </w:rPr>
            </w:r>
          </w:p>
        </w:tc>
        <w:tc>
          <w:tcPr>
            <w:tcW w:w="802" w:type="dxa"/>
            <w:tcBorders/>
            <w:vAlign w:val="center"/>
          </w:tcPr>
          <w:p>
            <w:pPr>
              <w:pStyle w:val="TableContents"/>
              <w:bidi w:val="0"/>
              <w:spacing w:before="0" w:after="283"/>
              <w:jc w:val="left"/>
              <w:rPr>
                <w:sz w:val="4"/>
                <w:szCs w:val="4"/>
              </w:rPr>
            </w:pPr>
            <w:r>
              <w:rPr>
                <w:sz w:val="4"/>
                <w:szCs w:val="4"/>
              </w:rPr>
            </w:r>
          </w:p>
        </w:tc>
        <w:tc>
          <w:tcPr>
            <w:tcW w:w="80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589"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18" w:type="dxa"/>
            <w:tcBorders/>
            <w:vAlign w:val="center"/>
          </w:tcPr>
          <w:p>
            <w:pPr>
              <w:pStyle w:val="TableContents"/>
              <w:bidi w:val="0"/>
              <w:spacing w:before="0" w:after="283"/>
              <w:jc w:val="left"/>
              <w:rPr>
                <w:sz w:val="4"/>
                <w:szCs w:val="4"/>
              </w:rPr>
            </w:pPr>
            <w:r>
              <w:rPr>
                <w:sz w:val="4"/>
                <w:szCs w:val="4"/>
              </w:rPr>
            </w:r>
          </w:p>
        </w:tc>
        <w:tc>
          <w:tcPr>
            <w:tcW w:w="27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95"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Change</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81" w:type="dxa"/>
            <w:gridSpan w:val="4"/>
            <w:tcBorders/>
          </w:tcPr>
          <w:p>
            <w:pPr>
              <w:pStyle w:val="TableContents"/>
              <w:bidi w:val="0"/>
              <w:spacing w:before="0" w:after="283"/>
              <w:jc w:val="left"/>
              <w:rPr>
                <w:sz w:val="4"/>
                <w:szCs w:val="4"/>
              </w:rPr>
            </w:pPr>
            <w:r>
              <w:rPr>
                <w:sz w:val="4"/>
                <w:szCs w:val="4"/>
              </w:rPr>
            </w:r>
          </w:p>
        </w:tc>
      </w:tr>
      <w:tr>
        <w:trPr/>
        <w:tc>
          <w:tcPr>
            <w:tcW w:w="2520" w:type="dxa"/>
            <w:gridSpan w:val="3"/>
            <w:tcBorders/>
            <w:tcMar>
              <w:top w:w="0" w:type="dxa"/>
              <w:left w:w="0" w:type="dxa"/>
              <w:bottom w:w="0" w:type="dxa"/>
              <w:right w:w="0" w:type="dxa"/>
            </w:tcMar>
            <w:vAlign w:val="center"/>
          </w:tcPr>
          <w:p>
            <w:pPr>
              <w:pStyle w:val="TableContents"/>
              <w:bidi w:val="0"/>
              <w:spacing w:lineRule="auto" w:line="288" w:before="0" w:after="0"/>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 except percentages)</w:t>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4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992"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8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07"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2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1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89"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37"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54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(34)</w:t>
            </w:r>
          </w:p>
        </w:tc>
        <w:tc>
          <w:tcPr>
            <w:tcW w:w="27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pStyle w:val="TextBody"/>
        <w:bidi w:val="0"/>
        <w:spacing w:lineRule="auto" w:line="333"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 decreased by $0.1 million, or 34%, for the three months ended March 31, 2024 compared to the three months ended March 31, 2023. The decrease was primarily due to a decrease in foreign income tax expenses.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Liquidity and Capital Resources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Since inception, we have generated negative cash flows from operations and have primarily financed our operations from net proceeds received from the sale of equity securities, proceeds from the Business Combination, and payments received from our customers. We currently have no debt outstanding.</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generated losses from our operations, as reflected in our accumulated deficit of $794.3 million as of March 31, 2024. We incurred operating losses and cash outflows from operations by supporting the growth of our business. We expect these losses and operating cash outflows to continue for the foreseeable future. We also expect to incur significant research and development, sales and marketing, and general and administrative expenses over the next several years in connection with the continued development and strategic expansion of our business.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As of March 31, 2024, we had $497.8 million in cash, cash equivalents, and marketable securities. We anticipate satisfying our short-term cash requirements, including meeting our working capital and capital expenditure requirements, with our existing cash, cash equivalents, and marketable securities. In the long term, we may satisfy our cash requirements with cash, cash equivalents, and marketable securities on hand or with proceeds from any future equity or debt financings. Our ability to support our requirements and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7">
                <wp:simplePos x="0" y="0"/>
                <wp:positionH relativeFrom="character">
                  <wp:align>left</wp:align>
                </wp:positionH>
                <wp:positionV relativeFrom="line">
                  <wp:posOffset>635</wp:posOffset>
                </wp:positionV>
                <wp:extent cx="6480175" cy="146685"/>
                <wp:effectExtent l="0" t="0" r="0" b="0"/>
                <wp:wrapNone/>
                <wp:docPr id="35" name="Frame2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28</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plans for cash, including working capital and capital expenditure requirements, will depend on many factors, including the rate of our revenue growth, the timing and extent of spending on research and development efforts and other business initiatives, the expansion of sales and marketing activities, the introduction of new and enhanced product offerings and features, the continuing market adoption of our platform, the number of shares repurchased under our share repurchase program (the “Share Repurchase Program”), and our ability to obtain equity or debt financing. Moreover, any instability in the U.S. or international banking systems may impact liquidity both in the short term and long term.</w:t>
      </w:r>
    </w:p>
    <w:p>
      <w:pPr>
        <w:pStyle w:val="TextBody"/>
        <w:bidi w:val="0"/>
        <w:spacing w:before="0" w:after="0"/>
        <w:ind w:left="0" w:right="0" w:hanging="36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existing cash, cash equivalents, and marketable securities are insufficient to fund our working capital and capital expenditure requirements, or should we require additional cash for other purposes, we may attempt to raise additional capital through the sale of equity or debt securities. If we raise additional funds through the issuance of equity or debt securities, those securities may have rights, preferences, or privileges senior to the rights of our Class A and Class B common stock, and our stockholders may experience dilution. Any future indebtedness we incur may result in terms that could also be unfavorable to our equity investors. There can be no assurances that we will be able to raise additional capital on terms we deem acceptable, or at all. The inability to raise additional capital as and when required would have an adverse effect, which could be material, on our results of operations, financial condition, and ability to achieve our business objectives.</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On May 31, 2022, our Board of Directors authorized and approved the Share Repurchase Program to repurchase up to $100.0 million in aggregate of our Class A common stock, with the authorization to expire on June 30, 2024. The timing of any repurchases will depend on market conditions and other investment opportunities, and will be made at our discretion. The Share Repurchase Program does not obligate us to repurchase any dollar amount or number of shares, and the program may be extended, modified, suspended, or discontinued at any time. On February 21, 2024, our Board of Directors authorized and approved an increase of $150.0 million to the Share Repurchase Program and extended the expiration date to March 31, 2026. During the three months ended March 31, 2024, we repurchased and retired 4,448,423 shares of Class A common stock at an average purchase price of $2.19 per share for an aggregate repurchase price of $9.8 million. As of March 31, 2024, we had $163.0 million available for future share repurchases under the Share Repurchase Program. </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Cash Flows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our cash flows for the periods presented:</w:t>
      </w:r>
    </w:p>
    <w:tbl>
      <w:tblPr>
        <w:tblW w:w="6819" w:type="dxa"/>
        <w:jc w:val="center"/>
        <w:tblInd w:w="0" w:type="dxa"/>
        <w:tblLayout w:type="fixed"/>
        <w:tblCellMar>
          <w:top w:w="28" w:type="dxa"/>
          <w:left w:w="28" w:type="dxa"/>
          <w:bottom w:w="28" w:type="dxa"/>
          <w:right w:w="28" w:type="dxa"/>
        </w:tblCellMar>
      </w:tblPr>
      <w:tblGrid>
        <w:gridCol w:w="1526"/>
        <w:gridCol w:w="1342"/>
        <w:gridCol w:w="1347"/>
        <w:gridCol w:w="211"/>
        <w:gridCol w:w="796"/>
        <w:gridCol w:w="109"/>
        <w:gridCol w:w="109"/>
        <w:gridCol w:w="109"/>
        <w:gridCol w:w="109"/>
        <w:gridCol w:w="211"/>
        <w:gridCol w:w="796"/>
        <w:gridCol w:w="154"/>
      </w:tblGrid>
      <w:tr>
        <w:trPr/>
        <w:tc>
          <w:tcPr>
            <w:tcW w:w="1526" w:type="dxa"/>
            <w:tcBorders/>
            <w:vAlign w:val="center"/>
          </w:tcPr>
          <w:p>
            <w:pPr>
              <w:pStyle w:val="TableContents"/>
              <w:bidi w:val="0"/>
              <w:spacing w:before="0" w:after="283"/>
              <w:jc w:val="left"/>
              <w:rPr>
                <w:sz w:val="4"/>
                <w:szCs w:val="4"/>
              </w:rPr>
            </w:pPr>
            <w:r>
              <w:rPr>
                <w:sz w:val="4"/>
                <w:szCs w:val="4"/>
              </w:rPr>
            </w:r>
          </w:p>
        </w:tc>
        <w:tc>
          <w:tcPr>
            <w:tcW w:w="1342" w:type="dxa"/>
            <w:tcBorders/>
            <w:vAlign w:val="center"/>
          </w:tcPr>
          <w:p>
            <w:pPr>
              <w:pStyle w:val="TableContents"/>
              <w:bidi w:val="0"/>
              <w:spacing w:before="0" w:after="283"/>
              <w:jc w:val="left"/>
              <w:rPr>
                <w:sz w:val="4"/>
                <w:szCs w:val="4"/>
              </w:rPr>
            </w:pPr>
            <w:r>
              <w:rPr>
                <w:sz w:val="4"/>
                <w:szCs w:val="4"/>
              </w:rPr>
            </w:r>
          </w:p>
        </w:tc>
        <w:tc>
          <w:tcPr>
            <w:tcW w:w="1347"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21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604" w:type="dxa"/>
            <w:gridSpan w:val="9"/>
            <w:tcBorders/>
            <w:tcMar>
              <w:top w:w="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r>
      <w:tr>
        <w:trPr/>
        <w:tc>
          <w:tcPr>
            <w:tcW w:w="421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ind w:left="0" w:right="0" w:hanging="180"/>
              <w:jc w:val="center"/>
              <w:rPr>
                <w:rFonts w:ascii="Times New Roman;sans-serif" w:hAnsi="Times New Roman;sans-serif"/>
                <w:b/>
                <w:color w:val="000000"/>
                <w:sz w:val="16"/>
              </w:rPr>
            </w:pPr>
            <w:r>
              <w:rPr>
                <w:rFonts w:ascii="Times New Roman;sans-serif" w:hAnsi="Times New Roman;sans-serif"/>
                <w:b/>
                <w:color w:val="000000"/>
                <w:sz w:val="16"/>
              </w:rPr>
              <w:t>2023</w:t>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used in operating activities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(13,627)</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(13,715)</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investing activities</w:t>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35,890 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24,665 </w:t>
            </w:r>
          </w:p>
        </w:tc>
        <w:tc>
          <w:tcPr>
            <w:tcW w:w="154" w:type="dxa"/>
            <w:tcBorders/>
            <w:shd w:fill="FFFFFF" w:val="clear"/>
            <w:tcMar>
              <w:top w:w="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215"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cash provided by (used in) financing activities</w:t>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(12,893)</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1,613 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Operating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during the three months ended March 31, 2024 was $13.6 million which resulted from a net loss of $28.3 million, adjusted for non-cash charges of $19.4 million and net cash outflows of $4.7 million from changes in operating assets and liabilities. Non-cash charges primarily consisted of $19.5 million of stock-based compensation expense and $1.4 million of depreciation and amortization expense, partially offset by $1.9 million of accretion on investments. The net cash outflows from changes in operating assets and liabilities were primarily due to a $3.1 million decrease in accrued expenses and other liabilities, a $1.7 million increase in prepaid expenses and other assets, and a $1.5 million decrease in operating lease liabilities due to lease payments. These amounts were partially offset by a $1.2 million decrease in operating lease right-of-use assets due to normal amortization, a $0.2 million increase in accounts payable, and a $0.2 million decrease in accounts receivable.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operating activities during the three months ended March 31, 2023 was $13.7 million which resulted from a net loss of $33.7 million, adjusted for non-cash charges of $15.1 million and net cash inflows of $4.9 million from changes in operating assets and liabilities. Non-cash charges primarily consisted of $15.8 million of stock-based compensation expense and $1.5 million of depreciation and amortization expense. The net cash inflows from changes in operating assets and liabilities were primarily due to a $2.5 million decrease in prepaid expenses and other current assets, a $1.7 million decrease in accounts receivable, a $1.3 million decrease in operating lease right-of-use assets due to normal amortization, a $0.5 million increase in accounts payable, and a $0.3 million increase in accrued expenses and other current liabilities. These amounts were partially offset by a $1.5 million decrease in operating lease liabilities due to lease payments.</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Investing activities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8">
                <wp:simplePos x="0" y="0"/>
                <wp:positionH relativeFrom="character">
                  <wp:align>left</wp:align>
                </wp:positionH>
                <wp:positionV relativeFrom="line">
                  <wp:posOffset>635</wp:posOffset>
                </wp:positionV>
                <wp:extent cx="6480175" cy="146685"/>
                <wp:effectExtent l="0" t="0" r="0" b="0"/>
                <wp:wrapNone/>
                <wp:docPr id="36" name="Frame3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29</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for the three months ended March 31, 2024 was $35.9 million, which consisted of proceeds from maturities of marketable securities of $67.3 million and proceeds from sales of marketable securities of $28.8 million. This was partially offset by purchases of marketable securities of $52.6 million and a loan to Opportunity Finance Network of $7.5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investing activities for the three months ended March 31, 2023 was $24.7 million, which consisted of proceeds from maturities of marketable securities of $172.0 million and proceeds from sales of marketable securities of $42.7 million. This was partially offset by purchases of marketable securities of $190.0 million.</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Financing activities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used in financing activities for the three months ended March 31, 2024 was $12.9 million, which consisted of repurchases of common stock of $9.8 million, prepayment under the Share Repurchase Program of $5.3 million, and tax withholdings on release of restricted stock units of $1.3 million. This was partially offset by proceeds from the exercise of stock options of $2.8 million and proceeds from the issuance of common stock under the employee stock purchase plan of $0.6 million.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Cash provided by financing activities for the three months ended March 31, 2023 was $1.6 million, which consisted of $1.1 million of proceeds from the issuance of common stock under the employee stock purchase plan, and $0.5 million of proceeds from the exercise of stock options.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Non-GAAP Financial Measure</w:t>
      </w:r>
    </w:p>
    <w:p>
      <w:pPr>
        <w:pStyle w:val="TextBody"/>
        <w:bidi w:val="0"/>
        <w:spacing w:lineRule="auto" w:line="288" w:before="0" w:after="180"/>
        <w:jc w:val="left"/>
        <w:rPr>
          <w:rFonts w:ascii="Times New Roman;sans-serif" w:hAnsi="Times New Roman;sans-serif"/>
          <w:b w:val="false"/>
          <w:i/>
          <w:color w:val="000000"/>
          <w:sz w:val="20"/>
        </w:rPr>
      </w:pPr>
      <w:r>
        <w:rPr>
          <w:rFonts w:ascii="Times New Roman;sans-serif" w:hAnsi="Times New Roman;sans-serif"/>
          <w:b w:val="false"/>
          <w:i/>
          <w:color w:val="000000"/>
          <w:sz w:val="20"/>
        </w:rPr>
        <w:t>Adjusted EBITDA</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Adjusted EBITDA is a non-GAAP financial measure that represents our net loss adjusted for depreciation and amortization, stock-based compensation, net interest income, provision for income taxes, and any acquisition-related costs. </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use Adjusted EBITDA in conjunction with GAAP measures as part of our overall assessment of our performance, including the preparation of our annual operating budget and quarterly forecasts, to evaluate the effectiveness of our business strategies and to communicate with our Board of Directors concerning our financial performance. We believe Adjusted EBITDA is also helpful to investors, analysts, and other interested parties because it can assist in providing a more consistent and comparable overview of our operations across our historical financial periods. Adjusted EBITDA has limitations as an analytical tool, however, and you should not consider it in isolation or as a substitute for analysis of our results as reported under GAAP. Because of these limitations, you should consider Adjusted EBITDA alongside other financial performance measures, including net loss and our other GAAP results. In evaluating Adjusted EBITDA, you should be aware that in the future we may incur expenses that are the same as or similar to some of the adjustments in this presentation. Our presentation of Adjusted EBITDA should not be construed to imply that our future results will be unaffected by the types of items excluded from the calculation of Adjusted EBITDA. Adjusted EBITDA is not presented in accordance with GAAP and the use of this term varies from others in our industry.</w:t>
      </w:r>
    </w:p>
    <w:p>
      <w:pPr>
        <w:pStyle w:val="TextBody"/>
        <w:bidi w:val="0"/>
        <w:spacing w:lineRule="auto" w:line="276"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is a reconciliation of net loss, the most comparable GAAP measure, to Adjusted EBITDA:</w:t>
      </w:r>
    </w:p>
    <w:tbl>
      <w:tblPr>
        <w:tblW w:w="5634" w:type="dxa"/>
        <w:jc w:val="center"/>
        <w:tblInd w:w="0" w:type="dxa"/>
        <w:tblLayout w:type="fixed"/>
        <w:tblCellMar>
          <w:top w:w="28" w:type="dxa"/>
          <w:left w:w="28" w:type="dxa"/>
          <w:bottom w:w="28" w:type="dxa"/>
          <w:right w:w="28" w:type="dxa"/>
        </w:tblCellMar>
      </w:tblPr>
      <w:tblGrid>
        <w:gridCol w:w="937"/>
        <w:gridCol w:w="824"/>
        <w:gridCol w:w="833"/>
        <w:gridCol w:w="211"/>
        <w:gridCol w:w="796"/>
        <w:gridCol w:w="109"/>
        <w:gridCol w:w="109"/>
        <w:gridCol w:w="109"/>
        <w:gridCol w:w="109"/>
        <w:gridCol w:w="211"/>
        <w:gridCol w:w="796"/>
        <w:gridCol w:w="109"/>
        <w:gridCol w:w="109"/>
        <w:gridCol w:w="109"/>
        <w:gridCol w:w="109"/>
        <w:gridCol w:w="154"/>
      </w:tblGrid>
      <w:tr>
        <w:trPr/>
        <w:tc>
          <w:tcPr>
            <w:tcW w:w="937" w:type="dxa"/>
            <w:tcBorders/>
            <w:vAlign w:val="center"/>
          </w:tcPr>
          <w:p>
            <w:pPr>
              <w:pStyle w:val="TableContents"/>
              <w:bidi w:val="0"/>
              <w:spacing w:before="0" w:after="283"/>
              <w:jc w:val="left"/>
              <w:rPr>
                <w:sz w:val="4"/>
                <w:szCs w:val="4"/>
              </w:rPr>
            </w:pPr>
            <w:r>
              <w:rPr>
                <w:sz w:val="4"/>
                <w:szCs w:val="4"/>
              </w:rPr>
            </w:r>
          </w:p>
        </w:tc>
        <w:tc>
          <w:tcPr>
            <w:tcW w:w="824" w:type="dxa"/>
            <w:tcBorders/>
            <w:vAlign w:val="center"/>
          </w:tcPr>
          <w:p>
            <w:pPr>
              <w:pStyle w:val="TableContents"/>
              <w:bidi w:val="0"/>
              <w:spacing w:before="0" w:after="283"/>
              <w:jc w:val="left"/>
              <w:rPr>
                <w:sz w:val="4"/>
                <w:szCs w:val="4"/>
              </w:rPr>
            </w:pPr>
            <w:r>
              <w:rPr>
                <w:sz w:val="4"/>
                <w:szCs w:val="4"/>
              </w:rPr>
            </w:r>
          </w:p>
        </w:tc>
        <w:tc>
          <w:tcPr>
            <w:tcW w:w="833"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79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59"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Three Months Ended March 31,</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3" w:type="dxa"/>
            <w:gridSpan w:val="2"/>
            <w:tcBorders/>
          </w:tcPr>
          <w:p>
            <w:pPr>
              <w:pStyle w:val="TableContents"/>
              <w:bidi w:val="0"/>
              <w:spacing w:before="0" w:after="283"/>
              <w:jc w:val="left"/>
              <w:rPr>
                <w:sz w:val="4"/>
                <w:szCs w:val="4"/>
              </w:rPr>
            </w:pPr>
            <w:r>
              <w:rPr>
                <w:sz w:val="4"/>
                <w:szCs w:val="4"/>
              </w:rPr>
            </w:r>
          </w:p>
        </w:tc>
      </w:tr>
      <w:tr>
        <w:trPr/>
        <w:tc>
          <w:tcPr>
            <w:tcW w:w="259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16"/>
              </w:rPr>
            </w:pPr>
            <w:r>
              <w:rPr>
                <w:rFonts w:ascii="Times New Roman;sans-serif" w:hAnsi="Times New Roman;sans-serif"/>
                <w:b w:val="false"/>
                <w:i/>
                <w:color w:val="000000"/>
                <w:sz w:val="16"/>
              </w:rPr>
              <w:t>(in thousands)</w:t>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2024</w:t>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16"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2023</w:t>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Net loss</w:t>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(28,261)</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(33,716)</w:t>
            </w:r>
          </w:p>
        </w:tc>
        <w:tc>
          <w:tcPr>
            <w:tcW w:w="109"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Depreciation and amortization</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1,387 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1,451 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Stock-based compensation</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19,506 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15,816 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Interest income</w:t>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(6,846)</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(5,513)</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Provision for income taxes</w:t>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199 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07"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301 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ind w:left="0" w:right="0" w:hanging="180"/>
              <w:jc w:val="left"/>
              <w:rPr>
                <w:sz w:val="4"/>
                <w:szCs w:val="4"/>
              </w:rPr>
            </w:pPr>
            <w:r>
              <w:rPr>
                <w:sz w:val="4"/>
                <w:szCs w:val="4"/>
              </w:rPr>
            </w:r>
          </w:p>
        </w:tc>
      </w:tr>
      <w:tr>
        <w:trPr/>
        <w:tc>
          <w:tcPr>
            <w:tcW w:w="259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Adjusted EBITDA</w:t>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(14,015)</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11"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96"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(21,661)</w:t>
            </w:r>
          </w:p>
        </w:tc>
        <w:tc>
          <w:tcPr>
            <w:tcW w:w="109"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Critical Accounting Policies and Estimates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prepare our condensed consolidated financial statements in accordance with GAAP. Preparing condensed consolidated financial statements requires us to make estimates and assumptions that affect the reported amounts of assets, liabilities, revenue, expenses, and related disclosures. We evaluate our estimates and assumptions on an ongoing basis. Our estimates are based on historical experience and various other assumptions that we believe to be reasonable under the circumstances. Our actual results could differ from these estimates.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39">
                <wp:simplePos x="0" y="0"/>
                <wp:positionH relativeFrom="character">
                  <wp:align>left</wp:align>
                </wp:positionH>
                <wp:positionV relativeFrom="line">
                  <wp:posOffset>635</wp:posOffset>
                </wp:positionV>
                <wp:extent cx="6480175" cy="146685"/>
                <wp:effectExtent l="0" t="0" r="0" b="0"/>
                <wp:wrapNone/>
                <wp:docPr id="37" name="Frame3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30</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have been no material changes to our critical accounting policies requiring estimates, assumptions, and judgments as compared to the critical accounting policies and estimates as described in our Annual Report on Form 10-K for the year ended December 31, 2023.</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Recently Issued Accounting Pronouncements </w:t>
      </w:r>
    </w:p>
    <w:p>
      <w:pPr>
        <w:pStyle w:val="TextBody"/>
        <w:bidi w:val="0"/>
        <w:spacing w:lineRule="auto" w:line="288" w:before="0" w:after="180"/>
        <w:jc w:val="both"/>
        <w:rPr/>
      </w:pPr>
      <w:r>
        <w:rPr>
          <w:rFonts w:ascii="Times New Roman;sans-serif" w:hAnsi="Times New Roman;sans-serif"/>
          <w:b w:val="false"/>
          <w:color w:val="000000"/>
          <w:sz w:val="20"/>
        </w:rPr>
        <w:t>Refer to</w:t>
      </w:r>
      <w:r>
        <w:rPr>
          <w:color w:val="000000"/>
        </w:rPr>
        <w:t xml:space="preserve"> </w:t>
      </w:r>
      <w:r>
        <w:rPr>
          <w:rFonts w:ascii="Times New Roman;sans-serif" w:hAnsi="Times New Roman;sans-serif"/>
          <w:b w:val="false"/>
          <w:color w:val="000000"/>
          <w:sz w:val="20"/>
        </w:rPr>
        <w:t>Note 2</w:t>
      </w:r>
      <w:r>
        <w:rPr>
          <w:color w:val="000000"/>
        </w:rPr>
        <w:t xml:space="preserve"> </w:t>
      </w:r>
      <w:r>
        <w:rPr>
          <w:rFonts w:ascii="Times New Roman;sans-serif" w:hAnsi="Times New Roman;sans-serif"/>
          <w:b w:val="false"/>
          <w:color w:val="000000"/>
          <w:sz w:val="20"/>
        </w:rPr>
        <w:t>to our unaudited condensed consolidated financial statements included elsewhere in this Quarterly Report for more information regarding recently issued accounting pronouncements.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Item 3. Quantitative and Qualitative Disclosures About Market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exposed to market risk in the ordinary course of our business. Market risk represents the risk of loss that may impact our financial condition due to adverse changes in financial market prices and rates. Our market risk exposure is primarily the result of fluctuations in interest rates and foreign currency exchange rates.</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Interest Rate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March 31, 2024, we had cash and cash equivalents of $69.7 million and marketable securities of $428.1 million. Our cash and cash equivalents consist of cash in bank accounts, demand deposits, money market funds, corporate bonds, and commercial paper. The primary objectives of our investment activities are to preserve principal and provide liquidity without significantly increasing risk. We do not enter into investments for trading or speculative purposes. Due to the relatively short-term nature of our investment portfolio, a hypothetical 100 basis point change in interest rates would not have a material effect on the fair value of our portfolio for the periods presented.</w:t>
      </w:r>
    </w:p>
    <w:p>
      <w:pPr>
        <w:pStyle w:val="TextBody"/>
        <w:bidi w:val="0"/>
        <w:spacing w:lineRule="auto" w:line="288" w:before="0" w:after="180"/>
        <w:jc w:val="left"/>
        <w:rPr>
          <w:rFonts w:ascii="Times New Roman;sans-serif" w:hAnsi="Times New Roman;sans-serif"/>
          <w:b/>
          <w:i/>
          <w:color w:val="000000"/>
          <w:sz w:val="20"/>
        </w:rPr>
      </w:pPr>
      <w:r>
        <w:rPr>
          <w:rFonts w:ascii="Times New Roman;sans-serif" w:hAnsi="Times New Roman;sans-serif"/>
          <w:b/>
          <w:i/>
          <w:color w:val="000000"/>
          <w:sz w:val="20"/>
        </w:rPr>
        <w:t>Foreign Currency Risk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functional currency of our international subsidiaries is generally their local currency. Our sales are typically denominated in the local currency of the country in which the sale was made. The majority of our revenue is denominated in U.S. Dollars. As such, our revenue is not currently exposed to significant foreign currency risk. Our operating expenses are generally denominated in the currency of the countries in which the operations are located, and are subject to fluctuations due to changes in foreign currency exchange rates, particularly the British Pound, the Euro, Canadian Dollar, and the Australian Dollar. Our consolidated results of operations and cash flows are, therefore, subject to fluctuations due to changes in foreign currency exchange rates and may be adversely affected in the future due to changes in foreign exchange rates. We do not believe a 10% change in the relative value of the U.S. Dollar would have materially affected our unaudited condensed consolidated financial statements for the periods presented. To date, we have not had a formal hedging program with respect to foreign currency, but we may do so in the future if our exposure to foreign currency should become more significant.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4. Controls and Procedures</w:t>
      </w:r>
    </w:p>
    <w:p>
      <w:pPr>
        <w:pStyle w:val="TextBody"/>
        <w:bidi w:val="0"/>
        <w:spacing w:lineRule="auto" w:line="268" w:before="0" w:after="180"/>
        <w:jc w:val="both"/>
        <w:rPr>
          <w:rFonts w:ascii="Times New Roman;sans-serif" w:hAnsi="Times New Roman;sans-serif"/>
          <w:b/>
          <w:color w:val="000000"/>
          <w:sz w:val="20"/>
        </w:rPr>
      </w:pPr>
      <w:r>
        <w:rPr>
          <w:rFonts w:ascii="Times New Roman;sans-serif" w:hAnsi="Times New Roman;sans-serif"/>
          <w:b/>
          <w:color w:val="000000"/>
          <w:sz w:val="20"/>
        </w:rPr>
        <w:t>Evaluation of Disclosure Controls and Procedures</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management, with the participation of our principal executive officer and principal financial officer, evaluated the effectiveness of our disclosure controls and procedures (as defined in Rules 13a-15(e) and 15d-15(e) under the Exchange Act) as of the end of the period covered by this Quarterly Report, and have concluded that, based on such evaluation, our disclosure controls and procedures were effective as of March 31, 2024 at the reasonable assurance level to ensure that information required to be disclosed by us in the reports that we file or submit under the Exchange Act is recorded, processed, summarized and reported within the time periods specified in the SEC’s rules and forms, and is accumulated and communicated to our management, including our principal executive and principal financial officers, or persons performing similar functions, as appropriate, to allow timely decisions regarding required disclosure.</w:t>
      </w:r>
    </w:p>
    <w:p>
      <w:pPr>
        <w:pStyle w:val="TextBody"/>
        <w:bidi w:val="0"/>
        <w:spacing w:lineRule="auto" w:line="268" w:before="0" w:after="180"/>
        <w:jc w:val="both"/>
        <w:rPr>
          <w:rFonts w:ascii="Times New Roman;sans-serif" w:hAnsi="Times New Roman;sans-serif"/>
          <w:b/>
          <w:color w:val="000000"/>
          <w:sz w:val="20"/>
        </w:rPr>
      </w:pPr>
      <w:r>
        <w:rPr>
          <w:rFonts w:ascii="Times New Roman;sans-serif" w:hAnsi="Times New Roman;sans-serif"/>
          <w:b/>
          <w:color w:val="000000"/>
          <w:sz w:val="20"/>
        </w:rPr>
        <w:t>Changes in Internal Control over Financial Reporting</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were no changes in our internal control over financial reporting identified in connection with the evaluation required by Rule 13a-15(d) and 15d-15(d) of the Exchange Act that occurred during the period covered by this Quarterly Report that have materially affected, or are reasonably likely to materially affect, our internal control over financial reporting.</w:t>
      </w:r>
    </w:p>
    <w:p>
      <w:pPr>
        <w:pStyle w:val="TextBody"/>
        <w:bidi w:val="0"/>
        <w:spacing w:lineRule="auto" w:line="268" w:before="0" w:after="180"/>
        <w:jc w:val="both"/>
        <w:rPr>
          <w:rFonts w:ascii="Times New Roman;sans-serif" w:hAnsi="Times New Roman;sans-serif"/>
          <w:b/>
          <w:color w:val="000000"/>
          <w:sz w:val="20"/>
        </w:rPr>
      </w:pPr>
      <w:r>
        <w:rPr>
          <w:rFonts w:ascii="Times New Roman;sans-serif" w:hAnsi="Times New Roman;sans-serif"/>
          <w:b/>
          <w:color w:val="000000"/>
          <w:sz w:val="20"/>
        </w:rPr>
        <w:t>Limitations on the Effectiveness of Disclosure Controls and Procedures</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management, including our Chief Executive Officer and Chief Financial Officer, does not expect that our disclosure controls and procedures or internal control over financial reporting will prevent all errors and all fraud. A control system, no matter how well designed and implemented, can provide only reasonable, not absolute, assurance that the control system’s objectives will be met. Further, the design of a control system must reflect the fact that there are resource constraints and the benefits of controls must be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0">
                <wp:simplePos x="0" y="0"/>
                <wp:positionH relativeFrom="character">
                  <wp:align>left</wp:align>
                </wp:positionH>
                <wp:positionV relativeFrom="line">
                  <wp:posOffset>635</wp:posOffset>
                </wp:positionV>
                <wp:extent cx="6480175" cy="146685"/>
                <wp:effectExtent l="0" t="0" r="0" b="0"/>
                <wp:wrapNone/>
                <wp:docPr id="38" name="Frame3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31</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considered relative to their costs. Because of the inherent limitations in all control systems, no evaluation of controls can provide absolute assurance that all control issues within a company are detected. The inherent limitations include the realities that judgments in decision-making can be faulty and that breakdowns can occur because of simple errors or mistakes. Controls can also be circumvented by the individual acts of some persons, by collusion of two or more people, or by management override of the controls. Also, projections of any evaluation of effectiveness to future periods are subject to the risk that controls may become inadequate because of changes in conditions or that the degree of compliance with the policies or procedures may deteriorate. Because of the inherent limitations in a cost-effective control system, misstatements due to error or fraud may occur and may not be detected.</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1">
                <wp:simplePos x="0" y="0"/>
                <wp:positionH relativeFrom="character">
                  <wp:align>left</wp:align>
                </wp:positionH>
                <wp:positionV relativeFrom="line">
                  <wp:posOffset>635</wp:posOffset>
                </wp:positionV>
                <wp:extent cx="6480175" cy="146685"/>
                <wp:effectExtent l="0" t="0" r="0" b="0"/>
                <wp:wrapNone/>
                <wp:docPr id="39" name="Frame3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32</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center"/>
        <w:rPr>
          <w:rFonts w:ascii="Times New Roman;sans-serif" w:hAnsi="Times New Roman;sans-serif"/>
          <w:b/>
          <w:color w:val="000000"/>
          <w:sz w:val="20"/>
        </w:rPr>
      </w:pPr>
      <w:r>
        <w:rPr>
          <w:rFonts w:ascii="Times New Roman;sans-serif" w:hAnsi="Times New Roman;sans-serif"/>
          <w:b/>
          <w:color w:val="000000"/>
          <w:sz w:val="20"/>
        </w:rPr>
        <w:t>PART II - OTHER INFORMATION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1. Legal Proceedings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may be subject to legal proceedings and claims in the ordinary course of business. We are not presently a party to any legal proceedings that, if determined adversely to us, would individually or taken together have a material adverse effect on our business or financial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1A. Risk Factors </w:t>
      </w:r>
    </w:p>
    <w:p>
      <w:pPr>
        <w:pStyle w:val="TextBody"/>
        <w:bidi w:val="0"/>
        <w:spacing w:lineRule="auto" w:line="288" w:before="0" w:after="180"/>
        <w:jc w:val="both"/>
        <w:rPr>
          <w:rFonts w:ascii="Times New Roman;sans-serif" w:hAnsi="Times New Roman;sans-serif"/>
          <w:b w:val="false"/>
          <w:i/>
          <w:color w:val="000000"/>
          <w:sz w:val="20"/>
        </w:rPr>
      </w:pPr>
      <w:r>
        <w:rPr>
          <w:rFonts w:ascii="Times New Roman;sans-serif" w:hAnsi="Times New Roman;sans-serif"/>
          <w:b w:val="false"/>
          <w:i/>
          <w:color w:val="000000"/>
          <w:sz w:val="20"/>
        </w:rPr>
        <w:t xml:space="preserve">Investing in our Class A common stock involves risks. You should carefully consider the risks and uncertainties described below, together with all of the other information in this Quarterly Report, including the section titled “Management’s Discussion and Analysis of Financial Condition and Results of Operations” and our unaudited condensed consolidated financial statements and related notes, before deciding whether to purchase shares of our Class A common stock. You should also carefully consider the following risk factors in addition to the other information included in this Quarterly Report, including matters addressed in the above section entitled “Special Note Regarding Forward-Looking Statements.” Our business, operating results, financial condition, and prospects could also be harmed by risks and uncertainties that are not presently known to us or that we currently believe are not material. If any of these risks actually occur, our business, operating results, financial condition, and prospects could be materially and adversely affected. Unless otherwise indicated, references in these risk factors to our business being harmed will include harm to our business, reputation, brand, financial condition, operating results, and prospects. In such event, the market price of our securities could decline, and you could lose all or part of your investment. </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Our Business and Industry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a limited operating history at the current scale of our business and are still scaling up our monetization efforts, which makes it difficult to evaluate our current business and future prospects, and there is no assurance we will be able to scale our business for future growth.</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commenced operating the Nextdoor platform in 2011 and began supporting the platform with advertising in 2016. Our limited operating history at the current scale of our business may make it difficult to evaluate our current business and future prospects. We have encountered, and will continue to encounter, risks and difficulties frequently experienced by growing companies in rapidly evolving industries, including challenges in accurate financial planning and forecasting, increasing competition and expenses as we effectively scale our business, and our ability to achieve market acceptance of our platform and attract, engage and retain users, who we call “neighbors” (which includes individuals) and organizations (which includes businesses and public agencies, including paying customers such as advertisers). You should consider our business and prospects in light of the risks and difficulties that we may encounter as a business with a limited operating history. We cannot ensure that we will be successful in addressing these and other challenges we may face in the future, and our business, operating results, and financial condition may be adversely affected if we do not manage these risks successfully. We may not be able to sustain or increase our current rate of growth, which is a risk characteristic often shared by companies with limited operating histories participating in rapidly evolving industries.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we are still in the early stages of monetizing our platform. Our growth strategy depends on, among other things, increasing neighbors on the network, increasing engagement, developing new and improving existing products for neighbors and organizations, attracting more advertisers (including expanding our sales efforts to reach advertisers in additional international markets), scaling our business with existing advertisers, and delivering targeted advertisements based on neighbors’ personal taste and interests. Given the current macroeconomic environment, it may be more difficult for us to capitalize on our growth strategies. There can be no assurance that we will successfully increase monetization on our platform or that we will sustain or increase the current growth rate of our revenue.</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Adverse global economic and financial conditions could harm our business and financial condition.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Adverse global economic and financial events and the effects thereof, such as health epidemics or pandemics, the war in Ukraine and the Israel-Hamas war, inflation, changing interest rates, potential recessions, uncertainty with respect to the federal budget or debt ceiling and a potential temporary federal government shutdown related thereto, fluctuations in foreign exchange rates, actual or perceived instability in the global banking system, supply chain issues and inventory and labor shortages, have caused, and could in the future cause, disruptions and volatility in global financial markets. These conditions have in the past and may in the future translate to cost increases to us and advertisers and lead to decreased spending by our advertisers. In addition, since the majority of our revenue is derived from advertisers within the United States, economic conditions in the United States have a greater impact on us. We may not perform well in adverse macroeconomic conditions, which could adversely affect our business, financial condition and operating results.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2">
                <wp:simplePos x="0" y="0"/>
                <wp:positionH relativeFrom="character">
                  <wp:align>left</wp:align>
                </wp:positionH>
                <wp:positionV relativeFrom="line">
                  <wp:posOffset>635</wp:posOffset>
                </wp:positionV>
                <wp:extent cx="6480175" cy="146685"/>
                <wp:effectExtent l="0" t="0" r="0" b="0"/>
                <wp:wrapNone/>
                <wp:docPr id="40" name="Frame3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33</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currently generate substantially all of our revenue from advertising. If advertisers reduce or eliminate their spending with us, our business, operating results, and financial condition would be adversely impacted.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Substantially all of our revenue is currently generated from the sales of advertising on our platform in the form of online display advertisements, which include sponsored posts and local deals. Our advertisers typically do not have long-term advertising spend commitments with us. Many of our advertisers spend only a relatively small portion of their overall advertising budget with us. In addition, advertisers may view some of the features on our platform as experimental and unproven. Advertisers will not continue to do business with us, or they will reduce the prices they are willing to pay to advertise with us, if we do not deliver advertisements in an effective manner, or if advertisers do not believe that their investment in advertising with us will generate a competitive return relative to alternatives. Our ability to attract and retain advertisers, and ultimately generate revenue, may be adversely affected by a number of factors, including but not limited to:</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decreases in neighbor or advertiser engagement on the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slower than anticipated growth in, or lack of growth or decreases in, the number of neighbors active on the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macroeconomic conditions, whether in the advertising industry in general, among specific types of advertisers or within particular geographies, including but not limited to health epidemics or pandemics, actual or perceived instability in the global banking system, labor shortages, supply chain disruptions, a potential recession, uncertainty with respect to the federal budget or debt ceiling and a potential temporary federal government shutdown related thereto, inflation and changing interest rates;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platform changes (such as the migration to our proprietary ad server) or inventory management decisions that change the size, format, frequency, or relative prominence of advertisements displayed on the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competitors offering more attractive pricing for advertisements that we are unable or unwilling to match;</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 decrease in the quantity or quality of advertisements shown to neighbors;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to laws, third-party policies or applications that limit our ability to deliver, target, or measure the effectiveness of advertising, including changes by mobile operating system and browser providers such as Apple and Google;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to demographics of our neighbors that make us less attractive to advertisers;</w:t>
      </w:r>
    </w:p>
    <w:p>
      <w:pPr>
        <w:pStyle w:val="TextBody"/>
        <w:bidi w:val="0"/>
        <w:spacing w:lineRule="auto" w:line="288" w:before="0" w:after="180"/>
        <w:ind w:left="0" w:right="0" w:hanging="360"/>
        <w:jc w:val="both"/>
        <w:rPr/>
      </w:pPr>
      <w:r>
        <w:rPr>
          <w:color w:val="000000"/>
        </w:rPr>
        <w:t>•</w:t>
      </w:r>
      <w:r>
        <w:rPr>
          <w:rFonts w:ascii="Times New Roman;sans-serif" w:hAnsi="Times New Roman;sans-serif"/>
          <w:b w:val="false"/>
          <w:color w:val="000000"/>
          <w:sz w:val="20"/>
        </w:rPr>
        <w:t>an increase in neighbors who exercise opt-out rights under privacy laws to restrict the advertisements they receive;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neighbors that upload content or take other actions that are deemed to be hostile, inappropriate, illicit, objectionable, illegal, or otherwise not consistent with the brand of our advertisers;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adverse government actions or legislative, regulatory, or other legal developments;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neighbor behavior or changes to the platform that may affect, among other things, the safety and security of other neighbors or the cultivation of a positive and inclusive online community;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adverse media reports or other negative publicity involving us;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implementing or enforcing policies, such as advertising policies, community guidelines, and other terms or service that are perceived negatively by advertisers;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develop and improve our products for advertisers;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limitations in, or reductions to, the availability, accuracy, utility, and security of analytics and measurement solutions offered by us or third parties that are intended to demonstrate the value of our advertisements to advertisers;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to our data privacy practices that affect the type or manner of advertising that we are able to provide, including as a result of changes to laws, regulations or regulatory actions, such as the GDPR, European Directive 2002/58/EC (the “ePrivacy Directive”), the UK GDPR, the UK Data Protection Act 2018, the CCPA, Nevada’s Online Privacy Law, the CDPA, the VCPDA, the CPRA, and other U.S. state privacy laws, or changes to third-party policies.</w:t>
      </w:r>
    </w:p>
    <w:p>
      <w:pPr>
        <w:pStyle w:val="TextBody"/>
        <w:bidi w:val="0"/>
        <w:spacing w:before="0" w:after="0"/>
        <w:ind w:left="0" w:right="0" w:firstLine="36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3">
                <wp:simplePos x="0" y="0"/>
                <wp:positionH relativeFrom="character">
                  <wp:align>left</wp:align>
                </wp:positionH>
                <wp:positionV relativeFrom="line">
                  <wp:posOffset>635</wp:posOffset>
                </wp:positionV>
                <wp:extent cx="6480175" cy="146685"/>
                <wp:effectExtent l="0" t="0" r="0" b="0"/>
                <wp:wrapNone/>
                <wp:docPr id="41" name="Frame3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34</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certain of these factors have adversely affected our revenue to varying degrees. The occurrence of any of these or other factors in the future could result in a reduction in demand for our advertisements, which may reduce the prices we receive for our advertisements, or cause advertisers to stop or reduce their spend with us, either of which would negatively affect our business, operating results, and financial condition. Similar occurrences in the future may impair our ability to maintain or increase the quantity or quality of advertisements shown to neighbors and adversely affect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ability to attract and retain advertisers depends on our ability to collect and use data and develop products to enable us to effectively deliver and accurately measure advertisements on the Nextdoor platform.</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Most advertisers rely on tools that measure the effectiveness of their advertising campaigns in order to allocate their advertising spend among various formats and platforms. If we are unable to accurately measure the effectiveness of advertising on our platform, if at all, or if we are unable to convince advertisers that our platform should be part of a larger advertising budget, our ability to increase the demand and pricing of our advertising tools and maintain or scale our revenue may be limited or decline. Our ability to develop and offer products that accurately measure the effectiveness of a campaign on our platform is critical to our ability to attract new advertisers and retain, and increase spend from, our existing advertisers.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continually developing and improving our products for advertisers and such efforts have and are likely to continue to require significant time and resources and additional investment, and in some cases, we have relied on, and may in the future rely on, third parties to provide data and technology needed to provide certain measurement data to our advertisers. If we cannot continue to develop and improve our products for advertisers in a timely fashion, those products are not reliable, or the measurement results are inconsistent with advertiser’s expectations or goals, our revenue could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web and mobile browser developers, such as Apple, Microsoft or Google, have implemented and may continue to implement changes, including requiring additional user permissions, in their browser or device operating system that impair our ability to measure and improve the effectiveness of advertising on our platform. Such changes include limiting the use of first-party and third-party cookies and related tracking technologies, such as mobile advertising identifiers, and other changes that limit our ability to collect information that allows us to attribute neighbors’ actions on advertisers’ websites to the effectiveness of advertising campaigns run on our platform. For example, Apple launched its Intelligent Tracking Prevention (“ITP”) feature in its Safari browser. ITP blocks some or all third-party cookies by default on mobile and desktop and ITP has become increasingly restrictive over time. Apple’s related Privacy-Preserving Ad Click attribution, intended to preserve some of the functionality lost with ITP, would, for example, prevent uniquely identifying individuals and devices across sites for the purpose of Ad Click attribution, prevent measurement outside a narrowly-defined attribution window, and prevent advertisement re-targeting and optimization. Further, Apple introduced an App Tracking Transparency framework that limits the ability of mobile applications to request an iOS device’s advertising identifier and may also affect our ability to track neighbors’ actions off our platform and connect their interactions with on-platform advertising. Similarly, Google has announced that it plans to start phasing out third-party cookies in its Google Chrome browser in 2025 if they are able to reach an agreement with regulators. Google has also stated that it intends to limit access by mobile applications to advertising identifiers on Android devices, though they have not set a date. These web and mobile browser developers have also implemented and may continue to implement changes and restrictions in browser or device functionality that limit our ability to communicate with or understand the identity of our neighbors.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restrictions and changes make it more difficult for us to provide the most relevant advertisements to our neighbors, as well as decrease our ability to measure the effectiveness of, re-target or optimize advertising on our platform. Developers may release additional technology that further inhibits our ability to collect data that allows us to measure the effectiveness of advertising on our platform. Any other restriction, whether by law, regulation, policy (including third-party policies), user opt-outs or otherwise, on our ability to collect and share data which our advertisers find useful or that further reduce our ability to measure the effectiveness of advertising on our platform, would impede our ability to attract, grow and retain advertisers. Advertisers and other third parties who provide data that helps us deliver personalized, relevant advertising may restrict or stop sharing this data and it therefore may not be possible for us to collect this data within the platform or from another source.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heavily on our ability to collect and share data and metrics for our advertisers to help new and existing advertisers understand the performance of advertising campaigns. If advertisers do not perceive our metrics to be accurate representations of our neighbors and neighbor engagement, or there are inaccuracies in our metrics, advertisers may decrease or eliminate allocations of their budgets or resources to our platform, which could harm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fail to add new neighbors or retain current neighbors, or if current neighbors engage less with the Nextdoor platform, our business, operating results, and financial condition would be adversely impacted.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number of neighbors that use the Nextdoor platform and their level of engagement on the platform are critical to our success. We must continue to engage and retain existing neighbors on our platform as well as attract, engage and retain new neighbors. The number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4">
                <wp:simplePos x="0" y="0"/>
                <wp:positionH relativeFrom="character">
                  <wp:align>left</wp:align>
                </wp:positionH>
                <wp:positionV relativeFrom="line">
                  <wp:posOffset>635</wp:posOffset>
                </wp:positionV>
                <wp:extent cx="6480175" cy="146685"/>
                <wp:effectExtent l="0" t="0" r="0" b="0"/>
                <wp:wrapNone/>
                <wp:docPr id="42" name="Frame3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35</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of neighbors on the Nextdoor platform may not continue to grow at historical growth rates or at all, and it may even decline. In order to attract new neighbors, we must engage with neighbors in existing neighborhoods on our platform and add new neighborhoods to the Nextdoor platform, both domestically and internationally. If our neighbor growth rate slows or reverses, our financial performance will be adversely impacted unless we can increase our engagement with our existing neighbors and our monetization efforts to offset any such reduction or decrease in neighborhood growth rate.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If current and potential neighbors do not perceive their experience with the Nextdoor platform to be useful, the content generated on the platform to be valuable or relevant or the social connections with fellow neighbors to be worthwhile, we may not be able to attract new neighbors, retain existing neighbors or maintain or increase the frequency and duration of their engagement on our platform. In addition, if our existing neighbors decrease the frequency or duration of their engagement or the growth rate of our active neighbor base slows or reverses, we may be required to incur significantly higher marketing expenses than we currently anticipate in order to acquire new neighbors or retain current neighbors.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There are many factors that could negatively impact our ability to grow, retain and engage current and prospective neighbors, including but not limited to:</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neighbors increasing their engagement with competitors’ platforms, products or services instead of, or more frequently than, our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the amount of time neighbors spend across all applications and platforms, including our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failing to introduce platform enhancements that neighbors find engaging or if we introduce new features, terms, policies or procedures, or make changes to our platform, that are not favorably received by current or prospective neighbors;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technical or other problems frustrating the neighbor experience, such as problems that prevent us from delivering our service in a fast and reliable manner;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neighbors having difficulty installing, updating or otherwise accessing the Nextdoor platform on mobile devices through the app or web browsers;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neighbor behavior on the Nextdoor platform changing, including a decrease in the quality and frequency of content shares on the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decreases in neighbor or advertiser sentiment due to questions about the quality or usefulness of our platform, concerns about the nature of content made available on the platform, concerns related to privacy, safety, security, well-being or other factors;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mandated by legislation, government and regulatory authorities, or litigation that adversely impact our platform or neighbors;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third parties preventing their content from being displayed on the Nextdoor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we may make to how we promote different features on our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initiatives designed to attract and retain neighbors and engagement are unsuccessful or discontinued, whether as a result of actions by us, third parties, or otherwise;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or other partners and companies in the industry are the subject of adverse media reports or other negative publicity;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are unable to combat spam, harassment, cyberbullying or other hostile, inappropriate, abusive or offensive content or usage on our platform; or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we cannot preserve and enhance our brand and reputation as a trusted neighborhood networking community.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decrease in neighbor growth, retention or engagement could render our service less attractive to neighbors or advertisers, and could harm our business, operating results, and financial condition. In addition, neighbor verification is a critical feature of our platform because it demonstrates that neighbors are real people and businesses in the neighborhood they desire to join. If we were to change our verification methods, that may adversely impact our ability to add new neighbors or retain existing neighbors.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5">
                <wp:simplePos x="0" y="0"/>
                <wp:positionH relativeFrom="character">
                  <wp:align>left</wp:align>
                </wp:positionH>
                <wp:positionV relativeFrom="line">
                  <wp:posOffset>635</wp:posOffset>
                </wp:positionV>
                <wp:extent cx="6480175" cy="146685"/>
                <wp:effectExtent l="0" t="0" r="0" b="0"/>
                <wp:wrapNone/>
                <wp:docPr id="43" name="Frame3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36</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is highly competitive. Competition presents an ongoing threat to the success of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compete with companies that provide a variety of internet products, services, content, and online advertising. In addition, aspects of our platform compete with other products and services, including home services, classifieds, real estate, recommendations, and search engines. Of these companies, we most directly compete with social media companies that offer local products to advertisers and users, including large companies such as Meta (including through Facebook and Instagram) and Alphabet (including through Google), and other companies that provide home services, classifieds, real estate, recommendations, and search engines. We compete with these companies to attract, engage, and retain users and to attract and retain advertisers. If we introduce or acquire new products and services or evolve our platform in a way that subjects us to additional competition or as existing competitors introduce new products and services or evolve their platforms, we may fail to engage or retain neighbors or attract new neighbors, which could harm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Some of our current and potential competitors have substantially broader product or service offerings and leverage their relationships based on other products or services to gain additional share of advertising spend. They have large distributed sales forces and an increasing amount of control over mobile distribution channels. Many of these competitors’ economies of scale allow them to have access to larger volumes of data and platforms that are used on a more frequent basis than the Nextdoor platform, which may enable them to better understand their member base and develop and deliver more targeted advertising. Such competitors may not need to rely on third-party data, including data provided by advertisers, to effectively target the campaigns of advertisers, which could make their advertising products more attractive to advertisers than our platform if such third-party data ceases to be available to us, whether because of regulatory changes, privacy or cybersecurity concerns or other reasons. If our advertisers do not believe that our value proposition is as compelling as those of our competitors, we may not be able to attract new advertisers or retain existing ones, and our business, operating results, and financial condition could be adversely impacted.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competitors may develop products, features, or services that are similar to our platform or that achieve greater acceptance, may undertake more far-reaching and successful product development efforts or marketing campaigns, or may adopt more aggressive pricing policies. Some competitors may gain a competitive advantage relative to us in areas where we operate, including by more effectively responding to changes to third-party products and policies or by integrating competing platforms, applications, or features into products they control such as mobile device operating systems, search engines, browsers, or e-commerce platforms. For example, Apple introduced changes starting with iOS 14.5 that limit our ability, and the ability of others in the digital advertising industry, to track individual users and devices, and target and measure advertisements effectively. Additionally, the Apple App Store guidelines require apps that support account creation to also allow users to delete their account within the app. This change has and may continue to impact our ability to retain users. Moreover, Google has stated that it intends to limit access by mobile applications to advertising identifiers on Android devices, though they have not set a date. As a result, our competitors may, and in some cases will, acquire and engage neighbors or generate advertising or other revenue at the expense of our efforts, which would negatively affect our business, operating results, and financial condition. In addition, from time to time, we may take actions in response to competitive threats, but we cannot assure you that these actions will be successful or that they will not negatively affect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our ability to compete depends upon many factors both within and beyond our control, including: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popularity, usefulness, ease of use, performance, and reliability of our platform compared to our competitors’ products;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size and composition of our neighbor base;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engagement of neighbors with our platform and competing products;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first- and third-party data available to us relative to our competitors;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attract and retain advertisers who use our free or paid advertisements services;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timing and market acceptance of developments and enhancements to our platform or our competitors’ products;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safety and security efforts and our ability to protect neighbor data and to provide neighbors with control over their data;</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distribute our platform to new and existing neighbors;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effectively monetize our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successful implementation of platform changes, such as the migration to our proprietary ad server and introduction of AI technologies into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6">
                <wp:simplePos x="0" y="0"/>
                <wp:positionH relativeFrom="character">
                  <wp:align>left</wp:align>
                </wp:positionH>
                <wp:positionV relativeFrom="line">
                  <wp:posOffset>635</wp:posOffset>
                </wp:positionV>
                <wp:extent cx="6480175" cy="146685"/>
                <wp:effectExtent l="0" t="0" r="0" b="0"/>
                <wp:wrapNone/>
                <wp:docPr id="44" name="Frame3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37</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frequency, size, format, quality, and relative prominence of the advertisements displayed by us or our competitors;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customer service and support efforts;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marketing and selling efforts, including our ability to measure the effectiveness of our advertisements and to provide advertisers with a compelling return on their investments;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establish and maintain publisher interest in integrating their content with our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mandated by legislation, regulatory authorities, or litigation, some of which may have a disproportionate effect on us;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acquisitions or consolidation within our industry, which may result in more formidable competitors;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attract, retain, and motivate talented employees, particularly software engineers, designers, and managers;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cost-effectively manage and grow our operations;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reputation and brand strength relative to those of our competitors.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are not able to compete effectively, our neighbor base and level of neighbor engagement may decrease, we may become less attractive to advertisers and our business, operating results, and financial condition may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is dependent on our ability to maintain and scale our product offerings and technical infrastructure, and any significant disruption in the availability of our platform could damage our reputation, result in a potential loss of neighbors and engagement, and adversely affect our business, operating results, and financial condition.</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reputation and ability to attract, retain, and serve our neighbors and to scale our product offerings is dependent upon the reliable performance of our platform and our underlying technical infrastructure. We have in the past experienced, and may in the future experience, interruptions in the availability or performance of our platform from time to time. Our systems may not be adequately designed or may not operate with the reliability and redundancy necessary to avoid performance delays or outages that could be harmful to our business. If our platform is unavailable when neighbors attempt to access it, or if it does not load as quickly as expected, neighbors may not use our platform as often in the future, or at all, and our ability to serve advertisements may be disrupted, any of which could adversely affect our business, operating results, and financial condition. As the amount and types of information shared on our platform continues to grow and evolve, as the usage patterns of our communities continues to evolve, and as our internal operational demands continue to grow, we will need an increasing amount of technical infrastructure, including network capacity and computing power, to continue to satisfy our needs. If we fail to continue to effectively scale and grow our technical infrastructure to accommodate these increased demands, neighbor engagement and revenue growth may be adversely impacted. Moreover, as we scale our platform and product offerings, including video and other platform features, that may place strain on our technical infrastructure, and we may also be unsuccessful in scaling our technical infrastructure to accommodate new product offerings and increased platform usage cost-effectively. In addition, our business may be subject to interruptions, delays, or failures resulting from earthquakes, fires, floods, adverse weather conditions, other natural disasters, power loss, terrorism, pandemics, geopolitical conflict (including the current war in Ukraine and the Israel-Hamas war), other physical security threats, cyber-attacks, or other catastrophic events. If such an event were to occur, neighbors may be subject to service disruptions or outages and we may not be able to recover our technical infrastructure and neighbor data in a timely manner to restart or provide our services, which may adversely affect our financial results. In addition, the substantial amount of our employees are based in our headquarters located in San Francisco, California. If there is a catastrophic failure involving our systems or major disruptive event affecting our headquarters or the San Francisco area in general, we may be unable to operate our platform.</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 substantial portion of our network infrastructure is provided by third parties, including AWS. We also rely on third parties for other technology related services, including certain AI functions. Any disruption or failure in the services we receive from these providers could impact the availability of our platform and could adversely impact our business, operating results and financial condition. Any financial or other difficulties these providers face may adversely affect our business, and we exercise little control over these providers, which increases our reliance on and vulnerability to problems with the services they provide and increases in the costs of these services.</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of these developments may result in interruptions in the availability or performance of our platform, result in neighbors ceasing to use our platform, require unfavorable changes to our platform, delay the introduction of future products, or otherwise adversely affect our reputation,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7">
                <wp:simplePos x="0" y="0"/>
                <wp:positionH relativeFrom="character">
                  <wp:align>left</wp:align>
                </wp:positionH>
                <wp:positionV relativeFrom="line">
                  <wp:posOffset>635</wp:posOffset>
                </wp:positionV>
                <wp:extent cx="6480175" cy="146685"/>
                <wp:effectExtent l="0" t="0" r="0" b="0"/>
                <wp:wrapNone/>
                <wp:docPr id="45" name="Frame3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38</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 xml:space="preserve">If we fail to scale our business effectively, our business, operating results, and financial condition would be adversely affected.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growth in recent years and expect to continue to invest strategically across our organization to support measured growth, while also scaling back certain areas of our business in response to changing economic conditions. Although we have experienced rapid growth historically, we may not return to prior growth rates or sustain our growth rates, nor can we assure you that our investments to support our growth or to manage expenses by scaling back other areas of our business will be successful. The effective scaling of our business will require us to invest financial and operational resources and the continuous dedication of our management team.</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to expand our international operations into more countries in the future, which will place additional demands on our resources and operations. The growth and expansion of our business has placed, and continues to place, a significant strain on our management, operations, and financial and technical infrastructure. In the event of further growth of our business or in the number of our third-party relationships, our information technology systems or our internal controls and procedures may not be adequate to support our operations.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Further, as we have grown, our business has become increasingly complex and requires more resources. To manage any future growth effectively, we must continue to improve and expand our information technology and financial infrastructure, our operating and administrative systems and controls, and our ability to manage headcount, capital, and processes in an efficient and appropriate manner. Failure to manage growth effectively could result in increases in costs, difficulties in introducing new products and services or enhancing the platform, loss of neighbors and advertisers, or other operational difficulties, any of which could adversely affect our business, operating results, and financial condition. For example, as we expand our product offerings, including video, we may not be able to do so cost-effectively. Effectively managing our growth may also be more difficult to accomplish the longer that our employees, our advertisers, neighbors and the overall economy is impacted due to macroeconomic conditions and factors, including but not limited to the impacts related to the actual or perceived instability in the global banking system, labor shortages, supply chain disruptions, a potential recession, uncertainty with respect to the federal budget or debt ceiling and a potential temporary federal government shutdown, related thereto, changing interest rates and inflation, and the war in Ukraine and the Israel-Hamas war.</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successfully implement or scale improvements to our systems, processes, and controls in an efficient or timely manner. Our controls, policies and procedures, including with respect to accounting, risk management, data privacy, cybersecurity, client on-boarding, transaction monitoring, and reliance on manual controls, among other compliance matters, remain under development and may not be consistently applied or fully effective to identify, monitor and manage all risks of our business as we continue to scale rapidly. In addition, our existing systems, processes, and controls may not prevent or detect all errors, omissions, or fraud. We may also experience difficulties in managing improvements to our systems, processes, and controls or in connection with third-party software licensed to help us with such improvements. Any future growth will continue to add complexity to our organization and require effective coordination throughout our organization. Failure to manage any future growth effectively could result in increased costs, cause difficulty or delays in attracting new neighbors or retaining or increasing the engagement of existing neighbors, cause difficulties in introducing new features, impact our ability to attract and retain talent or cause other operational difficulties, and any of these difficulties would adversely impact our business, operating results, and financial condition.</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from time to time, we realign our resources and talent to implement stage-appropriate business strategies, which could include furloughs, layoffs and reductions in force. For example, in November 2023, in response to changing economic conditions and in an effort to support our growth, scale and profitability objectives, reduce our operational costs and improve our organizational efficiency, we executed a restructuring plan, which included a restructuring and reduction of the current workforce by approximately 25%. The restructuring plan was substantially completed by the end of the fourth quarter of 2023. If there are unforeseen expenses associated with such realignments in our business strategies, and we incur unanticipated charges or liabilities, then we may not be able to effectively realize the expected cost savings or other benefits of such actions. Failure to manage any growth or any scaling back of our operations could have an adverse effect on our business, operating results, and financial condition.</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or our industry generally are unable to provide a high-quality and secure customer experience in the various locales in which we operate, our brand could suffer reputational damage and our business results could be harmed.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business is largely driven by and reliant on customer trust. The reliability of our service, the security of personally identifiable and other sensitive information of our customers, and a responsive and effective customer support function are each critical elements for the maintenance of this trust. For example, any significant interruption in either our internal or our partners’ systems could reduce customer confidence in our services. In addition, any breach, or reported breach, of our systems, our information security policies, or legal requirements that results in a compromise of customer data or causes customers to believe their data has been compromised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8">
                <wp:simplePos x="0" y="0"/>
                <wp:positionH relativeFrom="character">
                  <wp:align>left</wp:align>
                </wp:positionH>
                <wp:positionV relativeFrom="line">
                  <wp:posOffset>635</wp:posOffset>
                </wp:positionV>
                <wp:extent cx="6480175" cy="146685"/>
                <wp:effectExtent l="0" t="0" r="0" b="0"/>
                <wp:wrapNone/>
                <wp:docPr id="46" name="Frame4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39</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could have a significant negative effect on our business. Legal claims and regulatory enforcement actions could also arise in response to these events, which would further exacerbate erosion of customer trust and potentially result in operating losses and liabilities.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do not successfully anticipate market needs and develop products and services and platform enhancements that meet those needs, or if those products, services, and platform enhancements do not gain market acceptance, our business, operating results, and financial condition will be adversely impacted.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not be able to anticipate future market needs or be able to improve our platform or to develop new products and services or platform enhancements to meet such needs on a timely basis, if at all. In addition, our inability to diversify beyond our current offerings could adversely affect our business. Any new products or services or platform enhancements that we introduce, including by way of acquisitions, may not achieve any significant degree of market acceptance from current or potential neighbors, which would adversely affect our business, operating results, and financial condition. In addition, the introduction of new products or services or platform enhancements may decrease neighbor engagement with our platform, thereby offsetting the benefit of even a successful product or service introduction, any of which could adversely impact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not be successful in our AI initiatives, which could adversely affect our business, reputation, or financial results.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are continuing to make investments in AI initiatives, including to recommend relevant content across our products, enhance our advertising tools, and develop new product features using generative AI. Our AI initiatives may require increased investment in infrastructure and headcount. AI technologies are complex and rapidly evolving, and we face significant competition from other companies as well as an evolving regulatory landscape. These efforts, including the introduction of new products or changes to existing products, may result in new or enhanced governmental or regulatory scrutiny, litigation, ethical concerns, or other complications that could adversely affect our business, operating results and financial condition. For example, the use of datasets to develop AI models, the content generated by AI systems, or the application of AI systems may be found to be insufficient, offensive, biased, or harmful, or violate current or future laws and regulations. Moreover, AI may give rise to litigation risk, including potential intellectual property or privacy liability. In addition, market acceptance of AI technologies is uncertain, and we may be unsuccessful in our product development efforts. Moreover, our competitors may introduce AI technologies and features into their products and services that achieve greater market acceptance that ours. Any of these factors could adversely affect our business, operating results, and financial condition.</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our efforts to build strong brand identity and reputation are not successful, we may not be able to attract or retain neighbors, and our business, operating results, and financial condition will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believe that maintaining and enhancing the “Nextdoor” brand and reputation is critical to retaining and growing neighbors and advertisers on our platform. We anticipate that maintaining and enhancing our brand and reputation will depend largely on our continued ability to provide high-quality, relevant, reliable, trustworthy and innovative features on our platform, which may require substantial investment and may not be successful. We may need to introduce new products, services and features or updates to our platform and features that require neighbors to agree to new terms of service that our neighbors do not like, which may negatively affect our brand and reputation.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Additionally, advertisements or actions of our advertisers may affect our brand and reputation if neighbors do not think the advertisements help them accomplish their objectives, view the advertisements as intrusive or misleading or have poor experiences with our advertisers.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brand and reputation may also be negatively affected by the content or actions of neighbors that are deemed to be hostile or inappropriate to other neighbors, by the actions of neighbors acting under false or inauthentic identities, by the use of our platform to disseminate misleading or false information, the use of our platform for fraudulent schemes and scams, or by the use of our service for illicit, illegal or objectionable ends. We also may fail to respond expeditiously to the sharing of illegal, illicit or objectionable content on our service or objectionable practices by advertisers, or to otherwise address our neighbors’ concerns, which could erode confidence in our brand and damage our reputation. We expect that our ability to identify and respond to this content in a timely manner may decrease as the number of neighbors grows, as the amount of content on the platform increases or as we expand our product and service offerings on our platform. Any governmental or regulatory inquiry, investigation or action, including based on the appearance of illegal, illicit or objectionable content on our platform or the failure to comply with laws and regulations, could damage our brand and reputation, regardless of the outcome.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have experienced, and expect to continue to experience, media, legislative, governmental and regulatory scrutiny of our decisions. Any scrutiny regarding us, including regarding our data privacy, content moderation or other practices, platform changes, platform quality, litigation or regulatory action, or regarding the actions of our employees, neighbors, or advertisers or other issues, may harm our brand and reputation. In addition, scrutiny of other companies in our industry, including such companies’ data privacy, content moderation or other practices, could also have a negative impact on our brand and reputation. These concerns, whether actual or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49">
                <wp:simplePos x="0" y="0"/>
                <wp:positionH relativeFrom="character">
                  <wp:align>left</wp:align>
                </wp:positionH>
                <wp:positionV relativeFrom="line">
                  <wp:posOffset>635</wp:posOffset>
                </wp:positionV>
                <wp:extent cx="6480175" cy="146685"/>
                <wp:effectExtent l="0" t="0" r="0" b="0"/>
                <wp:wrapNone/>
                <wp:docPr id="47" name="Frame4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40</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unfounded, may also deter neighbors or advertisers from using our platform. In addition, we may fail to adequately address the needs of neighbors and advertisers which could erode confidence in our brand and damage our reputation. If we fail to promote and maintain the “Nextdoor” brand or preserve our reputation, or if we incur excessive expenses in this effort, our business, operating results, and financial condition could be adversely impacted.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Unfavorable media coverage negatively affects our business from time to time.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Unfavorable publicity regarding us, for example regarding our privacy or cybersecurity practices, terms of service, advertising policies, platform changes, platform quality, litigation or regulatory activity, the actions of our advertisers, the use of our platform for illicit or objectionable ends, the substance or enforcement of our community standards, the actions of our neighbors, the quality and integrity of content shared on our platform, or the actions of other companies that provide similar services to us, has in the past, and could in the future, adversely affect our reputation. For example, we have been, and may in the future be, subject to negative publicity in connection with our handling of misinformation and other illicit or objectionable uses of our platform. Any such negative publicity could have an adverse effect on the size, engagement, and loyalty of our neighbor base and advertiser demand for advertising on our platform, which could result in decreased revenue and adversely affect our business, operating results, and financial condition, and we have experienced such adverse effects to varying degrees from time to time.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plan to continue expanding our international operations where we have limited operating experience and may be subject to increased business, regulatory, and economic risks that could seriously harm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plan to continue expanding our business operations abroad by opening new and expanding within existing neighborhoods outside of the United States. As of March 31, 2024, the Nextdoor platform was accessible in 11 countries (including the United States) and had over 335,000 neighborhoods. We plan to enter new international markets and expand in existing markets where we have limited or no experience in marketing, selling, advertising and deploying our platform or selling advertising. Any of our limited experience and infrastructure in such markets, individuals’ lack of familiarity with us or our platform, the existence of alternative platforms in such jurisdictions that offer similar products and services or the lack of a critical mass of potential neighbors in such markets may make it more difficult for us to effectively monetize any increase in neighbors in those markets, and may increase our costs without a corresponding increase in revenues. If we fail to deploy or manage our operations in international markets successfully, comply with international regulations or effectively monetize our platform in international markets to the same degree as we are able to monetize our efforts within the United States, our business, operating results and financial conditions will be adversely affected. In the future, if our international operations increase, or more of our expenses are denominated in currencies other than the U.S. dollar, our operating results may be more greatly affected by fluctuations in the exchange rates of the currencies in which we do business. In addition, as our international operations and sales to advertisers continue to grow, we will be subject to a variety of risks inherent in doing business internationally, including: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political, social and economic instability, including as a result of acts of war or terrorism, including the war in Ukraine and the Israel-Hamas war;</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risks related to the legal and regulatory environment in foreign jurisdictions, including with respect to privacy and data protection, and unexpected changes in laws, regulatory requirements, and enforcement;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potential damage to our brand and reputation due to compliance with local laws, including potential censorship and requirements to provide neighbor information to local authorities;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enhanced difficulty in reviewing content on the Nextdoor platform and enforcing community standards across different languages and countries;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fluctuations in currency exchange rates;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foreign exchange controls and tax and other regulations and orders that might prevent us from repatriating cash earned in countries outside the United States or otherwise limit our ability to move cash freely, and impede our ability to invest such cash efficiently;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compliance with multiple U.S. and international tax jurisdictions and management of tax impact of global operations;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potentially higher levels of credit risk and payment fraud;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difficulties integrating any foreign acquisitions;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0">
                <wp:simplePos x="0" y="0"/>
                <wp:positionH relativeFrom="character">
                  <wp:align>left</wp:align>
                </wp:positionH>
                <wp:positionV relativeFrom="line">
                  <wp:posOffset>635</wp:posOffset>
                </wp:positionV>
                <wp:extent cx="6480175" cy="146685"/>
                <wp:effectExtent l="0" t="0" r="0" b="0"/>
                <wp:wrapNone/>
                <wp:docPr id="48" name="Frame4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41</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burdens of complying with a variety of foreign laws, including laws related to taxation, content removal, data localization, data transfer, consents, payments, and regulatory oversight;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reduced protection for intellectual property rights in some countries;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different regulations and practices with respect to employee/employer relationships, existence of workers’ councils and labor unions, increase in labor costs due to high wage inflation in certain international jurisdictions, and other challenges caused by distance, language and cultural differences, making it harder to do business in certain international jurisdictions;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difficulties in staffing and managing global operations and the increased travel, infrastructure, and legal compliance costs associated with multiple international locations.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we must manage the potential conflicts between locally accepted business practices in any given jurisdiction and our obligations to comply with laws and regulations, including anti-money laundering laws, anti-corruption laws or regulations applicable to us, such as the U.S. Foreign Corrupt Practices Act, and the U.K. Bribery Act 2010. We also must manage our obligations to comply with laws and regulations related to export controls, sanctions, and embargoes, including regulations established by the U.S. Office of Foreign Assets Control. Government agencies and authorities have a broad range of civil and criminal penalties they may seek to impose against companies for violations of anti-corruption laws or regulations, export controls, and other laws, rules, sanctions, embargoes, and regulations. Any failure by us to comply with local business practices or the laws and regulations applicable to us in the markets in which we operate may adversely affect our business, operating results, and financial condition. Additionally, if we are unable to expand internationally and manage the complexity of our global operations successfully, our business, operating results, and financial condition could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need additional capital in the future, it may not be available on favorable terms, if at all.</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historically relied on outside financing to fund our operations, capital expenditures and expansion. We may require additional capital from equity or debt financing in the future to support our growth, fund our operations or to respond to competitive pressures or strategic opportunities. We may not be able to secure timely additional financing on favorable terms, if at all. The current macroeconomic environment may make it more difficult to raise additional capital on favorable terms, if at all. If we raise additional funds through further issuances of equity, convertible debt securities or other securities convertible into equity, our existing stockholders, could suffer significant dilution in their percentage ownership, and any new securities that we issue could have rights, preferences and privileges senior to those of holders of our Class A common stock. Any debt financing that we secure in the future could involve restrictive covenants relating to our capital raising activities and other financial and operational matters, including the ability to pay dividends. This may make it more difficult for us to obtain additional capital and to pursue business opportunities, including potential acquisitions. If we are unable to obtain adequate financing or financing on terms that are satisfactory to us, if and when we require financing, our ability to grow or support our business and to respond to business challenges that we may face could be significantly limited.</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make acquisitions, which could harm our financial condition or operating results and may adversely affect the price of our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part of our business strategy, we have made, and may in the future make acquisitions to add specialized employees and complementary companies, products or technologies, data, and enter new geographic regions. Our previous and future acquisitions may not achieve our goals, and we may not realize benefits from acquisitions we make in the future. If we fail to successfully integrate acquisitions, or the personnel or technologies associated with those acquisitions, our business, operating results, and financial condition could be harmed. Any integration process will require significant time and resources, and we may not be able to manage the process successfully. Our acquisition strategy may change over time and any future acquisitions we complete could be viewed negatively by neighbors, advertisers, investors or other parties with whom we do business. We may not successfully evaluate or utilize the acquired technology and accurately forecast the financial impact of an acquisition, including accounting charges. We may also incur unanticipated liabilities that we assume as a result of acquiring companies. We may have to pay cash, incur debt or issue equity securities to pay for any such acquisition, each of which could affect our financial condition or the value of our securities. In the future, we may not be able to find other suitable acquisition candidates, and we may not be able to complete acquisitions on favorable terms, if at all. Our acquisition strategy could require significant management attention, disrupt our business and harm our business, operating results, and financial condition.</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1">
                <wp:simplePos x="0" y="0"/>
                <wp:positionH relativeFrom="character">
                  <wp:align>left</wp:align>
                </wp:positionH>
                <wp:positionV relativeFrom="line">
                  <wp:posOffset>635</wp:posOffset>
                </wp:positionV>
                <wp:extent cx="6480175" cy="146685"/>
                <wp:effectExtent l="0" t="0" r="0" b="0"/>
                <wp:wrapNone/>
                <wp:docPr id="49" name="Frame4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42</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depends largely on our ability to attract, and retain and assimilate talented employees, including senior management. If we lose the services of or fail to successfully assimilate highly skilled personnel, key employees or members of our senior management team, we may not be able to execute on our business strategy.</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future success depends on our continuing ability to attract, train, assimilate, and retain highly skilled personnel, including software engineers and sales personnel. We face intense competition for qualified individuals from numerous software and other technology companies. In addition, competition for qualified personnel, particularly software engineers, is particularly intense in the San Francisco Bay Area, where our headquarters are located, and the change by companies to offer a remote or hybrid work environment may increase the competition for such employees from employers outside of our traditional office locations.</w:t>
      </w:r>
    </w:p>
    <w:p>
      <w:pPr>
        <w:pStyle w:val="TextBody"/>
        <w:bidi w:val="0"/>
        <w:spacing w:before="0" w:after="0"/>
        <w:jc w:val="left"/>
        <w:rPr/>
      </w:pPr>
      <w:r>
        <w:rPr/>
      </w:r>
    </w:p>
    <w:p>
      <w:pPr>
        <w:pStyle w:val="TextBody"/>
        <w:bidi w:val="0"/>
        <w:spacing w:lineRule="auto" w:line="276"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may not be able to retain our current key employees or attract, train, assimilate, or retain other highly skilled personnel in the future. We have incurred, and may continue to incur, significant costs to attract and retain highly skilled personnel, and we may lose new employees to our competitors or other technology companies before we realize the benefit of our investment in recruiting and training them. As we move into new geographies, we will need to attract and recruit skilled personnel in those areas. Further, labor is subject to external factors that are beyond our control, including our industry’s highly competitive market for skilled workers and leaders, cost inflation, and workforce participation rates. Further, in November 2023, in response to changing economic conditions and in an effort to reduce our operational costs and improve our organizational efficiency, we executed a restructuring plan, which included a restructuring and reduction of the current workforce by approximately 25%. The restructuring plan was substantially complete by the end of the fourth quarter of 2023. This restructuring plan could negatively impact our ability to attract, integrate, retain and motivate key employees. If we are unable to attract and retain suitably qualified individuals who are capable of meeting our growing technical, operational, and managerial requirements, on a timely basis or at all, our business, operating results, and financial condition may be adversely affected. </w:t>
      </w:r>
    </w:p>
    <w:p>
      <w:pPr>
        <w:pStyle w:val="TextBody"/>
        <w:bidi w:val="0"/>
        <w:spacing w:before="0" w:after="0"/>
        <w:jc w:val="left"/>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future success also depends in large part on the continued services of senior management and other key personnel. We rely on our senior management team and key employees in the areas of engineering, sales and product development, design, marketing, operations, strategy, security, and general and administrative functions. Our senior management and other key personnel are all employed on an at-will basis, which means that they could terminate their employment with us at any time, for any reason, and without notice. We do not currently maintain key-person life insurance policies on any of our officers or employees. </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February 23, 2024, we announced that Nirav Tolia, co-founder of Legacy Nextdoor, will return as Chief Executive Officer, President and Chairperson of our Board of Directors. The effective date of Mr. Tolia’s position as Chief Executive Officer, President and Chairperson of the Board will be May 8, 2024 (the “Transition Date”). Mr. Tolia will initially serve as the Executive Chair of the Company, effective March 18, 2024. To support the planned orderly transition of our Chief Executive Officer, Sarah Friar will remain employed by the Company as the Chief Executive Officer and President until the Transition Date. In addition, as part of the orderly transition of certain members of our management team, Heidi Andersen, our Head of Revenue, and John Orta, our Head of Legal &amp; Corporate Development and Secretary, will each resign from their positions, effective on May 8, 2024. If we lose the services of senior management or other key personnel, or if we are unable to attract, train, assimilate, and retain the highly skilled personnel that we need, our business, operating results, and financial condition could be adversely affected.</w:t>
      </w:r>
    </w:p>
    <w:p>
      <w:pPr>
        <w:pStyle w:val="TextBody"/>
        <w:bidi w:val="0"/>
        <w:spacing w:before="0" w:after="0"/>
        <w:jc w:val="left"/>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Volatility or lack of appreciation in our stock price may also affect our ability to attract and retain our key employees. Our employees may be more likely to leave if the shares they own or the shares underlying their vested options have significantly appreciated in value relative to the original purchase price of the shares or the exercise price of the options, or conversely, if the exercise price of the options that they hold are significantly above the market price of our Class A common stock. If we are unable to retain our employees, or if we need to increase our compensation expenses to retain our employees, our business, operating results, and financial condition could be adversely affected.</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core values may conflict with the short-term interests of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consider our core values as a guide to the decisions we make, which we believe is essential to our success in increasing our neighbor growth rate and engagement and in serving the best, long-term interests of Nextdoor and our stockholders. In the past, we have forgone, and may in the future forgo, certain expansion or revenue opportunities that we do not believe are aligned with our core values, even if our decision may negatively impact our operating results in the short term. Our decisions may not result in the long-term benefits that we expect, in which case our neighbor engagement, business, operating results, and financial condition could be harmed.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2">
                <wp:simplePos x="0" y="0"/>
                <wp:positionH relativeFrom="character">
                  <wp:align>left</wp:align>
                </wp:positionH>
                <wp:positionV relativeFrom="line">
                  <wp:posOffset>635</wp:posOffset>
                </wp:positionV>
                <wp:extent cx="6480175" cy="146685"/>
                <wp:effectExtent l="0" t="0" r="0" b="0"/>
                <wp:wrapNone/>
                <wp:docPr id="50" name="Frame4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43</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Security and Technology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dependent on third-party software and service providers, including the GAM platform, for management and delivery of advertisements on the Nextdoor platform. Any failure or interruption experienced by such third-parties could result in the inability of certain businesses to advertise on our platform, and adversely impact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Currently, we are dependent on third-party software and service providers, including the GAM platform, for management and delivery of advertisements on the Nextdoor platform. As such, the continued use of third-party software and service providers, including GAM, is critical to our continued success and any service disruptions, adverse changes to the terms of use, pricing or related terms and conditions for such third-party providers’ products, or difficulties with such products, including our data usage, meeting our requirements or standards could result in the inability of certain businesses to advertise on our platform, and adversely impact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third-party software and service providers, including AWS, to provide systems, storage and services for our platform. Any failure or interruption experienced by such third parties could result in the inability of neighbors and advertisers to access or utilize our platform, and adversely impact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third-party software and service providers, including AWS, to provide systems, storage and services, including neighbor login authentication, for our website. Any technical problem with, cyber-attack on or loss of access to such third parties’ systems, servers, or technologies could result in the inability of neighbors to access the Nextdoor platform or result in the theft of neighbors’ personal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Because we rely on third-party technology providers in our business, we rely on the cybersecurity practices and policies adopted by these third parties. Our ability to monitor our third-party technology providers’ cybersecurity practices is limited.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significant disruption, limitation or loss of our access to or other interference with our use of AWS, including as a result of termination by AWS of its agreement with us, would negatively impact our business, operating results, and financial condition. In addition, any transition of the cloud services currently provided by AWS to another cloud services provider would be difficult to implement and would cause us to incur significant time and expense and could disrupt or degrade our ability to deliver our products and services. The level of service provided by AWS could affect the availability or speed of our services. If neighbors or advertisers are not able to access our platform or encounter difficulties in doing so, we may lose neighbors or advertisers, which could harm our reputation,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utilize data center hosting facilities operated by AWS, located in various facilities. We are unable to serve network traffic from back-up data center services. An unexpected disruption of services provided by these data centers could hamper our ability to handle existing or increased traffic, result in the loss of data or cause our platform to become unavailable, which may harm our reputation,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rely on third parties, including email providers, mobile data networks, and geolocation providers to complete the verification process for our neighbors’ accounts. Any failure or interruption experienced by such third parties could result in the inability of neighbors to join our platform, resulting in harm to our reputation and an adverse impact to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third parties to verify our neighbors’ accounts through several methods, including but not limited to email, SMS text message, phone calls, geolocation and mailed invitations. For example, we utilize email providers, mobile data networks, and geolocation providers to verify neighbors’ accounts. Account verification is a critical feature of our platform because it demonstrates that neighbors actually live in the neighborhood they desire to join. Any failure, interruption, or loss of access to such third parties or their software could result in the inability of neighbors to join our platform. Our reliance on third parties makes us vulnerable to any service interruptions, whether as a result of a cyber-attack, security breach, weather or other events, or delays in their operations. Additionally, alternative email providers, mobile data networks, geolocation providers or postal providers may be more costly to use than our current providers. Any disruption in the third parties could harm our neighbor growth, which in turn could make us a less attractive advertising platform and harm our reputation, and could harm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Technologies have been developed that can block the display of advertisements on the Nextdoor platform, which could adversely impact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Technologies have been developed, and will likely continue to be developed, that can block the display of advertisements on the Nextdoor platform. We generate substantially all of our revenue from advertising, and ad-blocking technologies may prevent the display of certain advertisements appearing on our platform, which could harm our business, operating results, and financial condition.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3">
                <wp:simplePos x="0" y="0"/>
                <wp:positionH relativeFrom="character">
                  <wp:align>left</wp:align>
                </wp:positionH>
                <wp:positionV relativeFrom="line">
                  <wp:posOffset>635</wp:posOffset>
                </wp:positionV>
                <wp:extent cx="6480175" cy="146685"/>
                <wp:effectExtent l="0" t="0" r="0" b="0"/>
                <wp:wrapNone/>
                <wp:docPr id="51" name="Frame4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44</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Existing ad-blocking technologies that have not been effective on our platform may become effective as we make certain platform changes, and new ad-blocking technologies may be developed in the future. More neighbors may choose to use such ad-blocking products to block or obscure the display of advertisements on our platform if we are unable to successfully balance the amount of our organic content and paid advertisements, or if neighbors’ attitudes toward advertisements become more negative. Further, regardless of their effectiveness, ad-blockers may generate concern regarding the health of the digital advertising industry, which could reduce the value of digital advertising and harm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Security breaches, including improper access to or disclosure of our data or our neighbors’ data, or other hacking and phishing attacks on our or third-party systems, could harm our reputation and adversely affect our business.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store and otherwise process personal data relating to a number of individuals such as our neighbors, employees and partners, including, but not limited to, neighbor contact details, network details, and location data. The evolution of technology systems introduces unknown and complex security risks that can be unpredictable and difficult to defend against. Cyber-attacks continue to evolve in sophistication and volume, and inherently may be difficult to detect for long periods of time. In particular, social media companies, like us, are prone to cyber-attacks by third parties seeking unauthorized access to company or user data or to disrupt their ability to provide access to their products and services.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trend towards working from home and using private residential networks to access the Internet may further exacerbate risks associated with cyberattacks and data security breaches, because we cannot guarantee these private work environments and electronic connections to our work environment have the same robust security measures deployed in our physical offices. </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take a variety of technical and organizational security measures and other measures to protect our data. Although we have implemented systems and processes that are designed to protect our data and our neighbors’ data, prevent data loss, disable undesirable accounts and activities on our platform and prevent or detect security breaches, and maintain an information security policy, such measures cannot provide absolute security, and despite measures that we have or will in the future put in place, we may be unable to anticipate or prevent unauthorized access to such data. For example, computer malware, viruses, social engineering (predominantly spear phishing attacks), ransomware, and general hacking have become more prevalent in the industry, have occurred on our systems in the past, and are likely to occur on our systems in the future. In addition, we regularly encounter attempts to create false or undesirable accounts or take other actions on our platform for purposes such as spamming, spreading misinformation, or other objectionable ends. Our efforts to protect our company data or the information that we receive may also be unsuccessful due to software bugs or other technical malfunctions; employee, contractor, or vendor error or malfeasance; government surveillance; or other threats that evolve.</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Some third parties, including advertisers and vendors, may store information that we share with them on their networks. If these third parties fail to implement adequate data-security practices or fail to comply with their contractual obligations and/or, where applicable, our terms and policies, neighbor data may be improperly accessed, used or disclosed. Even if these third parties take all the necessary precautions and comply with their applicable obligations, their networks may still suffer a breach, which could compromise neighbor data.</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Security breaches may cause interruptions to our platform, degrade the neighbor experience, cause neighbors or advertisers to lose confidence and trust in our platform, impair our internal systems, or result in financial harm to our company.</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affected neighbors, government authorities or other third parties could initiate legal or regulatory actions against us in connection with any actual or perceived security breaches or improper disclosure of data, which could cause us to incur significant expense and liability that may not be fully covered by insurance, if at all, or result in orders or consent decrees forcing us to modify our business practices. Such incidents or our efforts to remediate such incidents may also result in a decline in our active neighbor base or engagement levels and trust. In addition, such incidents could also result in the loss or misuse of such data, which could harm our business and reputation and diminish our competitive position. In addition, any of these events could have a material and adverse effect on our business, operating results, financial condition, market acceptance of our products or revenues and may also divert development resources and increase service and support costs.</w:t>
      </w:r>
    </w:p>
    <w:p>
      <w:pPr>
        <w:pStyle w:val="TextBody"/>
        <w:bidi w:val="0"/>
        <w:spacing w:before="0" w:after="0"/>
        <w:jc w:val="both"/>
        <w:rPr/>
      </w:pPr>
      <w:r>
        <w:rPr/>
      </w:r>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 xml:space="preserve">The landscape of laws, regulations, and industry standards related to cybersecurity is evolving globally. We may be subject to increased compliance burdens by regulators and customers with respect to our platform, as well as additional costs to oversee and monitor security risks. Many jurisdictions have enacted laws mandating companies to inform individuals, stockholders, regulatory authorities, and others of security breaches. For example, the SEC recently adopted cybersecurity risk management and disclosure rules, which require the disclosure of information pertaining to cybersecurity incidents and cybersecurity risk management, strategy,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4">
                <wp:simplePos x="0" y="0"/>
                <wp:positionH relativeFrom="character">
                  <wp:align>left</wp:align>
                </wp:positionH>
                <wp:positionV relativeFrom="line">
                  <wp:posOffset>635</wp:posOffset>
                </wp:positionV>
                <wp:extent cx="6480175" cy="146685"/>
                <wp:effectExtent l="0" t="0" r="0" b="0"/>
                <wp:wrapNone/>
                <wp:docPr id="52" name="Frame4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45</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shd w:fill="FFFFFF" w:val="clear"/>
        </w:rPr>
      </w:pPr>
      <w:r>
        <w:rPr>
          <w:rFonts w:ascii="Times New Roman;sans-serif" w:hAnsi="Times New Roman;sans-serif"/>
          <w:b w:val="false"/>
          <w:color w:val="000000"/>
          <w:sz w:val="20"/>
          <w:shd w:fill="FFFFFF" w:val="clear"/>
        </w:rPr>
        <w:t>and governance. This mandatory disclosure can be costly, harm our reputation, erode customer trust, and require significant resources to mitigate issues stemming from actual or perceived security breaches.</w:t>
      </w:r>
    </w:p>
    <w:p>
      <w:pPr>
        <w:pStyle w:val="TextBody"/>
        <w:bidi w:val="0"/>
        <w:spacing w:before="0" w:after="0"/>
        <w:jc w:val="both"/>
        <w:rPr/>
      </w:pPr>
      <w:r>
        <w:rPr/>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While we maintain insurance policies, our coverage may be insufficient to compensate us for all losses caused by security breaches, and any such security breaches may result in increased costs for such insurance. We also cannot ensure that our existing cybersecurity insurance coverage will continue to be available on acceptable terms or that the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adversely affect our reputation and our business, financial condition, and operating results.</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 security breach of our system could trigger a breach of our agreements with partners that we rely on to deliver our services and expose us to significant loss.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agreements with third parties, including without limitation significant agreements with payment processors, credit card and debit card issuers and bank partners, contain contractual commitments we are required to adhere to related to information security and data privacy compliance. If we experience an incident that triggers a breach of such contractual commitments, we could be exposed to significant liability or cancellation of service under these agreements. The damages payable to the counterparty as well as the impact to our service could be substantial and create substantial costs and loss of business. </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Distribution and marketing of, and access to, our platform depends, in significant part, on a variety of third-party publishers and platforms (including mobile app stores, third-party payment providers, computer systems, and other communication systems and service providers). If these third parties limit, prohibit or otherwise interfere with or change the terms of the distribution, use or marketing of our platform in any material way, it could materially adversely affect our business, operating results, and financial condition.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market and distribute our platform (including related mobile applications) through a variety of third-party publishers and distribution channels. Our ability to market our brands on any given property or channel is subject to the policies of the relevant third party. There is no guarantee that mobile platforms will continue to feature our platform, or that neighbors using mobile devices will continue to use our platform rather than competing products. We are dependent on the interoperability of our platform with mobile operating systems, networks, technologies, products, and standards that we do not control, such as the Android and iOS operating systems. Any changes, bugs, or technical issues in such systems, or changes in our relationships with mobile operating system partners, handset manufacturers, or mobile carriers, or in their terms of service or policies that degrade the functionality of our platform, reduce or eliminate our ability to update or distribute our platform, give preferential treatment to competitive products, limit our ability to deliver, target, or measure the effectiveness of advertisements, or charge fees related to the distribution of our platform or our delivery or placement of advertisements could materially adversely affect the usage of our platform on mobile devices, our business, operating results, and financial condition. For example, the release of iOS 14.5 brought with it a number of new changes, including the need for neighbors using the app to opt in before their identifier for advertisers (“IDFA”) can be accessed by an app (which came into effect in April 2021). Apple’s IDFA is a string of numbers and letters assigned to Apple devices which advertisers use to identify app users to deliver personalized and targeted advertising. As a consequence, the ability of advertisers to accurately target and measure their advertising campaigns at the neighbor level will depend on the opt-in rate to grant IDFA access and if the opt-in rate is low, advertisers’ ability to target and measure advertising campaigns on the Nextdoor platform may become significantly limited. We did not observe any directly attributable negative impact on our business, operating results or financial condition, including our revenue, revenue growth rates, and operating income (loss), related to the introduction of IDFA during the three months ended March 31, 2024, though we may be impacted by such changes, or other changes to third-party policies or applications in the future, and as a result, our business, operating results and financial condition, including our revenue, revenue growth rates, and operating income (loss), could, in the future, be adversely impacted by any such changes. Further, in May 2022, Apple introduced changes for the Apple mail client available on its operating systems, which have impacted, and are expected to continue to impact our ability to track individual users and devices, and measure the effectiveness of our advertisements. Moreover, Google has stated that it intends to limit access by mobile applications to advertising identifiers on Android devices, though they have not set a date. As a result, advertisers may find our products less appealing and may seek alternative platforms on which to run their advertising campaigns.</w:t>
      </w:r>
    </w:p>
    <w:p>
      <w:pPr>
        <w:pStyle w:val="TextBody"/>
        <w:bidi w:val="0"/>
        <w:spacing w:lineRule="auto" w:line="288" w:before="18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Further, certain publishers and channels have, from time to time, limited or prohibited advertisements for a variety of reasons. There is no assurance that we will not be limited or prohibited from using certain current or prospective marketing channels in the future. If this were to happen in the case of a significant marketing channel and/or for a significant period of time, our business, operating results, and financial condition could be materially adversely affected.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5">
                <wp:simplePos x="0" y="0"/>
                <wp:positionH relativeFrom="character">
                  <wp:align>left</wp:align>
                </wp:positionH>
                <wp:positionV relativeFrom="line">
                  <wp:posOffset>635</wp:posOffset>
                </wp:positionV>
                <wp:extent cx="6480175" cy="146685"/>
                <wp:effectExtent l="0" t="0" r="0" b="0"/>
                <wp:wrapNone/>
                <wp:docPr id="53" name="Frame4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46</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platform and internal systems rely on software and hardware that is highly technical, and any errors, bugs, or vulnerabilities in these systems, or failures to address or mitigate technical limitations in our systems, could adversely affect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platform and internal systems rely on software and hardware, including software and hardware developed or maintained internally and/or by third parties, that is highly technical and complex. In addition, our platform and internal systems depend on the ability of such software and hardware to store, retrieve, process, and manage immense amounts of data. The software and hardware on which we rely has contained, and will in the future contain, errors, bugs, or vulnerabilities, and our systems are subject to certain technical limitations that may compromise our ability to meet our objectives. Some errors, bugs, or vulnerabilities inherently may be difficult to detect and may only be discovered after the code has been released for external or internal use. Errors, bugs, vulnerabilities, design defects, or technical limitations within the software and hardware on which we rely have in the past led to, and may in the future lead to, outcomes including a negative experience for neighbors and advertisers who use our platform, compromised ability of our platform to perform in a manner consistent with our terms, contracts, or policies, delayed product introductions or enhancements, targeting, measurement, or billing errors, compromised ability to protect the data of neighbors and/or our intellectual property or other data, or reductions in our ability to provide some or all of our services. For example, we make commitments to our neighbors as to how their data will be used within and across our platform, and our systems are subject to errors, bugs and technical limitations that may prevent us from fulfilling these commitments reliably. In addition, any errors, bugs, vulnerabilities, or defects in our systems or the software and hardware on which we rely, failures to properly address or mitigate the technical limitations in our systems, or associated degradations or interruptions of service or failures to fulfill our commitments to our neighbors, have in the past led to, and may in the future lead to, outcomes including damage to our reputation, loss of neighbors, loss of advertisers, loss of revenue, regulatory inquiries, litigation, or liability for fines, damages, or other remedies, any of which could adversely affect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Social and ethical issues may result in reputational harm and liability.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Positions we may take (or choose not to take) on social and ethical issues may be unpopular with some of our employees, neighbors, or with our advertisers or potential advertisers, which may in the future impact our ability to attract or retain employees, neighbors or advertisers. Further, actions taken by our customers or partners, including through the use or misuse of our products, may result in reputational harm or possible liability. Any such claims could cause reputational harm to our brand or result in liability.</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Our disclosures on environmental, social, and governance (“ESG”) matters, and any standards we may set for ourselves or a failure to meet these standards, may influence our reputation and the value of our brand. For example, we have elected to share publicly certain information about our ESG initiatives and information, and our commitment to the recruitment, engagement and retention of a diverse board and workforce. In addition, the SEC has also proposed additional disclosure requirements regarding, among other ESG topics, the impact our business has on the environment. Moreover, California recently adopted two new climate-related bills, which require companies doing business in California that meet certain revenue thresholds to publicly disclose certain greenhouse gas emissions data and climate-related financial risk reports. California also recently enacted the Voluntary Carbon Market Disclosures Act, which requires companies that operate within the state to make certain climate-related claims and to provide enhanced disclosures around the achievement of such claims. Our business may face increased scrutiny related to these activities and our related disclosures, including from the investment community, and our failure to achieve progress in these areas on a timely basis, or at all, could adversely affect our reputation, business, and financial performance. To the extent the SEC proposals become effective for our company, we will be required to establish additional internal controls, engage additional consultants, and incur additional costs related to evaluating our environmental impact and preparing such disclosures. If we fail to implement sufficient internal controls or accurately capture and disclose, among other things, our environmental impact, our reputation, business, operating results and financial condition may be materially adversely affected.</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Financial and Accounting Matters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operating results may fluctuate significantly, which makes our future results difficult to predict.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quarterly and annual operating results have fluctuated in the past and may fluctuate in the future. Additionally, we have a limited operating history with the current scale of our business, which makes it difficult to forecast our future results and subjects us to a number of uncertainties, including our ability to plan for and anticipate future growth. As a result, you should not rely upon our past quarterly and annual operating results as indicators of future performance. We have encountered, and will continue to encounter, risks and uncertainties frequently experienced by growing companies in rapidly evolving markets, such as the risks and uncertainties described herein. Our operating results in any given quarter can be influenced by numerous factors, many of which are unpredictable or are outside of our control, including, but not limited to:</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generate revenues from our platform;</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our ability to acquire, retain, and grow our neighbors and neighbor engagement on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6">
                <wp:simplePos x="0" y="0"/>
                <wp:positionH relativeFrom="character">
                  <wp:align>left</wp:align>
                </wp:positionH>
                <wp:positionV relativeFrom="line">
                  <wp:posOffset>635</wp:posOffset>
                </wp:positionV>
                <wp:extent cx="6480175" cy="146685"/>
                <wp:effectExtent l="0" t="0" r="0" b="0"/>
                <wp:wrapNone/>
                <wp:docPr id="54" name="Frame4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47</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ability to attract and retain advertisers;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ability to recognize revenue or collect payments from advertisers in a particular period;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fluctuations in spending by our advertisers due to macroeconomic conditions, seasonality, episodic regional or global events, or other factors;</w:t>
      </w:r>
    </w:p>
    <w:p>
      <w:pPr>
        <w:pStyle w:val="TextBody"/>
        <w:bidi w:val="0"/>
        <w:spacing w:before="0" w:after="0"/>
        <w:ind w:left="0" w:right="0" w:firstLine="360"/>
        <w:jc w:val="both"/>
        <w:rPr/>
      </w:pPr>
      <w:r>
        <w:rPr/>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changes in domestic and global business and macroeconomic conditions, including actual or perceived instability in the global banking system, potential recession, uncertainty with respect to the federal budget and debt ceiling and a potential temporary federal government shutdown related thereto, local and national elections, the continued rise of inflation, changing</w:t>
      </w:r>
      <w:r>
        <w:rPr>
          <w:color w:val="000000"/>
        </w:rPr>
        <w:t xml:space="preserve"> </w:t>
      </w:r>
      <w:r>
        <w:rPr>
          <w:rFonts w:ascii="Times New Roman;sans-serif" w:hAnsi="Times New Roman;sans-serif"/>
          <w:b w:val="false"/>
          <w:color w:val="000000"/>
          <w:sz w:val="20"/>
        </w:rPr>
        <w:t xml:space="preserve">interest rates, and the war in Ukraine and the Israel-Hamas war; </w:t>
      </w:r>
    </w:p>
    <w:p>
      <w:pPr>
        <w:pStyle w:val="TextBody"/>
        <w:bidi w:val="0"/>
        <w:spacing w:before="0" w:after="0"/>
        <w:ind w:left="0" w:right="0" w:firstLine="360"/>
        <w:jc w:val="both"/>
        <w:rPr/>
      </w:pPr>
      <w:r>
        <w:rPr/>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fluctuations in internet usage generally;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number, prominence, size, format, quality and relevancy of advertisements shown to neighbors;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success of technologies designed to block the display of advertisements;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to third-party policies or applications that limit our ability to deliver, target, or measure the effectiveness of advertising, including changes by mobile operating system and browser providers such as Apple and Google;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pricing of our advertisements;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timing, cost of and mix of new and existing sales and marketing and promotional efforts;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availability of our platform and app on mobile devices and other third-party platforms;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to our platform or the development and introduction of new products or services by our competitors;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advertising industry association rules and standards that limit our ability to deliver, target or measure the effectiveness of advertising, such as the Network Advertising Initiative, and Interactive Advertising Bureau;</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neighbor behavior or platform changes that may reduce traffic to features of the platform that we monetize;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system failures, disruptions, breaches of security or privacy, whether on our platform or on those of third parties, and the costs associated with any such breaches and remediation;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negative publicity associated with our platform, including as a result of content on our platform, security breaches and neighbor privacy concerns that may result in advertisers reducing or eliminating their spend with us;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health epidemics, such as the COVID-19 pandemic, influenza, and other highly communicable diseases or viruses;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timing of incurring additional expenses, such as increases in sales and marketing or research and development;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adverse litigation judgments, settlements, or other litigation-related costs;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the legislative or regulatory environment, including with respect to privacy and cybersecurity, or actions by governments or regulators, including fines, orders, or consent decrees;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U.S. generally accepted accounting principles.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impact of one or more of the foregoing and other factors may cause our operating results to vary significantly. As such, quarter-to-quarter comparisons of our operating results may not be meaningful and should not be relied upon as an indication of future performance. If our quarterly and annual operating results fall below the expectations of investors or securities analysts, the price of our Class A common stock could decline substantially. If we fail to meet or exceed the expectations of investors or securities analysts, then the trading price of our Class A common stock could fall substantially, and we could face costly lawsuits, including securities class action suits. Furthermore, any quarterly or annual fluctuations in our operating results may, in turn, cause the price of our Class A common stock to fluctuate substantially.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 addition, we believe that our rapid historical growth may understate the potential seasonality of our business. As our revenue growth rate slows, we expect that the seasonality in our business may become more pronounced and may in the future cause our operating results to fluctuate. For example, advertising spending is traditionally seasonally strong in the fourth quarter of each year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7">
                <wp:simplePos x="0" y="0"/>
                <wp:positionH relativeFrom="character">
                  <wp:align>left</wp:align>
                </wp:positionH>
                <wp:positionV relativeFrom="line">
                  <wp:posOffset>635</wp:posOffset>
                </wp:positionV>
                <wp:extent cx="6480175" cy="146685"/>
                <wp:effectExtent l="0" t="0" r="0" b="0"/>
                <wp:wrapNone/>
                <wp:docPr id="55" name="Frame4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48</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and we believe that this seasonality affects our quarterly results, which generally reflect higher sequential revenue growth from the third to fourth quarter compared to sequential revenue growth from the fourth quarter to the subsequent first quarter. In addition, global economic concerns continue to create uncertainty and unpredictability and add risk to our future outlook. An economic downturn in any particular region in which we do business or globally could result in reductions in revenue, as our advertisers reduce their advertising budgets, and other adverse effects that could harm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Certain of our market opportunities and key metric estimates could prove to be inaccurate, and any real or perceived inaccuracies may harm our reputation and negatively affect our business.</w:t>
      </w:r>
    </w:p>
    <w:p>
      <w:pPr>
        <w:pStyle w:val="TextBody"/>
        <w:bidi w:val="0"/>
        <w:spacing w:lineRule="auto" w:line="288" w:before="0" w:after="180"/>
        <w:jc w:val="both"/>
        <w:rPr/>
      </w:pPr>
      <w:r>
        <w:rPr>
          <w:rFonts w:ascii="Times New Roman;sans-serif" w:hAnsi="Times New Roman;sans-serif"/>
          <w:b w:val="false"/>
          <w:color w:val="000000"/>
          <w:sz w:val="20"/>
        </w:rPr>
        <w:t>The estimates discussed herein are subject to significant uncertainty and are based on assumptions that may not prove to be accurate. The key assumptions underlying our estimates include our ability to scale new neighbor growth, our ability to grow engagement by our existing neighbor base and our ability to increase monetization of our platform. These assumptions involve risks and uncertainties, including, but not limited to, those described in this “</w:t>
      </w:r>
      <w:r>
        <w:rPr>
          <w:rFonts w:ascii="Times New Roman;sans-serif" w:hAnsi="Times New Roman;sans-serif"/>
          <w:b w:val="false"/>
          <w:i/>
          <w:color w:val="000000"/>
          <w:sz w:val="20"/>
        </w:rPr>
        <w:t>Risk Factors</w:t>
      </w:r>
      <w:r>
        <w:rPr>
          <w:color w:val="000000"/>
        </w:rPr>
        <w:t xml:space="preserve">” </w:t>
      </w:r>
      <w:r>
        <w:rPr>
          <w:rFonts w:ascii="Times New Roman;sans-serif" w:hAnsi="Times New Roman;sans-serif"/>
          <w:b w:val="false"/>
          <w:color w:val="000000"/>
          <w:sz w:val="20"/>
        </w:rPr>
        <w:t xml:space="preserve">section, which could cause actual results to differ materially from our estimates. Unfavorable changes in any of these or other assumptions, most of which are beyond our control, could materially and adversely affect our business, operating results, and financial condition and result in our estimates being materially different than actual results. Market opportunity estimates, whether obtained from third-party sources or developed internally, are subject to significant uncertainty and are based on assumptions that may not prove to be accurate. In particular, our estimates regarding our market penetration in new and existing markets are difficult to predict.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key business and other metrics, including WAUs, Verified Neighbors and ARPU and other measures to evaluate growth trends, measure our performance, and make strategic decisions. These key metrics are calculated using internal company data derived from our analytics platform and have not been validated by an independent third party and there are inherent challenges in such measurements. For example, in 2021, Apple introduced changes for the Apple mail client available on its operating systems, which have limited, and are expected to continue to limit, our ability to track individual users and devices, and measure user engagement with our emails containing monetizable content for users that use the Apple email client. These changes have affected our ability to calculate WAUs, a key business metric. Because of the introduction of these changes, we are required to rely on estimates based on past user behavior and behavior of users engaging with our monetizable content on email clients other than the Apple email client in order to determine the portion of our WAU figure relating to users that engage solely with emails with monetizable content, which may impact the effectiveness of our analytics platform, as well as the accuracy of our WAU calculations. If we fail to maintain an effective analytics platform, our key metrics calculations may be inaccurate, and we may not be able to identify those inaccuracies. Our key business metrics may also be impacted by compliance or fraud-related bans, technical incidents, or false or spam accounts in existence on our platform. We regularly deactivate accounts that violate our terms of service, and exclude these accounts from the calculation of our key business metrics; however, we may not succeed in identifying and removing all such accounts from our platform. If our metrics are incorrect or provide incomplete information about neighbors and their behavior, we may make inaccurate conclusions about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regularly review and may adjust our processes for calculating our estimates to improve their accuracy. Our estimates may differ from estimates published by third parties or from similarly titled metrics of our competitors due to differences in methodology. If investors or analysts do not perceive our estimates to be accurate representations of our business, or if we discover material inaccuracies in our estimates, our reputation, business, operating results, and financial condition would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have a history of net losses and may experience net losses in the future and we cannot assure you that we will achieve or sustain profitability. If we cannot achieve and sustain profitability, our business, financial condition, and operating results will be adversely affected.</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We have experienced significant net losses each year since we began operations in 2007, including net losses of $28.3 million and $33.7 million for the three months ended March 31, 2024 and 2023, respectively. We have an accumulated deficit of $794.3 million as of March 31, 2024. We anticipate that our operating expenses and capital expenditures will increase in the foreseeable future as we continue to invest in acquiring additional neighbors, increasing engagement on our platform, increasing monetization on our platform, expanding our platform and operations internationally, attracting and retaining team members, developing and enhancing our platform, marketing and sales, and enhancing our infrastructure. Our expansion efforts may prove more expensive than we anticipate, and we may not succeed in increasing our revenues sufficiently to offset these higher expenses. While we consistently evaluate opportunities to reduce our operating costs and optimize efficiencies, including, for example, through our workforce reduction in November 2023, we cannot guarantee that these efforts will be successful or that we will not re-accelerate operating expenditures in the future in order to capitalize on growth opportunities. Given the significant operating and capital expenditures associated with our business plan, we expect to continue to incur net losses for the foreseeable future and cannot assure you that we will be able to achieve profitability. If we do achieve profitability, it cannot be certain that we will be able to sustain or increase such profitability.</w:t>
      </w:r>
    </w:p>
    <w:p>
      <w:pPr>
        <w:pStyle w:val="TextBody"/>
        <w:bidi w:val="0"/>
        <w:spacing w:before="0" w:after="0"/>
        <w:jc w:val="both"/>
        <w:rPr/>
      </w:pPr>
      <w:r>
        <w:rPr/>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8">
                <wp:simplePos x="0" y="0"/>
                <wp:positionH relativeFrom="character">
                  <wp:align>left</wp:align>
                </wp:positionH>
                <wp:positionV relativeFrom="line">
                  <wp:posOffset>635</wp:posOffset>
                </wp:positionV>
                <wp:extent cx="6480175" cy="146685"/>
                <wp:effectExtent l="0" t="0" r="0" b="0"/>
                <wp:wrapNone/>
                <wp:docPr id="56" name="Frame5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49</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ability to use our U.S. federal and state net operating losses to offset future taxable income may be subject to certain limitations which could subject our business to higher tax liability.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of December 31, 2023, we had gross U.S. federal net operating loss (“NOL”) carryforwards of approximately $413.6 million and gross state NOL carryforwards of approximately $280.8 million, which if not utilized, will begin to expire for federal and state income tax purposes beginning in 2028. To the extent that we continue to generate taxable losses, unused losses will carry forward to offset future taxable income, if any. Under the 2017 Tax Cuts and Jobs Act, as modified by the Coronavirus Aid, Relief, and Economic Security Act, unused U.S. federal NOLs generated in tax years beginning after December 31, 2017, will not expire and may be carried forward indefinitely, but the deductibility of such federal NOLs in taxable years beginning after December 31, 2020, is limited to 80% of current year taxable income.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Under Section 382 of the Code, and corresponding provisions of state law, if a corporation that undergoes an “ownership change,” which is generally defined as a greater than 50 percentage point change (by value) in its equity ownership by certain stockholders over a three-year period, the corporation’s ability to utilize its pre-change NOL carryforwards to offset its post-change income or taxes may be limited. Though we recently completed a Section 382 study that supports that our use of NOLs will not be subject to limitation, it is possible that the limitation could still apply.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experience ownership change(s) in the future as a result of subsequent shifts in our stock ownership, some of which may be outside our control. Therefore, it is possible that such an ownership change could limit the amount of NOLs we can use to offset future taxable income. Our current NOL carryforwards, and any NOL carryforwards of companies we have acquired, may be subject to limitations, thereby increasing our overall tax liability. Our NOL carryforwards may also be impaired under similar provisions of state law. We have recorded a full valuation allowance related to our U.S. federal and state NOL carryforwards and other net deferred tax assets due to the uncertainty of the ultimate realization of the future benefits of those assets. Our NOL carryforwards may expire unutilized or underutilized, which could prevent us from offsetting future taxable income. Any future changes in U.S. tax laws in respect of the utilization of NOL carryforwards may further affect the limitation in future years. In addition, there may be periods during which the use of NOL carryforwards is suspended or otherwise limited at the state level, which could also impact our ability to utilize NOL carryforwards. As a result, even if we attain profitability, we may be unable to use all or a material portion of our NOLs, which could adversely affect our business, operating results, financial condition, and cash flows.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financial results may be adversely affected by changes in accounting principles generally accepted in the United States and our financial estimates may be different from our financial results.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GAAP is subject to interpretation by the Financial Accounting Standards Board, the American Institute of Certified Public Accountants, the SEC and various bodies formed to promulgate and interpret appropriate accounting principles. A change in these principles or interpretations could harm our revenue and financial results, and could affect the reporting of transactions completed before the announcement of a change.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currency exchange rates fluctuate substantially in the future, our operating results, which are reported in U.S. dollars, could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we continue to expand our international operations, we will become more exposed to the effects of fluctuations in currency exchange rates. A substantial majority of our revenues to date have been denominated in U.S. dollars and, therefore, we have not historically been subject to foreign currency risk. In addition, as we continue to expand internationally, we expect to incur increased expenses for employee compensation and other operating expenses at non-U.S. locations in the local currency. Fluctuations in the exchange rates between the U.S. dollar and other currencies could result in the dollar equivalent of such expenses being higher. This could have a negative impact on our operating results. Although we may in the future decide to undertake foreign exchange hedging transactions to cover a portion of our foreign currency exchange exposure, we currently do not hedge our exposure to foreign currency exchange risks.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have greater than anticipated tax liabilities, which could harm our business, revenue and financial results.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We operate in a number of tax jurisdictions globally, including in the United States at the federal, state and local levels, and in many foreign countries, and plan to continue to expand the scale of our operations in the future. We are subject to review and potential audit by a number of U.S. and non-U.S. tax authorities. A change in law or in our global operations could result in higher effective tax rates, reduced cash flows and lower overall profitability. In particular, our intercompany relationships are subject to complex transfer pricing regulations administered by taxing authorities in various jurisdictions. Significant judgment is required in determining our worldwide provision for income taxes and other tax liabilities.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9">
                <wp:simplePos x="0" y="0"/>
                <wp:positionH relativeFrom="character">
                  <wp:align>left</wp:align>
                </wp:positionH>
                <wp:positionV relativeFrom="line">
                  <wp:posOffset>635</wp:posOffset>
                </wp:positionV>
                <wp:extent cx="6480175" cy="146685"/>
                <wp:effectExtent l="0" t="0" r="0" b="0"/>
                <wp:wrapNone/>
                <wp:docPr id="57" name="Frame5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50</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various indirect non-income taxes, such as payroll, sales, use, value-added and goods and services taxes in the United States and various foreign jurisdictions, and we may face indirect tax audits in various U.S. and foreign jurisdictions. In certain jurisdictions, we collect and remit indirect taxes. However, tax authorities may question, challenge or disagree with our calculation, reporting or collection of taxes and may require us to collect taxes in jurisdictions in which we do not currently do so or to remit additional taxes and interest, and could impose associated penalties and fees. A successful assertion by one or more tax authorities requiring us to collect taxes in jurisdictions in which we do not currently do so or to collect additional taxes in a jurisdiction in which we currently collect taxes, could result in substantial tax liabilities, including taxes on past sales, as well as penalties and interest, could discourage neighbors from utilizing our platform or could otherwise harm our business, operating results, and financial condition.</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Although we do not currently incur significant tax costs due to our history of operating losses, our tax liabilities may increase if our profitability increases in the future. In addition, our effective tax rate may change from year to year based on changes in the mix of activities and income allocated or earned among various jurisdictions, tax laws and the applicable tax rates in these jurisdictions (including future tax laws that may become material), tax treaties between countries, our eligibility for benefits under those tax treaties and the valuation of deferred tax assets and liabilities. Such changes could result in an increase in the effective tax rate applicable to all or a portion of our income, which would negatively affect our financial results. In August 2022, President Biden signed into law the Inflation Reduction Act of 2022 (“IRA”). The IRA includes a 15% corporate alternative minimum tax for companies with modified GAAP net income in excess of $1 billion, a 1% excise tax on certain stock repurchases, and numerous environmental and green energy tax credits. Currently, we are not subject to the corporate alternative minimum tax and we do not expect the new law to have a material impact on our results of operations. </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cannot guarantee that our Share Repurchase Program will be fully consummated or that it will enhance long-term stockholder value. Share repurchases could also increase the volatility of the trading price of our stock and diminish our cash reserves.</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May 31, 2022, our Board of Directors authorized and approved the Share Repurchase Program pursuant to which we may repurchase up to $100.0 million in aggregate of shares of our Class A common stock, with the authorization to expire on June 30, 2024, or such shorter period if $100.0 million in aggregate of shares of our Class A common stock have been repurchased. On February 21, 2024, our Board of Directors authorized and approved an increase of $150.0 million to the Share Repurchase Program and extended the expiration date to March 31, 2026. As of March 31, 2024, we had $163.0 million available for future share repurchases under the Share Repurchase Program. Although our Board of Directors has authorized this Share Repurchase Program, the program does not obligate us to repurchase any specific dollar amount or to acquire any specific number of shares of our Class A common stock. The actual timing and amount of repurchases remain subject to a variety of factors, including stock price, trading volume, market conditions and other general business considerations, all of which may be negatively impacted by macroeconomic conditions and factors, including rising interest rates and inflation. The Share Repurchase Program may be modified, suspended, or terminated at any time, and we cannot guarantee that the Share Repurchase Program will be fully consummated or that it will enhance long-term stockholder value. The program could affect the trading price of our Class A common stock, increase volatility and diminish our cash and cash equivalents and marketable securities, and any announcement of a termination of this program may result in a decrease in the trading price of our stock.</w:t>
      </w:r>
    </w:p>
    <w:p>
      <w:pPr>
        <w:pStyle w:val="TextBody"/>
        <w:bidi w:val="0"/>
        <w:spacing w:before="0" w:after="0"/>
        <w:jc w:val="left"/>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Legal and Regulatory Matters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be liable as a result of content or information that is published or made available on our platform.</w:t>
      </w:r>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We are subject to many U.S. federal and state and foreign laws and regulations that involve matters central to our business, including laws and regulations that involve data privacy and protection, intellectual property (including copyright and patent laws), content regulation, the use of AI, rights of publicity, advertising, marketing, health and safety, competition, protection of minors, age verification, consumer protection, taxation, anti-bribery, anti-money laundering and corruption, economic or other trade prohibitions or sanctions or securities law compliance. Although content on our platform is typically generated by third parties, and not by us, we may be sued or face regulatory liability for claims relating to personal information, content or information that is made available on our service, including claims of defamation, disparagement, intellectual property infringement, breach of our privacy commitments, breach of privacy and data security laws, or other alleged damages could be asserted against us. In addition, the availability of copyright protection and other legal protections for intellectual property generated by certain new technologies, such as generative AI, is uncertain. The use of generative AI and other forms of AI may expose us to risks because the intellectual property ownership and license rights, including copyright, of generative and other AI output, has not been fully interpreted by U.S. courts or been fully addressed by U.S. federal or state regulation, as well as in foreign jurisdictions. Our systems, tools and personnel that help us to proactively detect potentially policy-violating or otherwise inappropriate content cannot identify all such content on our service, and in many cases this content will appear on the Nextdoor platform. This risk may increase as we develop and increase the use of certain features, such as video, for which identifying such content and obtaining appropriate consents is challenging. Additionally, some controversial content may not be banned on the Nextdoor platform and, even if it is not featured in advertisements to neighbors, it may still appear in the Feed or elsewhere. This risk is enhanced in certain jurisdictions outside of the United States where our protection from liability for content published on our platform by third parties may be unclear and where we may be less protected under local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0">
                <wp:simplePos x="0" y="0"/>
                <wp:positionH relativeFrom="character">
                  <wp:align>left</wp:align>
                </wp:positionH>
                <wp:positionV relativeFrom="line">
                  <wp:posOffset>635</wp:posOffset>
                </wp:positionV>
                <wp:extent cx="6480175" cy="146685"/>
                <wp:effectExtent l="0" t="0" r="0" b="0"/>
                <wp:wrapNone/>
                <wp:docPr id="58" name="Frame5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51</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laws than we are in the United States. Further, if law and/or policy-violating content is found on the Nextdoor platform, or we do not give appropriate notice or obtain appropriate consents, we may be in violation of the terms of certain of our key agreements, which may result in termination of the agreement and potentially payment of damages in some cases. We could incur significant costs in investigating and defending such claims and, if we are found liable, damages. If any of these events occur, our business, operating results, and financial condition could be harmed.</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we rely on a variety of statutory and common-law frameworks and defenses, including those provided by the DMCA, the CDA, the fair-use doctrine in the United States and the Electronic Commerce Directive in the European Union, differences between statutes, limitations on immunity, requirements to maintain immunity, and moderation efforts in the many jurisdictions in which we operate may affect our ability to rely on these frameworks and defenses, or create uncertainty regarding liability for information or content uploaded by neighbors and advertisers or otherwise contributed by third-parties to our platform.</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Actions by governments that restrict access to the Nextdoor platform in their countries, or that otherwise impair our ability to sell advertising in their countries, could substantially harm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Governments may seek to censor content available on the Nextdoor platform or restrict access to the platform from their country entirely, or impose other restrictions that may affect the accessibility of the platform in their country for an extended period of time or indefinitely. In addition, government authorities in other countries may seek to restrict neighbors’ access to the platform if they consider us to be in violation of their laws or a threat to public safety or for other reasons. It is possible that government authorities could take action that impairs our ability to sell advertising, collect, process, use, store, disclose or transfer data including in countries where access to our consumer-facing platform may be blocked or restricted. In the event that content shown on the Nextdoor platform is subject to censorship, access to the platform is restricted, in whole or in part, in one or more countries, or other restrictions are imposed on the platform, or our competitors are able to successfully penetrate new geographic markets or capture a greater share of existing geographic markets that we cannot access or where we face other restrictions, our ability to retain or increase our neighbor base, neighbor engagement, or the level of advertising by advertisers may be adversely affected, we may not be able to maintain or grow our revenue as anticipated, and our financial results could be adversely affected.</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business is subject to complex and evolving U.S. and foreign laws, regulations, and industry standards, many of which are subject to change and uncertain interpretations, which uncertainty could harm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subject to many U.S. federal and state and foreign laws, regulations and industry standards that involve matters central to our business, including laws and regulations that involve data privacy, data security, intellectual property (including copyright and patent laws), content, rights of publicity, advertising, marketing, competition, protection of minors, age verification, consumer protection, taxation, and telecommunications. These laws and regulations are constantly evolving and may be interpreted, applied, created, or amended, in a manner that could harm our business. In addition, the introduction of new products, expansion of our activities in certain jurisdictions, or other actions that we may take may subject the company to additional laws, regulations, or other government scrutiny.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a variety of statutory and common-law frameworks and defenses relevant to the content available on the Nextdoor platform, including the DMCA, the CDA and the fair-use doctrine in the United States, and the Electronic Commerce Directive in the European Union. However, each of these statutes is subject to uncertain or evolving judicial interpretation and regulatory and legislative amendments. For example, in the United States, laws such as the CDA, which have previously been interpreted to provide substantial protection to interactive computer service providers, may change and become less predictable or unfavorable by legislative action or juridical interpretation. There have been various federal and state legislative efforts to restrict the scope of the protections available to online platforms under the CDA, in particular with regards to Section 230 of the CDA, and current protections from liability for third-party content in the United States could decrease or change. Although the U.S. Supreme Court declined to narrow the scope of Section 230 in its Gonzalez v. Google decision, there are still legislative efforts to amend the CDA, which if successful could expose us to additional lawsuits and potential judgments that could seriously harm our business. We could incur significant costs investigating and defending such claims and, if we are found liable, significant damages.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DSA, signed into law in the European Union on October 19, 2022, is a package of legislation intended to update the liability and safety rules for digital platforms, products, and services. The DSA, which started to apply to our business in February 2024, could negatively impact the scope of the limited immunity provided by the E-Commerce Directive, limit targeted advertising, and require us to expend resources to try to comply with the new regulations or incur liability. The DSA also includes significant penalties for non-compliance. On October 26, 2023, similarly, the United Kingdom’s Online Safety Act became law. The Act creates requirements around monitoring and handling harmful content and will require us to expend resources to try to comply with the new regulations or incur liability. Additionally, Australia’s Online Safety Act 2021, which went into effect in January 2022, and its accompanying Social Media Services Code, which went into effect in December 2023, may impose new obligations and liabilities on platforms with respect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1">
                <wp:simplePos x="0" y="0"/>
                <wp:positionH relativeFrom="character">
                  <wp:align>left</wp:align>
                </wp:positionH>
                <wp:positionV relativeFrom="line">
                  <wp:posOffset>635</wp:posOffset>
                </wp:positionV>
                <wp:extent cx="6480175" cy="146685"/>
                <wp:effectExtent l="0" t="0" r="0" b="0"/>
                <wp:wrapNone/>
                <wp:docPr id="59" name="Frame5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52</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to certain types of harmful content. These new and proposed laws, together with any changes to the existing laws and regulations within the jurisdictions in which we operate could require us to expend additional resources to maintain compliance with any new or evolving regulations. As a result, we may incur additional liability, and our business, operating results, and financial condition could be harmed. </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collect, store, use, share and otherwise process data, some of which contains personal information about individuals including, but not limited to, our neighbors, employees and partners including, contact details, network details, and location data. We are therefore subject to U.S. (federal, state, local) and foreign laws and regulations regarding data privacy and security and the processing of personal information and other data from neighbors, employees or business partners. The regulatory framework for privacy, information security, data protection and processing worldwide and interpretations of existing laws and regulations is likely to continue to be uncertain and current or future legislation or regulations in the United States and other jurisdictions, or new interpretations of existing laws and regulations, could significantly restrict or impose conditions on our ability to process data and increase notice or consent requirements before we can utilize advertising technologies.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internal and publicly posted policies regarding our collection, processing, use, disclosure, deletion and security of information. Although we endeavor to comply with our policies and documentation, we may at times fail to do so or be accused of having failed to do so. The publication of our privacy policies and other documentation that provide commitments about data privacy and security can subject us to potential actions if they are found to be deceptive, unfair, or otherwise misrepresent our actual practices, which could materially and adversely affect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the United States, we are subject to numerous federal, state and local data privacy and security laws and regulations governing the processing of information about individuals. For example, the CCPA establishes certain transparency obligations and creates data privacy rights for users, including rights to access and delete their personal information as well as opt-out of certain sales or transfers of their personal information. The law also prohibits covered businesses from discriminating against consumers (for example, charging more for services) for exercising any of their CCPA rights. The CCPA imposes statutory damages for certain violations of the law as well as a private right of action for certain data breaches that result in the loss of personal information, which increases the likelihood of, and risks associated with, data breach litigation. Additionally, California voters approved a new privacy law, the CPRA, which became effective January 1, 2023 (with a look back to January 1, 2022). The CPRA significantly modifies the CCPA, including by expanding consumers’ rights and establishing a new state agency that is vested with authority to implement and enforce the CPRA. Other states have also passed comparable legislation, with unique compliance requirements relevant to our business. We are subject to several state privacy laws in the United States and anticipate additional state privacy laws will go into effect in the coming years, which may impose obligations similar to or more stringent than those we may face under other data protection laws. Additionally, the Federal Trade Commission and many state attorneys general are interpreting federal and state consumer protection laws to impose standards for the online collection, use, dissemination and security of data. Compliance with these laws and any newly enacted privacy and data security laws or regulations may be challenging and cost- and time-intensive, and may require us to modify our data processing practices and policies and to incur substantial costs and potential liability in an effort to comply with such legislation.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Outside the United States, we are subject to an increasing number of laws, regulations and industry standards that apply to data privacy and security. In Canada, we are subject to the Personal Information Protection and Electronic Documents Act, which governs the collection, use and disclosure of Canadian residents’ personal information in the course of commercial activities. In Australia, we are also subject to, among other laws, Australia’s “Privacy Act 1988” and Australian Privacy Principles (“APPs”), which require us to, among other things: (a) establish a governance framework for managing privacy and data protection; (b) give individuals the option of not identifying themselves or using a pseudonym (unless certain exceptions apply); (c) destroy or de-identify unsolicited personal information that was not obtained for a purpose reasonably necessary or directly related to our business activities; and (d) not transfer or disclose personal information to a party outside of Australia unless consent is obtained, the destination country has substantially similar privacy protections to Australia, or the overseas recipient contractually agrees to comply with the APPs. In the EEA, we are subject to the GDPR and in the United Kingdom, we are subject to the United Kingdom data protection regime consisting primarily of the UK GDPR and the UK Data Protection Act 2018, in each case in relation to our collection, control, processing, sharing, disclosure and other use of data relating to an identifiable living individual (personal data). The GDPR, and national implementing legislation in EEA member states and the United Kingdom, imposes a strict data protection compliance regime, grants new rights for data subjects in regard to their personal data (including the right to be “forgotten” and the right to data portability) and enhances current rights (e.g., data subject access requests).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also subject to European Union rules with respect to cross-border transfers of personal data out of the EEA and the United Kingdom. After years of uncertainty following the July 16, 2020 decision of the Court of Justice of the European Union (the “CJEU”) invalidating the EU-U.S. Privacy Shield Framework (the “Privacy Shield”), on July 10, 2023 the European Commission adopted its adequacy decision for the new EU-U.S. Data Privacy Framework (“DPF”). The DPF creates a path forward for personal data to be transferred from the EU to the United States for U.S. entities that have self-certified with the U.S. Department of Commerce.</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2">
                <wp:simplePos x="0" y="0"/>
                <wp:positionH relativeFrom="character">
                  <wp:align>left</wp:align>
                </wp:positionH>
                <wp:positionV relativeFrom="line">
                  <wp:posOffset>635</wp:posOffset>
                </wp:positionV>
                <wp:extent cx="6480175" cy="146685"/>
                <wp:effectExtent l="0" t="0" r="0" b="0"/>
                <wp:wrapNone/>
                <wp:docPr id="60" name="Frame5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53</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We are also subject to evolving EU and U.K. privacy laws on cookies and e-marketing. In the EU and the U.K., regulators are increasingly focusing on compliance with current national laws that implement the ePrivacy Directive. The ePrivacy Directive may be replaced by an EU regulation known as the ePrivacy Regulation that will significantly increase fines for non-compliance. In the EU and the U.K., informed consent is required for the placement of certain cookies or similar technologies on a user’s device and for direct electronic marketing and (under the UK GDPR and the GDPR) valid consent is tightly defined, including, a prohibition on pre-checked consents and, in the context of cookies, a requirement to obtain separate consents for each type of cookie or similar technology. While the text of the ePrivacy Regulation is still under development, a December 2021 European court decision and regulators’ guidance are driving increased attention to cookies and tracking technologies. If regulators start to enforce the strict approach in recent guidance, this could lead to substantial costs, require significant systems changes, limit the effectiveness of our marketing activities, divert the attention of our technology personnel, adversely affect our margins, increase costs and subject us to additional liabilities. Regulation of cookies and similar technologies, and any decline of cookies or similar online tracking technologies as a means to identify and potentially target users, may lead to broader restrictions and impairments on our marketing and personalization activities and may negatively impact our efforts to understand users. Furthermore, the EU Artificial Intelligence Act, which was proposed on April 21, 2021 by the European Commission and aims to introduce a common regulatory and legal framework for AI, passed on March 13, 2023 and is expected to enter into force, following formal endorsement by the Council of the EU, in the coming months. The EU Artificial Intelligence Act would regulate AI providers and entities making use of AI tools in a professional capacity, and may require the implementation of additional quality assurance controls and measures to be reviewed and approved by regulatory submissions of our products.</w:t>
      </w:r>
    </w:p>
    <w:p>
      <w:pPr>
        <w:pStyle w:val="TextBody"/>
        <w:bidi w:val="0"/>
        <w:spacing w:before="0" w:after="0"/>
        <w:jc w:val="left"/>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While we have put in efforts to comply with these regulations, the uncertainty surrounding enforcement and changing privacy landscapes could change our compliance status. Similarly, there are a number of legislative proposals in the European Union, the United States, at both the federal and state level, as well as other jurisdictions that could impose new obligations or limitations in areas affecting our business.</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The costs of complying with these laws and regulations, which in some cases can be enforced by private parties in addition to government entities, are high and likely to increase in the future, particularly as the degree of regulation increases, our business grows and our geographic scope expands. The impact of these laws and regulations may disproportionately affect our business in comparison to our peers in the technology sector that have greater resources. Even though we communicate with lawmakers and regulators in countries and regions in which we conduct business, and despite having a dedicated policy team to monitor legal and regulatory developments, any failure or perceived failure of compliance on our part to comply with the laws and regulations may subject us to significant liabilities or penalties, or otherwise adversely affect our business, financial condition or operating results. Furthermore, it is possible that certain governments may seek to block or limit our products or otherwise impose other restrictions that may affect the accessibility or usability of any or all our products for an extended period of time or indefinitely.</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could be involved in legal disputes that are expensive and time consuming, and, if resolved adversely, could harm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involved in, and may in the future be involved in, actual and threatened legal proceedings, claims, investigations and government inquiries arising in the ordinary course of our business, including intellectual property, data privacy, cybersecurity, privacy and other torts, illegal or objectionable content, consumer protection, securities, stockholder derivative claims, employment, governance, workplace culture, contractual rights, civil rights infringement, false or misleading advertising, or other legal claims relating to content or information that is provided to us or published or made available on our platform. Any proceedings, claims or inquiries involving us, whether successful or not, may be time consuming, result in costly litigation, unfavorable outcomes, increased costs of business, may require us to change our business practices or platform, require significant amount of management’s time, may harm our reputation or otherwise harm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are currently involved in and have been subject to actual and threatened litigation with respect to third-party patents, trademarks, copyrights and other intellectual property, and may continue to be subject to intellectual property litigation and threats thereof. Companies in the internet, technology and media industries own large numbers of patents, copyrights, trademarks and trade secrets and frequently enter into litigation based on allegations of infringement or other violations of intellectual property rights. As we face increasing competition, grow our business and platform offerings, and become increasingly high profile, the possibility of receiving a larger number of intellectual property claims against the company grows. In addition, various “non-practicing entities” that own patents and other intellectual property rights have asserted, and may in the future attempt to assert, intellectual property claims against us to extract value through licensing or other settlements.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From time to time, we receive letters from patent holders alleging that the Nextdoor platform infringes on their patent rights and from trademark holders alleging infringement of their trademark rights. We also receive letters from holders of copyrighted content alleging infringement of their intellectual property rights. Our technologies and content, including the content that neighbors upload to the platform, may not be able to withstand such third-party claims.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3">
                <wp:simplePos x="0" y="0"/>
                <wp:positionH relativeFrom="character">
                  <wp:align>left</wp:align>
                </wp:positionH>
                <wp:positionV relativeFrom="line">
                  <wp:posOffset>635</wp:posOffset>
                </wp:positionV>
                <wp:extent cx="6480175" cy="146685"/>
                <wp:effectExtent l="0" t="0" r="0" b="0"/>
                <wp:wrapNone/>
                <wp:docPr id="61" name="Frame5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54</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With respect to any intellectual property claims, we may have to seek a license to continue using technologies or engaging in practices found to be in violation of a third-party’s rights, which may not be available on reasonable terms and may significantly increase our operating expenses. A license to continue such technologies or practices may not be available to us at all and we may be required to discontinue use of such technologies or practices or to develop alternative non-infringing technologies or practices. The development of alternative non-infringing technologies or practices could require significant effort and expense or may not be achievable at all. Our business, operating results, and financial condition could be harmed as a result.</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obligations associated with operating as a public company require significant resources and management attention and have, and will continue to, cause us to incur additional expenses, which will adversely affect our profitability.</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Operating as a public company has and is expected to continue to increase our expenses as a result of the additional accounting, legal and various other additional expenses associated with operating as a public company and complying with public company disclosure obligations. We are required to comply with certain requirements of the Exchange Act, the Sarbanes-Oxley Act, the Dodd-Frank Wall Street Reform and Consumer Protection Act of 2010, the listing requirements of the NYSE and other applicable securities rules and regulations. The Exchange Act requires, among other things, that we file annual, quarterly, and current reports with respect to our business and operating results with the SEC. We are also required to ensure that we have the ability to prepare financial statements that are fully compliant with all SEC reporting requirements on a timely basis. Compliance with these rules and regulations has increased, and will continue to increase, our legal and financial compliance costs, make some activities more difficult, time-consuming or costly and increase demand on our systems and resources. As a public company, we have and will continue to, among other things: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prepare and distribute periodic public reports and other stockholder communications in compliance with our obligations under the federal securities laws;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create or expand the roles and duties of our Board of Directors and committees of the Board of Directors;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institute more comprehensive financial reporting and disclosure compliance functions; and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establish new and enhance existing internal policies, including those relating to disclosure controls and procedures.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These changes, and the additional involvement of accountants and legal advisors, will require a significant commitment of additional resources. We might not be successful in complying with these obligations and the significant commitment of resources required for complying with them could have a material adverse effect on our business, financial condition, results of operations and cash flows. If our efforts to comply with new laws, regulations and standards differ from the activities intended by regulatory or governing bodies due to ambiguities related to practice, regulatory authorities may initiate legal proceedings against us, and our business may be harmed. Moreover, the cost of our directors’ and officers’ insurance coverage has increased as a public company. In the future, it may be more expensive or more difficult for us to obtain director and officer liability insurance, and we may be required to accept reduced coverage or incur substantially higher costs to obtain coverage. These factors would also make it more difficult for us to attract and retain qualified members of our Board of Directors and qualified executive officers.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Failure to maintain effective systems of internal controls and disclosure controls could have a material adverse effect on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Effective internal and disclosure controls are necessary for us to provide reliable financial reports and effectively prevent fraud and to operate successfully as a public company. We are required by the Sarbanes-Oxley Act to design and maintain a system of internal control over financial reporting and disclosure controls and procedures. If we cannot provide reliable financial reports or prevent fraud, our reputation and operating results would be harmed.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Our current controls and any new controls we develop may become inadequate because of changes in conditions in our business. Further, weaknesses in our internal controls may be discovered in the future. Any failure to develop or maintain effective controls, or any difficulties encountered in their implementation or improvement, could harm our operating results, may result in a restatement of our financial statements for prior periods, cause us to fail to meet our reporting obligations, and could adversely affect the results of periodic management evaluations and annual independent registered public accounting firm attestation reports regarding the effectiveness of our internal control over financial reporting that we are required to include in the periodic reports we will file with the SEC. Our independent registered public accounting firm is required to formally attest to the effectiveness of our internal control over financial reporting. Our independent registered public accounting firm may issue a report that is adverse in the event it is not satisfied with the level at which our internal control over financial reporting is documented, designed or operating. Any failure to implement and maintain effective internal control over financial reporting also could adversely affect the results of periodic management evaluations and annual independent registered public accounting firm attestation reports regarding the effectiveness of our internal control over financial reporting that we will eventually be required to include in our periodic reports that are filed with the SEC.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4">
                <wp:simplePos x="0" y="0"/>
                <wp:positionH relativeFrom="character">
                  <wp:align>left</wp:align>
                </wp:positionH>
                <wp:positionV relativeFrom="line">
                  <wp:posOffset>635</wp:posOffset>
                </wp:positionV>
                <wp:extent cx="6480175" cy="146685"/>
                <wp:effectExtent l="0" t="0" r="0" b="0"/>
                <wp:wrapNone/>
                <wp:docPr id="62" name="Frame56"/>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55</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Ineffective disclosure controls and procedures and internal control over financial reporting could also cause investors to lose confidence in our reported financial and other information, which would likely have a negative effect on the market price of our Class A common stock. </w:t>
      </w:r>
    </w:p>
    <w:p>
      <w:pPr>
        <w:pStyle w:val="TextBody"/>
        <w:bidi w:val="0"/>
        <w:spacing w:lineRule="auto" w:line="26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incurred and expect to continue to incur significant expenses and devote substantial management effort toward ensuring compliance with the requirements of Section 404 of the Sarbanes-Oxley Act. As a result of the complexity involved in complying with the rules and regulations applicable to public companies, our management’s attention may be diverted from other business concerns, which could harm our business, operating results, and financial condition. Although we have already hired additional employees to assist us in complying with these requirements, we may need to hire more employees in the future, or engage outside consultants, which will increase our operating expenses.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are obligated to maintain proper and effective internal control over financial reporting. If we identify material weaknesses in the future, or otherwise fail to maintain an effective system of internal control over financial reporting in the future, we may not be able to accurately or timely report our financial condition or operating results, which may adversely affect investor confidence in our company and, as a result, the value of our Class A common stock.</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As a public company, we are subject to the reporting requirements of the Exchange Act, the Sarbanes-Oxley Act, and the rules and regulations of the applicable listing standards of the NYSE. We expect that the requirements of these rules and regulations will continue to increase our legal, accounting, and financial compliance costs, make some activities more difficult, time-consuming, and costly, and place significant strain on our personnel, systems, and resources.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financial statements and in the reports that we will file with the SEC is recorded, processed, summarized and reported within the time periods specified in SEC rules and forms, and information required to be disclosed in reports under the Exchange Act is accumulated and communicated to our principal executive and financial officers. In order to maintain and improve the effectiveness of our internal controls and procedures, we have expended, and anticipate that we will continue to expend, significant resources, including accounting related costs and significant management oversight.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If we are unable to assert that our internal control over financial reporting is effective, or if our independent registered public accounting firm is unable to express an opinion on the effectiveness of our internal control, including as a result of any identified material weakness, we could lose investor confidence in the accuracy and completeness of our financial reports, which would cause the price of our Class A common stock to decline, and we may be subject to investigation or sanctions by the SEC. In addition, if we are unable to continue to meet these requirements, we may not be able to remain listed on the NYSE.</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Intellectual Property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we are unable to protect our intellectual property, the value of our brands and other intangible assets may be diminished, and our business, operating results, and financial condition may be adversely affected.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and expect to continue to rely on a combination of confidentiality, assignment, and license agreements with our employees, consultants, and third parties with whom we have relationships, as well as trademark, copyright, patent, trade secret, and domain name protection laws, to protect our proprietary rights. In the United States and internationally, we have filed various applications for protection of certain aspects of our intellectual property, and we currently hold issued patents and copyrights in the United States, issued copyrights in the United States, and multiple trademark registrations in the United States and other foreign countries. Third parties may knowingly or unknowingly infringe our proprietary rights, third parties may challenge proprietary rights held by us, and pending and future trademark and patent applications may not be approved.</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Any issued patents may be challenged, invalidated or circumvented, and any rights granted under these patents may not actually provide adequate defensive protection or competitive advantages to us. Patent applications in the United States are typically not published until at least 18 months after filing, or, in some cases, not at all. We cannot be certain that we were the first to make the inventions claimed in our pending patent applications or that we were the first to file for patent protection. Additionally, the process of obtaining patent protection is expensive and time-consuming, and we may not be able to prosecute all necessary or desirable patent applications at a reasonable cost or in a timely manner. Recent changes to the patent laws in the United States may also bring into question the validity of certain software patents and may make it more difficult and costly to prosecute patent applications. Such changes may lead to uncertainties or increased costs and risks surrounding the prosecution, validity, ownership, enforcement, and defense of our issued patents and patent applications and other intellectual property, the outcome of third-party claims of infringement, misappropriation, or other violation of intellectual property brought against us and the actual or enhanced damages (including treble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5">
                <wp:simplePos x="0" y="0"/>
                <wp:positionH relativeFrom="character">
                  <wp:align>left</wp:align>
                </wp:positionH>
                <wp:positionV relativeFrom="line">
                  <wp:posOffset>635</wp:posOffset>
                </wp:positionV>
                <wp:extent cx="6480175" cy="146685"/>
                <wp:effectExtent l="0" t="0" r="0" b="0"/>
                <wp:wrapNone/>
                <wp:docPr id="63" name="Frame57"/>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56</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damages) that may be awarded in connection with any such current or future claims, and could have a material adverse effect on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rely on our trademarks, trade names, and brand names to distinguish our platform from the products of our competitors. However, third parties may have already registered identical or similar marks for products or solutions that also address the software market. Efforts by third parties to limit use of our brand names or trademarks and barriers to the registration of brand names and trademarks may restrict our ability to promote and maintain a cohesive brand throughout our key markets. There can also be no assurance that pending or future U.S. or foreign trademark applications will be approved in a timely manner or at all, or that such registrations will effectively protect our brand names and trademarks. Third parties may also oppose our trademark applications, or otherwise challenge our use of the trademarks. In the event that our trademarks are successfully challenged, we could be forced to rebrand our platform, which would result in loss of brand recognition and would require us to devote resources to advertising and marketing new brands.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effective intellectual property protection may not be available in every country in which we operate or intend to operate our business. In any or all of these cases, we may be required to expend significant time and expense in order to prevent infringement or to enforce our rights. Although we have generally taken measures to protect our proprietary rights, there can be no assurance that others will not offer products or concepts that are substantially similar to ours and compete with our business. If the protection of our proprietary rights is inadequate to prevent unauthorized use or appropriation by third parties, the value of our brands and other intangible assets may be diminished and competitors may be able to more effectively mimic the Nextdoor platform and methods of operations.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To prevent substantial unauthorized use of our intellectual property rights, it may be necessary to prosecute actions for infringement and/or misappropriation of our proprietary rights against third parties. Any such action could result in significant costs and diversion of our resources and management’s attention, and we cannot assure that we will be successful in such action. Furthermore, many of our current and potential competitors have the ability to dedicate substantially greater resources to enforce their intellectual property rights (or to contest claims of infringement) than we do. Accordingly, despite our efforts, we may not be able to prevent third parties from knowingly or unknowingly infringing upon, misappropriating or circumventing our intellectual property rights. If we are unable to protect our proprietary rights (including aspects of our software and platform protected other than by patent rights), we will find ourselves at a competitive disadvantage to others who need not incur the additional expense, time and effort required to create our platform. Moreover, we may need to expend additional resources to defend our intellectual property rights in foreign countries, and our inability to do so could impair our business, results of operations and financial condition or adversely affect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Confidentiality agreements with employees and others may not adequately prevent disclosure of trade secrets and proprietary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have devoted substantial resources to the development of our intellectual property and proprietary rights. To protect our intellectual property and proprietary rights, we rely in part on confidentiality agreements with our employees, vendors, licensees, independent contractors and other advisors. These agreements may not effectively prevent disclosure of confidential information and may not provide an adequate remedy in the event of unauthorized disclosure of confidential information. Effective trade secret protection may also not be available in every country in which the Nextdoor platform is available or where we have employees or independent contractors. The loss of trade secret protection could make it easier for third parties to compete with the Nextdoor platform by copying functionality. In addition, any changes in, or unexpected interpretations of, the trade secret and employment laws in any country in which we operate may compromise our ability to enforce our trade secret and intellectual property rights. In addition, others may independently discover trade secrets and proprietary information and in such cases, we could not assert any trade secret rights against such parties. Costly and time-consuming litigation could be necessary to enforce and determine the scope of our proprietary rights and failure to obtain or maintain trade secret protection could adversely affect our competitive business position.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Third parties may claim that our platform infringes their intellectual property rights and this may create liability for us or otherwise adversely affect our business, operating results, and financial condition.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Third parties may claim that the Nextdoor platform infringes their intellectual property rights, and such claims may result in legal claims against us and our technology partners and customers. These claims may damage our brand and reputation and create liability for us. We expect the number of such claims to increase as the functionality of our platform overlaps with that of other products and services, and as the volume of issued software patents and patent applications continues to increase.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Companies in the software and technology industries own large numbers of patents, copyrights, trademarks, and trade secrets and frequently enter into litigation based on allegations of infringement or other violations of intellectual property rights. In addition, many of these companies have the capability to dedicate substantially greater resources to enforce their intellectual property rights and to defend claims that may be brought against them. Furthermore, patent holding companies, non-practicing entities, and other adverse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6">
                <wp:simplePos x="0" y="0"/>
                <wp:positionH relativeFrom="character">
                  <wp:align>left</wp:align>
                </wp:positionH>
                <wp:positionV relativeFrom="line">
                  <wp:posOffset>635</wp:posOffset>
                </wp:positionV>
                <wp:extent cx="6480175" cy="146685"/>
                <wp:effectExtent l="0" t="0" r="0" b="0"/>
                <wp:wrapNone/>
                <wp:docPr id="64" name="Frame58"/>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57</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patent owners that are not deterred by our existing intellectual property protections may seek to assert patent claims against us. We have received, and may in the future receive, notices that claim we have misappropriated, misused, or infringed other parties’ intellectual property rights, and, to the extent we gain greater market visibility, we may face a higher risk of being the subject of intellectual property infringement claims.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may also face exposure to third-party intellectual property infringement, misappropriation, or violation actions if we engage software engineers or other personnel who were previously engaged by competitors or other third parties and those personnel inadvertently or deliberately incorporate proprietary technology of third parties into our products. In addition, we may lose valuable intellectual property rights or personnel. A loss of key personnel or their work product could hamper or prevent our ability to develop, market and support potential products or enhancements, which could severely harm our business. Any intellectual property claims, with or without merit, could be very time-consuming, could be expensive to settle or litigate, and could divert our management’s attention and other resources. These claims could also subject us to significant liability for damages, potentially including treble damages if we are found to have willfully infringed patents or copyrights. These claims could also result in us having to stop using technology found to be in violation of a third party’s rights. We might be required to seek a license for the intellectual property, which may not be available on reasonable terms or at all. Even if a license were available, we could be required to pay significant royalties, which would increase our operating expenses. Alternatively, we could be required to develop alternative non-infringing technology, which could require significant time, effort, and expense, and may affect the performance or features of our platform. If we cannot license or develop alternative non-infringing substitutes for any infringing technology used in any aspect of our business, we would be forced to limit use of our platform. Any of these results would adversely affect our business, operating results and financial condition.</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use of “open source” software could subject us to possible litigation or could prevent us from offering products that include open source software or require us to obtain licenses on unfavorable terms.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 portion of the technologies we use incorporates “open source” software, and we may incorporate open source software in the future. Open source software is generally licensed by its authors or other third parties under open source licenses. These licenses may subject us to certain unfavorable conditions, including requirements that we offer our products that incorporate the open source software for no cost, that we make publicly available the source code for any modifications or derivative work we create based upon, incorporating or using the open source software, or that we license such modifications or derivative works under the terms of the particular open source license. From time to time, companies that use third-party open source software have also faced claims challenging the use of such open source software and their compliance with the terms of the applicable open source license. We may be subject to suits by parties claiming ownership of what we believe to be open source software, or claiming non-compliance with the applicable open source licensing terms.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to using open source software, we also license to others some of our software through open source projects. Open sourcing our own software requires the company to make the source code publicly available, and therefore can affect our ability to protect our intellectual property rights with respect to that software. Additionally, if a third-party software provider has incorporated open source software into software that we license from such provider, we could be required to disclose any of our source code that incorporates or is a modification or derivative work of such licensed software. If an author or other third party that distributes open source software that we use or license were to allege that we had not complied with the conditions of the applicable license, we could be required to incur significant legal expenses defending against such allegations and could be subject to significant damages, enjoined from offering our products that contained the open source software, required to release proprietary source code, required to obtain licenses from third parties or otherwise required to comply with the unfavorable conditions unless and until we can re-engineer the product so that it complies with the open source license or does not incorporate the open source software.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terms of many open source licenses have not been interpreted by U.S. or foreign courts, and accordingly there is a risk that those licenses could be construed in a manner that imposes unanticipated conditions or restrictions on our ability to commercialize our platform. In that event, we could be required to seek licenses from third parties in order to continue offering our platform, to re-develop our platform, or to release our proprietary source code under the terms of an open source license, any of which could harm our business. Enforcement activity for open source licenses can also be unpredictable. Were it determined that our use was not in compliance with a particular license, we may be required to release our proprietary source code, defend claims, pay damages for breach of contract or copyright infringement, grant licenses to our patents, re-engineer our platform, or take other remedial action that may divert resources away from our product development efforts, any of which could negatively impact our business. Open source compliance problems can also result in damage to reputation and challenges in recruitment or retention of engineering personnel. Further, given the nature of open source software, it may be more likely that third parties might assert copyright and other intellectual property infringement claims against us based on our use of these open source software programs. Litigation could be costly for us to defend, have a material adverse effect on our business, results of operations and financial condition, or require us to devote additional development resources to change our platform.</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7">
                <wp:simplePos x="0" y="0"/>
                <wp:positionH relativeFrom="character">
                  <wp:align>left</wp:align>
                </wp:positionH>
                <wp:positionV relativeFrom="line">
                  <wp:posOffset>635</wp:posOffset>
                </wp:positionV>
                <wp:extent cx="6480175" cy="146685"/>
                <wp:effectExtent l="0" t="0" r="0" b="0"/>
                <wp:wrapNone/>
                <wp:docPr id="65" name="Frame59"/>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58</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license technology from third parties, and our inability to maintain those licenses could harm our business.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incorporate, and will in the future continue to incorporate, technology that we license from third parties, including software, into our platform. Licensing technologies from third parties exposes us to increased risk of being the subject of intellectual property infringement due to, among other things, our lower level of visibility into the development process with respect to such technology and the care taken to safeguard against infringement risks. We cannot be certain that our licensors do not or will not infringe on the intellectual property rights of third parties or that our licensors have or will have sufficient rights to the licensed intellectual property in all jurisdictions in which we operate.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our platform that is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As a result, our business, operating results and financial condition would be adversely affected.</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Risks Related to Ownership of Our Class A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price of our Class A common stock has been and may continue to be volatile.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trading price of our Class A common stock has been, and is likely to continue to be volatile and could be subject to fluctuations in response to various factors, some of which are beyond our control. Factors that could cause fluctuations in the trading price of our Class A common stock include the following: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actual or anticipated fluctuations in our user growth, retention, engagement, revenue, or other operating results;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developments involving our competitors;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variations between our actual operating results and the expectations of securities analysts, investors, and the financial community;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actual or anticipated fluctuations in our quarterly or annual operating results;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any forward-looking financial or operating information we may provide to the public or securities analysts, any changes in this information, or our failure to meet expectations based on this information;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publication of research reports by securities analysts about us, our competitors or our industry;</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public’s reaction to our press releases, our other public announcements and our filings with the SEC;</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additional shares of our Class A common stock being sold into the market by us or our existing stockholders, or the anticipation of such sales, or if existing stockholders subject to a lock-up sell shares into the market when applicable “lock-up” periods end;</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additions and departures of key personnel;</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commencement of, or involvement in, litigation involving us;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our capital structure, such as future issuances of securities or the incurrence of additional debt;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volume of shares of our Class A common stock available for public sale;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announcements by us or our competitors of significant products or features, technical innovations, acquisitions, strategic partnerships, joint ventures, or capital commitments;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announcements by us or estimates by third parties of actual or anticipated changes in the size of our user base or the level of user engagement;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changes in operating performance and stock market valuations of technology companies in our industry, including our partners and competitors;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the impact of interest rate increases on the overall stock market and the market for technology company stocks;</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8">
                <wp:simplePos x="0" y="0"/>
                <wp:positionH relativeFrom="character">
                  <wp:align>left</wp:align>
                </wp:positionH>
                <wp:positionV relativeFrom="line">
                  <wp:posOffset>635</wp:posOffset>
                </wp:positionV>
                <wp:extent cx="6480175" cy="146685"/>
                <wp:effectExtent l="0" t="0" r="0" b="0"/>
                <wp:wrapNone/>
                <wp:docPr id="66" name="Frame60"/>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59</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price and volume fluctuations in the overall stock market, including as a result of trends in the economy as a whole;</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developments in new legislation and pending lawsuits or regulatory actions, including interim or final rulings by judicial or regulatory bodies; and</w:t>
      </w:r>
    </w:p>
    <w:p>
      <w:pPr>
        <w:pStyle w:val="TextBody"/>
        <w:bidi w:val="0"/>
        <w:spacing w:lineRule="auto" w:line="288" w:before="0" w:after="0"/>
        <w:ind w:left="0" w:right="0" w:hanging="360"/>
        <w:jc w:val="left"/>
        <w:rPr/>
      </w:pPr>
      <w:r>
        <w:rPr>
          <w:color w:val="000000"/>
        </w:rPr>
        <w:t>•</w:t>
      </w:r>
      <w:r>
        <w:rPr>
          <w:rFonts w:ascii="Times New Roman;sans-serif" w:hAnsi="Times New Roman;sans-serif"/>
          <w:b w:val="false"/>
          <w:color w:val="000000"/>
          <w:sz w:val="20"/>
        </w:rPr>
        <w:t>other events or factors, including those resulting from recessions, rising inflation, changing interest rates, local and national elections, actual or perceived instability in the global banking system, international currency fluctuations, corruption, political instability and acts of war or terrorism, such as the war in Ukraine and the Israel-Hamas war.</w:t>
      </w:r>
    </w:p>
    <w:p>
      <w:pPr>
        <w:pStyle w:val="TextBody"/>
        <w:bidi w:val="0"/>
        <w:spacing w:before="0" w:after="0"/>
        <w:ind w:left="0" w:right="0" w:firstLine="36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In addition, extreme price and volume fluctuations in the stock markets have affected and continue to affect many technology companies’ stock prices. Often, their stock prices have fluctuated in ways unrelated or disproportionate to the companies’ operating performance. In the past, stockholders have filed securities class action litigation following periods of market volatility. If we were to become involved in securities litigation, it could subject us to substantial costs, divert resources and the attention of management from our business, and seriously harm our business.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may adversely affect the trading market for our Class A common stock.</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Certain stock index providers limit the eligibility of public companies with multiple classes of shares of common stock from inclusion in their indices. In addition, several shareholder advisory firms have announced their opposition to the use of multiple class structures. As a result, the dual class structure of our common stock may prevent the inclusion of our Class A common stock in such indices and may cause shareholder advisory firms to publish negative commentary about our corporate governance practices or otherwise seek to cause us to change our capital structure. Any such exclusion from indices could result in a less active trading market for our Class A common stock. Any actions or publications by shareholder advisory firms critical of our corporate governance practices or capital structure could also adversely affect the value of our Class A common stock.</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The dual class structure of our common stock has the effect of concentrating voting power with our management and other existing stockholders, which will limit your ability to influence the outcome of important transactions, including a change in control.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Class B common stock has 10 votes per share and our Class A common stock has one vote per share. Stockholders who hold shares of our Class B common stock, including certain of our executive officers, employees, and directors and their affiliates, together hold a substantial majority of the voting power of our outstanding capital stock as of March 31, 2024. Because of the 10-to-1 voting ratio between our Class B common stock and Class A common stock, the holders of our Class B common stock collectively control a majority of the combined voting power of common stock and therefore are able to control all matters submitted to our stockholders for approval so long as the shares of Class B common stock represent at least 9.1% of all outstanding shares of our Class A common stock and Class B common stock. This concentrated control will limit or preclude your ability to influence the outcome of important corporate matters, including a change in control, for the foreseeable future.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Transfers by holders of our Class B common stock will generally result in those shares converting to Class A common stock, subject to limited exceptions, such as certain transfers effected for estate planning or charitable purposes. The conversion of Class B common stock to Class A common stock will have the effect, over time, of increasing the relative voting power of those holders of Class B common stock who retain their shares in the long term.</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do not intend to pay cash dividends for the foreseeable future.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We currently intend to retain our future earnings, if any, to finance the further development and expansion of our business, as well as to fund our Share Repurchase Program, and do not intend to pay cash dividends in the foreseeable future. Any future determination to pay dividends will be at the discretion of our Board of Directors and will depend on our financial condition, results of operations, capital requirements, restrictions contained in future agreements and financing instruments, business prospects and such other factors as our Board of Directors deems relevant. As a result, you may only receive a return on your investment in our Class A common stock if the market price of our Class A common stock increases.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If analysts do not publish research about our business or if they publish inaccurate or unfavorable research, our stock price and trading volume could decline.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trading market for our Class A common stock will depend in part on the research and reports that analysts publish about our business. We do not have any control over these analysts. If one or more of the analysts who cover our company downgrade our Class A common stock or publish inaccurate or unfavorable research about our business, the price of our Class A common stock would likely decline. If few analysts cover our company, demand for our Class A common stock could decrease and our Class A common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69">
                <wp:simplePos x="0" y="0"/>
                <wp:positionH relativeFrom="character">
                  <wp:align>left</wp:align>
                </wp:positionH>
                <wp:positionV relativeFrom="line">
                  <wp:posOffset>635</wp:posOffset>
                </wp:positionV>
                <wp:extent cx="6480175" cy="146685"/>
                <wp:effectExtent l="0" t="0" r="0" b="0"/>
                <wp:wrapNone/>
                <wp:docPr id="67" name="Frame61"/>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60</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stock price and trading volume may decline. Similar results may occur if one or more of these analysts stop covering us in the future or fail to publish reports on us regularly.</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We may be subject to securities litigation, which is expensive and could divert management attention.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market price of our Class A common stock may be volatile and, in the past, companies that have experienced volatility in the market price of their stock have been subject to securities class action litigation. We may be the target of this type of litigation in the future. Securities litigation against us could result in substantial costs and divert management’s attention from other business concerns, which could seriously harm our business.</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Future resales of our Class A common stock may cause the market price of our securities to drop significantly, even if our business is doing well.</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Sales of a substantial number of shares of our Class A common stock in the public market could occur at any time. These sales, or the perception in the market that the holders of a large number of our Class A common stock intend to sell shares, could reduce the market price of our Class A common stock. As of March 31, 2024, we had 189,630,829 shares of our Class A common stock outstanding. We have filed a registration statement related to the offer and sale from time to time by the selling securityholders named in the prospectus that forms a part of the registration statement of up to 206,159,498 shares of our Class A common stock, which registration statement has been declared effective by the SEC. To the extent shares are sold into the market pursuant to a registration statement that has been declared effective by the SEC, under Rule 144 or otherwise, particularly in substantial quantities, the market price of our Class A common stock could decline.</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Provisions in our charter documents and under Delaware law, including anti-takeover provisions, could make an acquisition of us, which may be beneficial to our stockholders, more difficult and may limit attempts by our stockholders to replace or remove our current management.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Provisions in our Amended and Restated Certificate of Incorporation (the “Certificate of Incorporation”) and our Amended and Restated Bylaws (the “Bylaws”), including anti-takeover provisions, may have the effect of delaying or preventing a merger, acquisition or other change of control of the company that our stockholders may consider favorable. In addition, because our Board of Directors is responsible for appointing the members of our management team, these provisions may frustrate or prevent any attempts by our stockholders to replace or remove our current management by making it more difficult for stockholders to replace members of our Board of Directors. Among other things, our Certificate of Incorporation and Bylaws include provisions that:</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provide that our Board of Directors is classified into three classes of directors with staggered three-year terms;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permit our Board of Directors to establish the number of directors and fill any vacancies and newly created directorships;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require super-majority voting to amend some provisions in our Certificate of Incorporation and Bylaws;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authorize the issuance of “blank check” preferred stock that our Board of Directors could use to implement a stockholder rights plan;</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provide that only our chairperson of the Board of Directors, our chief executive officer, the lead independent director or a majority of our Board of Directors will be authorized to call a special meeting of stockholders;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eliminate the ability of our stockholders to call special meetings of stockholders;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do not provide for cumulative voting;</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provide that directors may only be removed “for cause” and only with the approval of two-thirds of our stockholders;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provide for a dual class common stock structure in which holders of our Class B common stock may have the ability to control the outcome of matters requiring stockholder approval, even if they own significantly less than a majority of the outstanding shares of our common stock, including the election of directors and other significant corporate transactions, such as a merger or other sale of our company or its assets;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prohibit stockholder action by written consent, which requires all stockholder actions to be taken at a meeting of our stockholders;</w:t>
      </w:r>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provide that our Board of Directors is expressly authorized to make, alter, or repeal our Bylaws; and</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0">
                <wp:simplePos x="0" y="0"/>
                <wp:positionH relativeFrom="character">
                  <wp:align>left</wp:align>
                </wp:positionH>
                <wp:positionV relativeFrom="line">
                  <wp:posOffset>635</wp:posOffset>
                </wp:positionV>
                <wp:extent cx="6480175" cy="146685"/>
                <wp:effectExtent l="0" t="0" r="0" b="0"/>
                <wp:wrapNone/>
                <wp:docPr id="68" name="Frame62"/>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61</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180"/>
        <w:ind w:left="0" w:right="0" w:hanging="360"/>
        <w:jc w:val="left"/>
        <w:rPr/>
      </w:pPr>
      <w:r>
        <w:rPr>
          <w:color w:val="000000"/>
        </w:rPr>
        <w:t>•</w:t>
      </w:r>
      <w:r>
        <w:rPr>
          <w:rFonts w:ascii="Times New Roman;sans-serif" w:hAnsi="Times New Roman;sans-serif"/>
          <w:b w:val="false"/>
          <w:color w:val="000000"/>
          <w:sz w:val="20"/>
        </w:rPr>
        <w:t>establish advance notice requirements for nominations for election to our Board of Directors or for proposing matters that can be acted upon by stockholders at annual stockholder meetings.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Moreover, Section 203 of the Delaware General Corporation Law (“DGCL”) may discourage, delay, or prevent a change in control of our company. Section 203 imposes certain restrictions on mergers, business combinations, and other transactions between us and holders of 15% or more of our common stock.</w:t>
      </w:r>
    </w:p>
    <w:p>
      <w:pPr>
        <w:pStyle w:val="TextBody"/>
        <w:bidi w:val="0"/>
        <w:spacing w:lineRule="auto" w:line="288" w:before="0" w:after="180"/>
        <w:jc w:val="both"/>
        <w:rPr>
          <w:rFonts w:ascii="Times New Roman;sans-serif" w:hAnsi="Times New Roman;sans-serif"/>
          <w:b/>
          <w:i/>
          <w:color w:val="000000"/>
          <w:sz w:val="20"/>
        </w:rPr>
      </w:pPr>
      <w:r>
        <w:rPr>
          <w:rFonts w:ascii="Times New Roman;sans-serif" w:hAnsi="Times New Roman;sans-serif"/>
          <w:b/>
          <w:i/>
          <w:color w:val="000000"/>
          <w:sz w:val="20"/>
        </w:rPr>
        <w:t>Our Certificate of Incorporation contains exclusive forum provisions for certain claims, which may limit our stockholders’ ability to obtain a favorable judicial forum for disputes with us or our directors, officers, or employees.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Certificate of Incorporation provides that the Court of Chancery of the State of Delaware, to the fullest extent permitted by law, will be the exclusive forum for any derivative action or proceeding brought on our behalf, any action asserting a breach of fiduciary duty, any action asserting a claim against us arising pursuant to the DGCL, our Certificate of Incorporation, our Bylaws, or any action asserting a claim against us that is governed by the internal affairs doctrine.</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Moreover, Section 22 of the Securities Act creates concurrent jurisdiction for federal and state courts over all claims brought to enforce any duty or liability created by the Securities Act or the rules and regulations thereunder. Our Certificate of Incorporation provides that the federal district courts of the United States will, to the fullest extent permitted by law, be the exclusive forum for resolving any complaint asserting a cause of action arising under the Securities Act (“Federal Forum Provision”). Our decision to adopt a Federal Forum Provision followed a decision by the Supreme Court of the State of Delaware holding that such provisions are facially valid under Delaware law. While there can be no assurance that federal or state courts will follow the holding of the Delaware Supreme Court or determine that the Federal Forum Provision should be enforced in a particular case, application of the Federal Forum Provision means that suits brought by our stockholders to enforce any duty or liability created by the Securities Act must be brought in federal court and cannot be brought in state court.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Section 27 of the Exchange Act creates exclusive federal jurisdiction over all claims brought to enforce any duty or liability created by the Exchange Act or the rules and regulations thereunder. In addition, the Federal Forum Provision applies to suits brought to enforce any duty or liability created by the Exchange Act. Accordingly, actions by our stockholders to enforce any duty or liability created by the Exchange Act or the rules and regulations thereunder must be brought in federal court.</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Our stockholders will not be deemed to have waived our compliance with the federal securities laws and the regulations promulgated thereunder.</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Any person or entity purchasing or otherwise acquiring or holding any interest in any of our securities shall be deemed to have notice of and consented to our exclusive forum provisions, including the Federal Forum Provision. These provisions may limit a stockholders’ ability to bring a claim in a judicial forum of their choosing for disputes with us or our directors, officers, or employees, which may discourage lawsuits against us and our directors, officers, and employees. Alternatively, if a court were to find the choice of forum provision contained in our Certificate of Incorporation and Bylaws to be inapplicable or unenforceable in an action, we may incur additional costs associated with resolving such action in other jurisdictions, which could harm our business, financial condition, and operating results.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2. Unregistered Sales of Equity Securities, Use of Proceeds, and Issuer Purchases of Equity Securities</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Sales of Unregistered Securities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pStyle w:val="TextBody"/>
        <w:bidi w:val="0"/>
        <w:spacing w:before="0" w:after="0"/>
        <w:jc w:val="both"/>
        <w:rPr/>
      </w:pPr>
      <w:r>
        <w:rPr/>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 xml:space="preserve">Use of Proceeds </w:t>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On March 26, 2021, Khosla Ventures Acquisition Co. II (“KVSB”) consummated its initial public offering of 40,000,000 public shares. On March 30, 2021 in connection with the underwriters’ election to partially exercise their over-allotment option, KVSB sold an additional 1,634,412 public shares to cover over-allotments. The public shares were sold at a price of $10.00 per share, generating total gross proceeds of $416.3 million from the initial public offering and partial exercise of the underwriters’ over-allotment option. The securities sold in the offering were registered under the Securities Act on a registration statement on Form S-1 (No. 333-253098). The registration statement became effective on March 23, 2021.</w:t>
      </w:r>
    </w:p>
    <w:p>
      <w:pPr>
        <w:pStyle w:val="TextBody"/>
        <w:bidi w:val="0"/>
        <w:spacing w:before="0" w:after="0"/>
        <w:jc w:val="both"/>
        <w:rPr/>
      </w:pPr>
      <w:r>
        <w:rPr/>
      </w:r>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Simultaneously with the consummation of the initial public offering, KVSB consummated a private placement of 1,100,000 private placement shares, at a price of $10.00 per share, to Khosla Ventures SPAC Sponsor II LLC (the “Sponsor”), generating gross proceeds to KVSB of $11.0 million. In connection with the underwriters’ partial exercise of their over-allotment option that closed on March 30, 2021, KVSB also consummated the sale of an additional 32,688 private placement shares to the Sponsor, generating gross </w:t>
      </w: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1">
                <wp:simplePos x="0" y="0"/>
                <wp:positionH relativeFrom="character">
                  <wp:align>left</wp:align>
                </wp:positionH>
                <wp:positionV relativeFrom="line">
                  <wp:posOffset>635</wp:posOffset>
                </wp:positionV>
                <wp:extent cx="6480175" cy="146685"/>
                <wp:effectExtent l="0" t="0" r="0" b="0"/>
                <wp:wrapNone/>
                <wp:docPr id="69" name="Frame63"/>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62</w:t>
                      </w:r>
                    </w:p>
                  </w:txbxContent>
                </v:textbox>
                <w10:wrap type="none"/>
              </v:rect>
            </w:pict>
          </mc:Fallback>
        </mc:AlternateContent>
      </w:r>
    </w:p>
    <w:p>
      <w:pPr>
        <w:pStyle w:val="TextBody"/>
        <w:bidi w:val="0"/>
        <w:spacing w:lineRule="auto" w:line="288" w:before="0" w:after="180"/>
        <w:jc w:val="both"/>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6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proceeds of $0.3 million. Such securities were issued pursuant to the exemption from registration contained in Section 4(a)(2) of the Securities Act.</w:t>
      </w:r>
    </w:p>
    <w:p>
      <w:pPr>
        <w:pStyle w:val="TextBody"/>
        <w:bidi w:val="0"/>
        <w:spacing w:before="0" w:after="0"/>
        <w:jc w:val="both"/>
        <w:rPr/>
      </w:pPr>
      <w:r>
        <w:rPr/>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KVSB incurred $23.6 million in offering costs for its initial public offering including $14.6 million of deferred underwriting fees, $8.3 million of underwriting discounts and commissions, and $0.7 million of other costs. Following the initial public offering, the partial exercise of the over-allotment option, and the sale of the private placement shares, a total of $416.3 million was deposited into the trust account for the purpose of effecting an initial business combination. As of November 5, 2021, the record date of the Business Combination, there was $416.4 million held in the trust account. After deducting payments to existing KVSB shareholders of $12.2 million in connection with their exercise of redemption rights, the payment of the $14.6 million of deferred underwriting fees, and $28.9 million of expenses in connection with the Business Combination paid from the trust account, the remainder of the trust account is now held on our balance sheet to fund our operations and continued growth.</w:t>
      </w:r>
    </w:p>
    <w:p>
      <w:pPr>
        <w:pStyle w:val="TextBody"/>
        <w:bidi w:val="0"/>
        <w:spacing w:lineRule="auto" w:line="288" w:before="0" w:after="180"/>
        <w:jc w:val="left"/>
        <w:rPr>
          <w:rFonts w:ascii="Times New Roman;sans-serif" w:hAnsi="Times New Roman;sans-serif"/>
          <w:b/>
          <w:color w:val="000000"/>
          <w:sz w:val="20"/>
        </w:rPr>
      </w:pPr>
      <w:r>
        <w:rPr>
          <w:rFonts w:ascii="Times New Roman;sans-serif" w:hAnsi="Times New Roman;sans-serif"/>
          <w:b/>
          <w:color w:val="000000"/>
          <w:sz w:val="20"/>
        </w:rPr>
        <w:t>Issuer Purchases of Equity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The following table summarizes share repurchase activity for the three months ended March 31, 2024:</w:t>
      </w:r>
    </w:p>
    <w:tbl>
      <w:tblPr>
        <w:tblW w:w="10205" w:type="dxa"/>
        <w:jc w:val="left"/>
        <w:tblInd w:w="0" w:type="dxa"/>
        <w:tblLayout w:type="fixed"/>
        <w:tblCellMar>
          <w:top w:w="28" w:type="dxa"/>
          <w:left w:w="28" w:type="dxa"/>
          <w:bottom w:w="28" w:type="dxa"/>
          <w:right w:w="28" w:type="dxa"/>
        </w:tblCellMar>
      </w:tblPr>
      <w:tblGrid>
        <w:gridCol w:w="498"/>
        <w:gridCol w:w="373"/>
        <w:gridCol w:w="377"/>
        <w:gridCol w:w="109"/>
        <w:gridCol w:w="109"/>
        <w:gridCol w:w="109"/>
        <w:gridCol w:w="721"/>
        <w:gridCol w:w="459"/>
        <w:gridCol w:w="460"/>
        <w:gridCol w:w="109"/>
        <w:gridCol w:w="109"/>
        <w:gridCol w:w="109"/>
        <w:gridCol w:w="297"/>
        <w:gridCol w:w="720"/>
        <w:gridCol w:w="153"/>
        <w:gridCol w:w="109"/>
        <w:gridCol w:w="109"/>
        <w:gridCol w:w="109"/>
        <w:gridCol w:w="950"/>
        <w:gridCol w:w="721"/>
        <w:gridCol w:w="724"/>
        <w:gridCol w:w="109"/>
        <w:gridCol w:w="109"/>
        <w:gridCol w:w="109"/>
        <w:gridCol w:w="431"/>
        <w:gridCol w:w="1687"/>
        <w:gridCol w:w="326"/>
      </w:tblGrid>
      <w:tr>
        <w:trPr/>
        <w:tc>
          <w:tcPr>
            <w:tcW w:w="498" w:type="dxa"/>
            <w:tcBorders/>
            <w:vAlign w:val="center"/>
          </w:tcPr>
          <w:p>
            <w:pPr>
              <w:pStyle w:val="TableContents"/>
              <w:bidi w:val="0"/>
              <w:spacing w:before="0" w:after="283"/>
              <w:jc w:val="left"/>
              <w:rPr>
                <w:sz w:val="4"/>
                <w:szCs w:val="4"/>
              </w:rPr>
            </w:pPr>
            <w:r>
              <w:rPr>
                <w:sz w:val="4"/>
                <w:szCs w:val="4"/>
              </w:rPr>
            </w:r>
          </w:p>
        </w:tc>
        <w:tc>
          <w:tcPr>
            <w:tcW w:w="373" w:type="dxa"/>
            <w:tcBorders/>
            <w:vAlign w:val="center"/>
          </w:tcPr>
          <w:p>
            <w:pPr>
              <w:pStyle w:val="TableContents"/>
              <w:bidi w:val="0"/>
              <w:spacing w:before="0" w:after="283"/>
              <w:jc w:val="left"/>
              <w:rPr>
                <w:sz w:val="4"/>
                <w:szCs w:val="4"/>
              </w:rPr>
            </w:pPr>
            <w:r>
              <w:rPr>
                <w:sz w:val="4"/>
                <w:szCs w:val="4"/>
              </w:rPr>
            </w:r>
          </w:p>
        </w:tc>
        <w:tc>
          <w:tcPr>
            <w:tcW w:w="37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459" w:type="dxa"/>
            <w:tcBorders/>
            <w:vAlign w:val="center"/>
          </w:tcPr>
          <w:p>
            <w:pPr>
              <w:pStyle w:val="TableContents"/>
              <w:bidi w:val="0"/>
              <w:spacing w:before="0" w:after="283"/>
              <w:jc w:val="left"/>
              <w:rPr>
                <w:sz w:val="4"/>
                <w:szCs w:val="4"/>
              </w:rPr>
            </w:pPr>
            <w:r>
              <w:rPr>
                <w:sz w:val="4"/>
                <w:szCs w:val="4"/>
              </w:rPr>
            </w:r>
          </w:p>
        </w:tc>
        <w:tc>
          <w:tcPr>
            <w:tcW w:w="46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97" w:type="dxa"/>
            <w:tcBorders/>
            <w:vAlign w:val="center"/>
          </w:tcPr>
          <w:p>
            <w:pPr>
              <w:pStyle w:val="TableContents"/>
              <w:bidi w:val="0"/>
              <w:spacing w:before="0" w:after="283"/>
              <w:jc w:val="left"/>
              <w:rPr>
                <w:sz w:val="4"/>
                <w:szCs w:val="4"/>
              </w:rPr>
            </w:pPr>
            <w:r>
              <w:rPr>
                <w:sz w:val="4"/>
                <w:szCs w:val="4"/>
              </w:rPr>
            </w:r>
          </w:p>
        </w:tc>
        <w:tc>
          <w:tcPr>
            <w:tcW w:w="720" w:type="dxa"/>
            <w:tcBorders/>
            <w:vAlign w:val="center"/>
          </w:tcPr>
          <w:p>
            <w:pPr>
              <w:pStyle w:val="TableContents"/>
              <w:bidi w:val="0"/>
              <w:spacing w:before="0" w:after="283"/>
              <w:jc w:val="left"/>
              <w:rPr>
                <w:sz w:val="4"/>
                <w:szCs w:val="4"/>
              </w:rPr>
            </w:pPr>
            <w:r>
              <w:rPr>
                <w:sz w:val="4"/>
                <w:szCs w:val="4"/>
              </w:rPr>
            </w:r>
          </w:p>
        </w:tc>
        <w:tc>
          <w:tcPr>
            <w:tcW w:w="153"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721" w:type="dxa"/>
            <w:tcBorders/>
            <w:vAlign w:val="center"/>
          </w:tcPr>
          <w:p>
            <w:pPr>
              <w:pStyle w:val="TableContents"/>
              <w:bidi w:val="0"/>
              <w:spacing w:before="0" w:after="283"/>
              <w:jc w:val="left"/>
              <w:rPr>
                <w:sz w:val="4"/>
                <w:szCs w:val="4"/>
              </w:rPr>
            </w:pPr>
            <w:r>
              <w:rPr>
                <w:sz w:val="4"/>
                <w:szCs w:val="4"/>
              </w:rPr>
            </w:r>
          </w:p>
        </w:tc>
        <w:tc>
          <w:tcPr>
            <w:tcW w:w="7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1687" w:type="dxa"/>
            <w:tcBorders/>
            <w:vAlign w:val="center"/>
          </w:tcPr>
          <w:p>
            <w:pPr>
              <w:pStyle w:val="TableContents"/>
              <w:bidi w:val="0"/>
              <w:spacing w:before="0" w:after="283"/>
              <w:jc w:val="left"/>
              <w:rPr>
                <w:sz w:val="4"/>
                <w:szCs w:val="4"/>
              </w:rPr>
            </w:pPr>
            <w:r>
              <w:rPr>
                <w:sz w:val="4"/>
                <w:szCs w:val="4"/>
              </w:rPr>
            </w:r>
          </w:p>
        </w:tc>
        <w:tc>
          <w:tcPr>
            <w:tcW w:w="326" w:type="dxa"/>
            <w:tcBorders/>
            <w:vAlign w:val="center"/>
          </w:tcPr>
          <w:p>
            <w:pPr>
              <w:pStyle w:val="TableContents"/>
              <w:bidi w:val="0"/>
              <w:spacing w:before="0" w:after="283"/>
              <w:jc w:val="left"/>
              <w:rPr>
                <w:sz w:val="4"/>
                <w:szCs w:val="4"/>
              </w:rPr>
            </w:pPr>
            <w:r>
              <w:rPr>
                <w:sz w:val="4"/>
                <w:szCs w:val="4"/>
              </w:rPr>
            </w:r>
          </w:p>
        </w:tc>
      </w:tr>
      <w:tr>
        <w:trPr/>
        <w:tc>
          <w:tcPr>
            <w:tcW w:w="12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Period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4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Total Number of Shares Purchased </w:t>
            </w:r>
            <w:r>
              <w:rPr>
                <w:rFonts w:ascii="Times New Roman;sans-serif" w:hAnsi="Times New Roman;sans-serif"/>
                <w:b/>
                <w:color w:val="000000"/>
                <w:sz w:val="13"/>
              </w:rPr>
              <w:t>(1)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tcMar>
              <w:top w:w="0" w:type="dxa"/>
              <w:left w:w="0" w:type="dxa"/>
              <w:bottom w:w="0" w:type="dxa"/>
              <w:right w:w="0" w:type="dxa"/>
            </w:tcMar>
            <w:vAlign w:val="center"/>
          </w:tcPr>
          <w:p>
            <w:pPr>
              <w:pStyle w:val="TableContents"/>
              <w:bidi w:val="0"/>
              <w:spacing w:lineRule="auto" w:line="240" w:before="0" w:after="0"/>
              <w:jc w:val="center"/>
              <w:rPr/>
            </w:pPr>
            <w:r>
              <w:rPr>
                <w:rFonts w:ascii="Times New Roman;sans-serif" w:hAnsi="Times New Roman;sans-serif"/>
                <w:b/>
                <w:color w:val="000000"/>
                <w:sz w:val="20"/>
              </w:rPr>
              <w:t xml:space="preserve">Average Price Paid per Share </w:t>
            </w:r>
            <w:r>
              <w:rPr>
                <w:rFonts w:ascii="Times New Roman;sans-serif" w:hAnsi="Times New Roman;sans-serif"/>
                <w:b/>
                <w:color w:val="000000"/>
                <w:sz w:val="13"/>
              </w:rPr>
              <w:t>(2)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Total Number of Shares Purchased as Part of the Publicly Announced Plans or Programs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20"/>
              </w:rPr>
            </w:pPr>
            <w:r>
              <w:rPr>
                <w:rFonts w:ascii="Times New Roman;sans-serif" w:hAnsi="Times New Roman;sans-serif"/>
                <w:b/>
                <w:color w:val="000000"/>
                <w:sz w:val="20"/>
              </w:rPr>
              <w:t xml:space="preserve">Approximate Dollar Value of Shares that May Yet Be Purchased Under the Pans or Programs </w:t>
              <w:br/>
              <w:t>(in thousands)</w:t>
            </w:r>
          </w:p>
        </w:tc>
      </w:tr>
      <w:tr>
        <w:trPr/>
        <w:tc>
          <w:tcPr>
            <w:tcW w:w="12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January 1, 2024 to January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22,768 </w:t>
            </w:r>
          </w:p>
        </w:tc>
        <w:tc>
          <w:tcPr>
            <w:tcW w:w="326"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February 1, 2024 to February 29, 2024</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460"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15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color w:val="000000"/>
              </w:rPr>
            </w:pPr>
            <w:r>
              <w:rPr>
                <w:color w:val="000000"/>
              </w:rPr>
              <w:t>— </w:t>
            </w:r>
          </w:p>
        </w:tc>
        <w:tc>
          <w:tcPr>
            <w:tcW w:w="72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7"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172,768 </w:t>
            </w:r>
          </w:p>
        </w:tc>
        <w:tc>
          <w:tcPr>
            <w:tcW w:w="326"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March 1, 2024 to March 31, 2024</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4,448,423 </w:t>
            </w:r>
          </w:p>
        </w:tc>
        <w:tc>
          <w:tcPr>
            <w:tcW w:w="460"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9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720"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2.19 </w:t>
            </w:r>
          </w:p>
        </w:tc>
        <w:tc>
          <w:tcPr>
            <w:tcW w:w="15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4,448,423 </w:t>
            </w:r>
          </w:p>
        </w:tc>
        <w:tc>
          <w:tcPr>
            <w:tcW w:w="72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31"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w:t>
            </w:r>
          </w:p>
        </w:tc>
        <w:tc>
          <w:tcPr>
            <w:tcW w:w="1687"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163,017 </w:t>
            </w:r>
          </w:p>
        </w:tc>
        <w:tc>
          <w:tcPr>
            <w:tcW w:w="326"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248"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Total</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80"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4,448,423 </w:t>
            </w:r>
          </w:p>
        </w:tc>
        <w:tc>
          <w:tcPr>
            <w:tcW w:w="460"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70"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71" w:type="dxa"/>
            <w:gridSpan w:val="2"/>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lineRule="auto" w:line="240" w:before="0" w:after="283"/>
              <w:jc w:val="right"/>
              <w:rPr>
                <w:rFonts w:ascii="Times New Roman;sans-serif" w:hAnsi="Times New Roman;sans-serif"/>
                <w:b w:val="false"/>
                <w:color w:val="000000"/>
                <w:sz w:val="20"/>
              </w:rPr>
            </w:pPr>
            <w:r>
              <w:rPr>
                <w:rFonts w:ascii="Times New Roman;sans-serif" w:hAnsi="Times New Roman;sans-serif"/>
                <w:b w:val="false"/>
                <w:color w:val="000000"/>
                <w:sz w:val="20"/>
              </w:rPr>
              <w:t>4,448,423 </w:t>
            </w:r>
          </w:p>
        </w:tc>
        <w:tc>
          <w:tcPr>
            <w:tcW w:w="724" w:type="dxa"/>
            <w:tcBorders>
              <w:top w:val="single" w:sz="8" w:space="0" w:color="000000"/>
              <w:bottom w:val="double" w:sz="8" w:space="0" w:color="000000"/>
            </w:tcBorders>
            <w:shd w:fill="FFFFFF" w:val="clear"/>
            <w:tcMar>
              <w:top w:w="30" w:type="dxa"/>
              <w:left w:w="0" w:type="dxa"/>
              <w:bottom w:w="3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44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80"/>
        <w:jc w:val="both"/>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 xml:space="preserve">On May 31, 2022, our Board of Directors authorized and approved the Share Repurchase Program to repurchase up to $100.0 million in aggregate of our Class A common stock, with the authorization to expire on June 30, 2024. On February 21, 2024, our Board of Directors authorized and approved an increase of $150.0 million to the Share Repurchase Program and extended the expiration date to March 31, 2026. </w:t>
      </w:r>
    </w:p>
    <w:p>
      <w:pPr>
        <w:pStyle w:val="TextBody"/>
        <w:bidi w:val="0"/>
        <w:spacing w:lineRule="auto" w:line="288" w:before="0" w:after="180"/>
        <w:jc w:val="both"/>
        <w:rPr/>
      </w:pPr>
      <w:r>
        <w:rPr>
          <w:rFonts w:ascii="Times New Roman;sans-serif" w:hAnsi="Times New Roman;sans-serif"/>
          <w:b w:val="false"/>
          <w:color w:val="000000"/>
          <w:sz w:val="13"/>
        </w:rPr>
        <w:t>(2)</w:t>
      </w:r>
      <w:r>
        <w:rPr>
          <w:color w:val="000000"/>
        </w:rPr>
        <w:t xml:space="preserve"> </w:t>
      </w:r>
      <w:r>
        <w:rPr>
          <w:rFonts w:ascii="Times New Roman;sans-serif" w:hAnsi="Times New Roman;sans-serif"/>
          <w:b w:val="false"/>
          <w:color w:val="000000"/>
          <w:sz w:val="20"/>
        </w:rPr>
        <w:t>Average price paid per share includes costs associated with the repurchases.</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3. Defaults Upon Senior Securities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Not applicable.</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 xml:space="preserve">Item 4. Mine Safety Disclosures </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Not applicable.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180"/>
        <w:jc w:val="both"/>
        <w:rPr>
          <w:rFonts w:ascii="Times New Roman;sans-serif" w:hAnsi="Times New Roman;sans-serif"/>
          <w:b/>
          <w:color w:val="000000"/>
          <w:sz w:val="20"/>
        </w:rPr>
      </w:pPr>
      <w:r>
        <w:rPr>
          <w:rFonts w:ascii="Times New Roman;sans-serif" w:hAnsi="Times New Roman;sans-serif"/>
          <w:b/>
          <w:color w:val="000000"/>
          <w:sz w:val="20"/>
        </w:rPr>
        <w:t>Item 5. Other Information</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None.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2">
                <wp:simplePos x="0" y="0"/>
                <wp:positionH relativeFrom="character">
                  <wp:align>left</wp:align>
                </wp:positionH>
                <wp:positionV relativeFrom="line">
                  <wp:posOffset>635</wp:posOffset>
                </wp:positionV>
                <wp:extent cx="6480175" cy="146685"/>
                <wp:effectExtent l="0" t="0" r="0" b="0"/>
                <wp:wrapNone/>
                <wp:docPr id="70" name="Frame64"/>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180"/>
                        <w:jc w:val="center"/>
                        <w:rPr>
                          <w:rFonts w:ascii="Times New Roman;sans-serif" w:hAnsi="Times New Roman;sans-serif"/>
                          <w:b w:val="false"/>
                          <w:color w:val="000000"/>
                          <w:sz w:val="20"/>
                        </w:rPr>
                      </w:pPr>
                      <w:r>
                        <w:rPr>
                          <w:rFonts w:ascii="Times New Roman;sans-serif" w:hAnsi="Times New Roman;sans-serif"/>
                          <w:b w:val="false"/>
                          <w:color w:val="000000"/>
                          <w:sz w:val="20"/>
                        </w:rPr>
                        <w:t>63</w:t>
                      </w:r>
                    </w:p>
                  </w:txbxContent>
                </v:textbox>
                <w10:wrap type="none"/>
              </v:rect>
            </w:pict>
          </mc:Fallback>
        </mc:AlternateContent>
      </w:r>
    </w:p>
    <w:p>
      <w:pPr>
        <w:pStyle w:val="TextBody"/>
        <w:bidi w:val="0"/>
        <w:spacing w:lineRule="auto" w:line="288" w:before="0" w:after="0"/>
        <w:jc w:val="left"/>
        <w:rPr/>
      </w:pPr>
      <w:hyperlink w:anchor="i8349b654e59147d49f62da1eede1c05f_10">
        <w:r>
          <w:rPr>
            <w:rStyle w:val="InternetLink"/>
            <w:rFonts w:ascii="Times New Roman;sans-serif" w:hAnsi="Times New Roman;sans-serif"/>
            <w:b w:val="false"/>
            <w:color w:val="0000FF"/>
            <w:sz w:val="20"/>
            <w:u w:val="single"/>
          </w:rPr>
          <w:t>Table of Contents</w:t>
        </w:r>
      </w:hyperlink>
    </w:p>
    <w:p>
      <w:pPr>
        <w:pStyle w:val="TextBody"/>
        <w:bidi w:val="0"/>
        <w:spacing w:lineRule="auto" w:line="288" w:before="0" w:after="0"/>
        <w:jc w:val="left"/>
        <w:rPr>
          <w:rFonts w:ascii="Times New Roman;sans-serif" w:hAnsi="Times New Roman;sans-serif"/>
          <w:b/>
          <w:color w:val="000000"/>
          <w:sz w:val="20"/>
        </w:rPr>
      </w:pPr>
      <w:r>
        <w:rPr>
          <w:rFonts w:ascii="Times New Roman;sans-serif" w:hAnsi="Times New Roman;sans-serif"/>
          <w:b/>
          <w:color w:val="000000"/>
          <w:sz w:val="20"/>
        </w:rPr>
        <w:t>Item 6. Exhibits</w:t>
      </w:r>
    </w:p>
    <w:p>
      <w:pPr>
        <w:pStyle w:val="TextBody"/>
        <w:bidi w:val="0"/>
        <w:spacing w:before="0" w:after="0"/>
        <w:ind w:left="0" w:right="0" w:firstLine="720"/>
        <w:jc w:val="both"/>
        <w:rPr/>
      </w:pPr>
      <w:r>
        <w:rPr/>
      </w:r>
    </w:p>
    <w:tbl>
      <w:tblPr>
        <w:tblW w:w="10205" w:type="dxa"/>
        <w:jc w:val="left"/>
        <w:tblInd w:w="0" w:type="dxa"/>
        <w:tblLayout w:type="fixed"/>
        <w:tblCellMar>
          <w:top w:w="28" w:type="dxa"/>
          <w:left w:w="28" w:type="dxa"/>
          <w:bottom w:w="28" w:type="dxa"/>
          <w:right w:w="28" w:type="dxa"/>
        </w:tblCellMar>
      </w:tblPr>
      <w:tblGrid>
        <w:gridCol w:w="326"/>
        <w:gridCol w:w="288"/>
        <w:gridCol w:w="289"/>
        <w:gridCol w:w="109"/>
        <w:gridCol w:w="109"/>
        <w:gridCol w:w="109"/>
        <w:gridCol w:w="2170"/>
        <w:gridCol w:w="1946"/>
        <w:gridCol w:w="1968"/>
        <w:gridCol w:w="109"/>
        <w:gridCol w:w="109"/>
        <w:gridCol w:w="109"/>
        <w:gridCol w:w="170"/>
        <w:gridCol w:w="170"/>
        <w:gridCol w:w="171"/>
        <w:gridCol w:w="118"/>
        <w:gridCol w:w="118"/>
        <w:gridCol w:w="118"/>
        <w:gridCol w:w="210"/>
        <w:gridCol w:w="210"/>
        <w:gridCol w:w="211"/>
        <w:gridCol w:w="118"/>
        <w:gridCol w:w="118"/>
        <w:gridCol w:w="118"/>
        <w:gridCol w:w="207"/>
        <w:gridCol w:w="207"/>
        <w:gridCol w:w="300"/>
      </w:tblGrid>
      <w:tr>
        <w:trPr/>
        <w:tc>
          <w:tcPr>
            <w:tcW w:w="326" w:type="dxa"/>
            <w:tcBorders/>
            <w:vAlign w:val="center"/>
          </w:tcPr>
          <w:p>
            <w:pPr>
              <w:pStyle w:val="TableContents"/>
              <w:bidi w:val="0"/>
              <w:spacing w:before="0" w:after="283"/>
              <w:jc w:val="left"/>
              <w:rPr>
                <w:sz w:val="4"/>
                <w:szCs w:val="4"/>
              </w:rPr>
            </w:pPr>
            <w:r>
              <w:rPr>
                <w:sz w:val="4"/>
                <w:szCs w:val="4"/>
              </w:rPr>
            </w:r>
          </w:p>
        </w:tc>
        <w:tc>
          <w:tcPr>
            <w:tcW w:w="288" w:type="dxa"/>
            <w:tcBorders/>
            <w:vAlign w:val="center"/>
          </w:tcPr>
          <w:p>
            <w:pPr>
              <w:pStyle w:val="TableContents"/>
              <w:bidi w:val="0"/>
              <w:spacing w:before="0" w:after="283"/>
              <w:jc w:val="left"/>
              <w:rPr>
                <w:sz w:val="4"/>
                <w:szCs w:val="4"/>
              </w:rPr>
            </w:pPr>
            <w:r>
              <w:rPr>
                <w:sz w:val="4"/>
                <w:szCs w:val="4"/>
              </w:rPr>
            </w:r>
          </w:p>
        </w:tc>
        <w:tc>
          <w:tcPr>
            <w:tcW w:w="28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0" w:type="dxa"/>
            <w:tcBorders/>
            <w:vAlign w:val="center"/>
          </w:tcPr>
          <w:p>
            <w:pPr>
              <w:pStyle w:val="TableContents"/>
              <w:bidi w:val="0"/>
              <w:spacing w:before="0" w:after="283"/>
              <w:jc w:val="left"/>
              <w:rPr>
                <w:sz w:val="4"/>
                <w:szCs w:val="4"/>
              </w:rPr>
            </w:pPr>
            <w:r>
              <w:rPr>
                <w:sz w:val="4"/>
                <w:szCs w:val="4"/>
              </w:rPr>
            </w:r>
          </w:p>
        </w:tc>
        <w:tc>
          <w:tcPr>
            <w:tcW w:w="1946" w:type="dxa"/>
            <w:tcBorders/>
            <w:vAlign w:val="center"/>
          </w:tcPr>
          <w:p>
            <w:pPr>
              <w:pStyle w:val="TableContents"/>
              <w:bidi w:val="0"/>
              <w:spacing w:before="0" w:after="283"/>
              <w:jc w:val="left"/>
              <w:rPr>
                <w:sz w:val="4"/>
                <w:szCs w:val="4"/>
              </w:rPr>
            </w:pPr>
            <w:r>
              <w:rPr>
                <w:sz w:val="4"/>
                <w:szCs w:val="4"/>
              </w:rPr>
            </w:r>
          </w:p>
        </w:tc>
        <w:tc>
          <w:tcPr>
            <w:tcW w:w="196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1"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118"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300" w:type="dxa"/>
            <w:tcBorders/>
            <w:vAlign w:val="center"/>
          </w:tcPr>
          <w:p>
            <w:pPr>
              <w:pStyle w:val="TableContents"/>
              <w:bidi w:val="0"/>
              <w:spacing w:before="0" w:after="283"/>
              <w:jc w:val="left"/>
              <w:rPr>
                <w:sz w:val="4"/>
                <w:szCs w:val="4"/>
              </w:rPr>
            </w:pPr>
            <w:r>
              <w:rPr>
                <w:sz w:val="4"/>
                <w:szCs w:val="4"/>
              </w:rPr>
            </w:r>
          </w:p>
        </w:tc>
      </w:tr>
      <w:tr>
        <w:trPr/>
        <w:tc>
          <w:tcPr>
            <w:tcW w:w="903"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vMerge w:val="restart"/>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Description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64" w:type="dxa"/>
            <w:gridSpan w:val="15"/>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Incorporated by Reference</w:t>
            </w:r>
          </w:p>
        </w:tc>
      </w:tr>
      <w:tr>
        <w:trPr/>
        <w:tc>
          <w:tcPr>
            <w:tcW w:w="903"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vMerge w:val="continue"/>
            <w:tcBorders/>
            <w:tcMar>
              <w:top w:w="0" w:type="dxa"/>
              <w:left w:w="0" w:type="dxa"/>
              <w:bottom w:w="0" w:type="dxa"/>
              <w:right w:w="0" w:type="dxa"/>
            </w:tcMar>
            <w:vAlign w:val="center"/>
          </w:tcPr>
          <w:p>
            <w:pPr>
              <w:pStyle w:val="Normal"/>
              <w:bidi w:val="0"/>
              <w:jc w:val="left"/>
              <w:rPr/>
            </w:pPr>
            <w:r>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Form</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Exhibit</w:t>
            </w:r>
          </w:p>
        </w:tc>
        <w:tc>
          <w:tcPr>
            <w:tcW w:w="35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color w:val="000000"/>
                <w:sz w:val="16"/>
              </w:rPr>
            </w:pPr>
            <w:r>
              <w:rPr>
                <w:rFonts w:ascii="Times New Roman;sans-serif" w:hAnsi="Times New Roman;sans-serif"/>
                <w:b/>
                <w:color w:val="000000"/>
                <w:sz w:val="16"/>
              </w:rPr>
              <w:t>Filing Date</w:t>
            </w:r>
          </w:p>
        </w:tc>
      </w:tr>
      <w:tr>
        <w:trPr/>
        <w:tc>
          <w:tcPr>
            <w:tcW w:w="903"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0"/>
              <w:jc w:val="left"/>
              <w:rPr/>
            </w:pPr>
            <w:hyperlink w:anchor="a101transitionagreementsar.htm">
              <w:r>
                <w:rPr>
                  <w:rStyle w:val="InternetLink"/>
                  <w:rFonts w:ascii="Times New Roman;sans-serif" w:hAnsi="Times New Roman;sans-serif"/>
                  <w:b w:val="false"/>
                  <w:color w:val="000080"/>
                  <w:sz w:val="20"/>
                  <w:u w:val="single"/>
                </w:rPr>
                <w:t xml:space="preserve">Transition Agreement, dated </w:t>
              </w:r>
            </w:hyperlink>
            <w:hyperlink w:anchor="a101transitionagreementsar.htm">
              <w:r>
                <w:rPr>
                  <w:rStyle w:val="InternetLink"/>
                  <w:rFonts w:ascii="Times New Roman;sans-serif" w:hAnsi="Times New Roman;sans-serif"/>
                  <w:b w:val="false"/>
                  <w:color w:val="000080"/>
                  <w:sz w:val="20"/>
                  <w:u w:val="single"/>
                </w:rPr>
                <w:t>February 29, 2024</w:t>
              </w:r>
            </w:hyperlink>
            <w:hyperlink w:anchor="a101transitionagreementsar.htm">
              <w:r>
                <w:rPr>
                  <w:rStyle w:val="InternetLink"/>
                  <w:rFonts w:ascii="Times New Roman;sans-serif" w:hAnsi="Times New Roman;sans-serif"/>
                  <w:b w:val="false"/>
                  <w:color w:val="000080"/>
                  <w:sz w:val="20"/>
                  <w:u w:val="single"/>
                </w:rPr>
                <w:t>, by and between Nextdoor Holdings, Inc. and Sarah Friar</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10.2+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102offerletterniravtolia-.htm">
              <w:r>
                <w:rPr>
                  <w:rStyle w:val="InternetLink"/>
                  <w:rFonts w:ascii="Times New Roman;sans-serif" w:hAnsi="Times New Roman;sans-serif"/>
                  <w:b w:val="false"/>
                  <w:color w:val="0000FF"/>
                  <w:sz w:val="20"/>
                  <w:u w:val="single"/>
                </w:rPr>
                <w:t>Offer Letter, dated February 26, 2024, by and between Nextdoor Holdings, Inc. and Nirav Tolia</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1ceo302certification-q1.htm">
              <w:r>
                <w:rPr>
                  <w:rStyle w:val="InternetLink"/>
                  <w:rFonts w:ascii="Times New Roman;sans-serif" w:hAnsi="Times New Roman;sans-serif"/>
                  <w:b w:val="false"/>
                  <w:color w:val="0000FF"/>
                  <w:sz w:val="20"/>
                  <w:u w:val="single"/>
                </w:rPr>
                <w:t>Certification of Principal Executive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31.2*</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12cfo302certification-q1.htm">
              <w:r>
                <w:rPr>
                  <w:rStyle w:val="InternetLink"/>
                  <w:rFonts w:ascii="Times New Roman;sans-serif" w:hAnsi="Times New Roman;sans-serif"/>
                  <w:b w:val="false"/>
                  <w:color w:val="0000FF"/>
                  <w:sz w:val="20"/>
                  <w:u w:val="single"/>
                </w:rPr>
                <w:t>Certification of Principal Financial Officer pursuant to Rule 13a-14(a) and 15d-14(a) under the Exchange Act, as adopted pursuant to Section 302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32.1</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1ceo906certification-q1.htm">
              <w:r>
                <w:rPr>
                  <w:rStyle w:val="InternetLink"/>
                  <w:rFonts w:ascii="Times New Roman;sans-serif" w:hAnsi="Times New Roman;sans-serif"/>
                  <w:b w:val="false"/>
                  <w:color w:val="0000FF"/>
                  <w:sz w:val="20"/>
                  <w:u w:val="single"/>
                </w:rPr>
                <w:t>Certification of Principal Executive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0"/>
              <w:jc w:val="left"/>
              <w:rPr/>
            </w:pPr>
            <w:r>
              <w:rPr>
                <w:rFonts w:ascii="Times New Roman;sans-serif" w:hAnsi="Times New Roman;sans-serif"/>
                <w:b w:val="false"/>
                <w:color w:val="000000"/>
                <w:sz w:val="20"/>
              </w:rPr>
              <w:t>32.2</w:t>
            </w:r>
            <w:r>
              <w:rPr>
                <w:rFonts w:ascii="Times New Roman;sans-serif" w:hAnsi="Times New Roman;sans-serif"/>
                <w:b w:val="false"/>
                <w:color w:val="000000"/>
                <w:sz w:val="13"/>
              </w:rPr>
              <w: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322cfo906certification-q1.htm">
              <w:r>
                <w:rPr>
                  <w:rStyle w:val="InternetLink"/>
                  <w:rFonts w:ascii="Times New Roman;sans-serif" w:hAnsi="Times New Roman;sans-serif"/>
                  <w:b w:val="false"/>
                  <w:color w:val="0000FF"/>
                  <w:sz w:val="20"/>
                  <w:u w:val="single"/>
                </w:rPr>
                <w:t>Certification of Principal Financial Officer pursuant to 18 U.S.C. Section 1350 as adopted pursuant to Section 906 of the Sarbanes-Oxley Act of 2002</w:t>
              </w:r>
            </w:hyperlink>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101.INS*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Instance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101.SCH*</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Schema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101.CAL*</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Calculation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101.DEF*</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Definition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101.LAB*</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Label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101.PRE*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Inline XBRL Taxonomy Extension Presentation Linkbase Document.</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90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08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Cover Page Interactive Date File (formatted in iXBRL and contained in Exhibit 101)</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51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1"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5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_____________</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Indicates a management contract or compensatory plan, contract or arrangement.</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Filed herewith.</w:t>
      </w:r>
    </w:p>
    <w:p>
      <w:pPr>
        <w:pStyle w:val="TextBody"/>
        <w:bidi w:val="0"/>
        <w:spacing w:lineRule="auto" w:line="288" w:before="0" w:after="0"/>
        <w:ind w:left="0" w:right="0" w:hanging="360"/>
        <w:jc w:val="left"/>
        <w:rPr>
          <w:rFonts w:ascii="Times New Roman;sans-serif" w:hAnsi="Times New Roman;sans-serif"/>
          <w:b w:val="false"/>
          <w:color w:val="000000"/>
          <w:sz w:val="16"/>
        </w:rPr>
      </w:pPr>
      <w:r>
        <w:rPr>
          <w:rFonts w:ascii="Times New Roman;sans-serif" w:hAnsi="Times New Roman;sans-serif"/>
          <w:b w:val="false"/>
          <w:color w:val="000000"/>
          <w:sz w:val="16"/>
        </w:rPr>
        <w:t>#    This certification is deemed not filed for purpose of section 18 of the Exchange Act or otherwise subject to the liability of that section, nor shall it be deemed incorporated by reference into any filing under the Securities Act or the Exchange Act.</w:t>
      </w:r>
    </w:p>
    <w:p>
      <w:pPr>
        <w:pStyle w:val="TextBody"/>
        <w:bidi w:val="0"/>
        <w:spacing w:before="0" w:after="180"/>
        <w:jc w:val="both"/>
        <w:rPr/>
      </w:pPr>
      <w:r>
        <w:rPr/>
      </w:r>
    </w:p>
    <w:p>
      <w:pPr>
        <w:pStyle w:val="TextBody"/>
        <w:bidi w:val="0"/>
        <w:spacing w:before="0" w:after="180"/>
        <w:jc w:val="both"/>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73">
                <wp:simplePos x="0" y="0"/>
                <wp:positionH relativeFrom="character">
                  <wp:align>left</wp:align>
                </wp:positionH>
                <wp:positionV relativeFrom="line">
                  <wp:posOffset>635</wp:posOffset>
                </wp:positionV>
                <wp:extent cx="6480175" cy="146685"/>
                <wp:effectExtent l="0" t="0" r="0" b="0"/>
                <wp:wrapNone/>
                <wp:docPr id="71" name="Frame65"/>
                <a:graphic xmlns:a="http://schemas.openxmlformats.org/drawingml/2006/main">
                  <a:graphicData uri="http://schemas.microsoft.com/office/word/2010/wordprocessingShape">
                    <wps:wsp>
                      <wps:cNvSpPr txBox="1"/>
                      <wps:spPr>
                        <a:xfrm>
                          <a:off x="0" y="0"/>
                          <a:ext cx="6480175" cy="146685"/>
                        </a:xfrm>
                        <a:prstGeom prst="rect"/>
                        <a:solidFill>
                          <a:srgbClr val="FFFFFF"/>
                        </a:solidFill>
                      </wps:spPr>
                      <wps:txb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1.5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64</w:t>
                      </w:r>
                    </w:p>
                  </w:txbxContent>
                </v:textbox>
                <w10:wrap type="none"/>
              </v:rect>
            </w:pict>
          </mc:Fallback>
        </mc:AlternateContent>
      </w:r>
    </w:p>
    <w:p>
      <w:pPr>
        <w:pStyle w:val="TextBody"/>
        <w:bidi w:val="0"/>
        <w:spacing w:lineRule="auto" w:line="288" w:before="180" w:after="180"/>
        <w:jc w:val="center"/>
        <w:rPr>
          <w:rFonts w:ascii="Times New Roman;sans-serif" w:hAnsi="Times New Roman;sans-serif"/>
          <w:b/>
          <w:color w:val="000000"/>
          <w:sz w:val="20"/>
        </w:rPr>
      </w:pPr>
      <w:r>
        <w:rPr>
          <w:rFonts w:ascii="Times New Roman;sans-serif" w:hAnsi="Times New Roman;sans-serif"/>
          <w:b/>
          <w:color w:val="000000"/>
          <w:sz w:val="20"/>
        </w:rPr>
        <w:t>SIGNATURES</w:t>
      </w:r>
    </w:p>
    <w:p>
      <w:pPr>
        <w:pStyle w:val="TextBody"/>
        <w:bidi w:val="0"/>
        <w:spacing w:lineRule="auto" w:line="288" w:before="0" w:after="180"/>
        <w:jc w:val="both"/>
        <w:rPr>
          <w:rFonts w:ascii="Times New Roman;sans-serif" w:hAnsi="Times New Roman;sans-serif"/>
          <w:b w:val="false"/>
          <w:color w:val="000000"/>
          <w:sz w:val="20"/>
        </w:rPr>
      </w:pPr>
      <w:r>
        <w:rPr>
          <w:rFonts w:ascii="Times New Roman;sans-serif" w:hAnsi="Times New Roman;sans-serif"/>
          <w:b w:val="false"/>
          <w:color w:val="000000"/>
          <w:sz w:val="20"/>
        </w:rPr>
        <w:t>Pursuant to the requirements of the Securities Exchange Act of 1934, as amended, the Registrant has duly caused this Quarterly Report on Form 10-Q to be signed on its behalf by the undersigned thereunto duly authorized.</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Date: May 7, 2024</w:t>
      </w:r>
    </w:p>
    <w:tbl>
      <w:tblPr>
        <w:tblW w:w="4562" w:type="dxa"/>
        <w:jc w:val="right"/>
        <w:tblInd w:w="0" w:type="dxa"/>
        <w:tblLayout w:type="fixed"/>
        <w:tblCellMar>
          <w:top w:w="28" w:type="dxa"/>
          <w:left w:w="28" w:type="dxa"/>
          <w:bottom w:w="28" w:type="dxa"/>
          <w:right w:w="28" w:type="dxa"/>
        </w:tblCellMar>
      </w:tblPr>
      <w:tblGrid>
        <w:gridCol w:w="491"/>
        <w:gridCol w:w="431"/>
        <w:gridCol w:w="431"/>
        <w:gridCol w:w="933"/>
        <w:gridCol w:w="933"/>
        <w:gridCol w:w="1343"/>
      </w:tblGrid>
      <w:tr>
        <w:trPr/>
        <w:tc>
          <w:tcPr>
            <w:tcW w:w="49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431"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933" w:type="dxa"/>
            <w:tcBorders/>
            <w:vAlign w:val="center"/>
          </w:tcPr>
          <w:p>
            <w:pPr>
              <w:pStyle w:val="TableContents"/>
              <w:bidi w:val="0"/>
              <w:spacing w:before="0" w:after="283"/>
              <w:jc w:val="left"/>
              <w:rPr>
                <w:sz w:val="4"/>
                <w:szCs w:val="4"/>
              </w:rPr>
            </w:pPr>
            <w:r>
              <w:rPr>
                <w:sz w:val="4"/>
                <w:szCs w:val="4"/>
              </w:rPr>
            </w:r>
          </w:p>
        </w:tc>
        <w:tc>
          <w:tcPr>
            <w:tcW w:w="1343" w:type="dxa"/>
            <w:tcBorders/>
            <w:vAlign w:val="center"/>
          </w:tcPr>
          <w:p>
            <w:pPr>
              <w:pStyle w:val="TableContents"/>
              <w:bidi w:val="0"/>
              <w:spacing w:before="0" w:after="283"/>
              <w:jc w:val="left"/>
              <w:rPr>
                <w:sz w:val="4"/>
                <w:szCs w:val="4"/>
              </w:rPr>
            </w:pPr>
            <w:r>
              <w:rPr>
                <w:sz w:val="4"/>
                <w:szCs w:val="4"/>
              </w:rPr>
            </w:r>
          </w:p>
        </w:tc>
      </w:tr>
      <w:tr>
        <w:trPr/>
        <w:tc>
          <w:tcPr>
            <w:tcW w:w="4562"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NEXTDOOR HOLDINGS, INC.</w:t>
            </w:r>
          </w:p>
        </w:tc>
      </w:tr>
      <w:tr>
        <w:trPr/>
        <w:tc>
          <w:tcPr>
            <w:tcW w:w="135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0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 Sarah Friar</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209"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Friar</w:t>
            </w:r>
          </w:p>
        </w:tc>
      </w:tr>
      <w:tr>
        <w:trPr/>
        <w:tc>
          <w:tcPr>
            <w:tcW w:w="135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209"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and President</w:t>
            </w:r>
          </w:p>
          <w:p>
            <w:pPr>
              <w:pStyle w:val="TableContents"/>
              <w:bidi w:val="0"/>
              <w:spacing w:lineRule="auto" w:line="240"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Executive Officer</w:t>
            </w:r>
            <w:r>
              <w:rPr>
                <w:rFonts w:ascii="Times New Roman;sans-serif" w:hAnsi="Times New Roman;sans-serif"/>
                <w:b w:val="false"/>
                <w:color w:val="000000"/>
                <w:sz w:val="20"/>
              </w:rPr>
              <w:t>)</w:t>
            </w:r>
          </w:p>
        </w:tc>
      </w:tr>
    </w:tbl>
    <w:tbl>
      <w:tblPr>
        <w:tblW w:w="4515" w:type="dxa"/>
        <w:jc w:val="right"/>
        <w:tblInd w:w="0" w:type="dxa"/>
        <w:tblLayout w:type="fixed"/>
        <w:tblCellMar>
          <w:top w:w="28" w:type="dxa"/>
          <w:left w:w="28" w:type="dxa"/>
          <w:bottom w:w="28" w:type="dxa"/>
          <w:right w:w="28" w:type="dxa"/>
        </w:tblCellMar>
      </w:tblPr>
      <w:tblGrid>
        <w:gridCol w:w="232"/>
        <w:gridCol w:w="205"/>
        <w:gridCol w:w="208"/>
        <w:gridCol w:w="1131"/>
        <w:gridCol w:w="1131"/>
        <w:gridCol w:w="1608"/>
      </w:tblGrid>
      <w:tr>
        <w:trPr/>
        <w:tc>
          <w:tcPr>
            <w:tcW w:w="232"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8"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131" w:type="dxa"/>
            <w:tcBorders/>
            <w:vAlign w:val="center"/>
          </w:tcPr>
          <w:p>
            <w:pPr>
              <w:pStyle w:val="TableContents"/>
              <w:bidi w:val="0"/>
              <w:spacing w:before="0" w:after="283"/>
              <w:jc w:val="left"/>
              <w:rPr>
                <w:sz w:val="4"/>
                <w:szCs w:val="4"/>
              </w:rPr>
            </w:pPr>
            <w:r>
              <w:rPr>
                <w:sz w:val="4"/>
                <w:szCs w:val="4"/>
              </w:rPr>
            </w:r>
          </w:p>
        </w:tc>
        <w:tc>
          <w:tcPr>
            <w:tcW w:w="1608" w:type="dxa"/>
            <w:tcBorders/>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87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38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/s/ Matt Anderson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Name:</w:t>
            </w:r>
          </w:p>
        </w:tc>
        <w:tc>
          <w:tcPr>
            <w:tcW w:w="3870"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Matt Anderson</w:t>
            </w:r>
          </w:p>
        </w:tc>
      </w:tr>
      <w:tr>
        <w:trPr/>
        <w:tc>
          <w:tcPr>
            <w:tcW w:w="6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Title:</w:t>
            </w:r>
          </w:p>
        </w:tc>
        <w:tc>
          <w:tcPr>
            <w:tcW w:w="3870" w:type="dxa"/>
            <w:gridSpan w:val="3"/>
            <w:tcBorders/>
            <w:tcMar>
              <w:top w:w="0" w:type="dxa"/>
              <w:left w:w="0" w:type="dxa"/>
              <w:bottom w:w="0" w:type="dxa"/>
              <w:right w:w="0" w:type="dxa"/>
            </w:tcMar>
            <w:vAlign w:val="center"/>
          </w:tcPr>
          <w:p>
            <w:pPr>
              <w:pStyle w:val="TableContents"/>
              <w:bidi w:val="0"/>
              <w:spacing w:lineRule="auto" w:line="26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Chief Financial Officer and Treasurer </w:t>
            </w:r>
          </w:p>
          <w:p>
            <w:pPr>
              <w:pStyle w:val="TableContents"/>
              <w:bidi w:val="0"/>
              <w:spacing w:lineRule="auto" w:line="268" w:before="0" w:after="0"/>
              <w:jc w:val="left"/>
              <w:rPr/>
            </w:pPr>
            <w:r>
              <w:rPr>
                <w:rFonts w:ascii="Times New Roman;sans-serif" w:hAnsi="Times New Roman;sans-serif"/>
                <w:b w:val="false"/>
                <w:color w:val="000000"/>
                <w:sz w:val="20"/>
              </w:rPr>
              <w:t>(</w:t>
            </w:r>
            <w:r>
              <w:rPr>
                <w:rFonts w:ascii="Times New Roman;sans-serif" w:hAnsi="Times New Roman;sans-serif"/>
                <w:b w:val="false"/>
                <w:i/>
                <w:color w:val="000000"/>
                <w:sz w:val="20"/>
              </w:rPr>
              <w:t>Principal Financial and Accounting Officer</w:t>
            </w:r>
            <w:r>
              <w:rPr>
                <w:rFonts w:ascii="Times New Roman;sans-serif" w:hAnsi="Times New Roman;sans-serif"/>
                <w:b w:val="false"/>
                <w:color w:val="000000"/>
                <w:sz w:val="20"/>
              </w:rPr>
              <w:t>)</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2"/>
        <w:jc w:val="right"/>
        <w:rPr/>
      </w:pPr>
      <w:r>
        <w:rPr/>
      </w:r>
    </w:p>
    <w:p>
      <w:pPr>
        <w:pStyle w:val="TextBody"/>
        <w:bidi w:val="0"/>
        <w:spacing w:before="0" w:after="0"/>
        <w:ind w:left="0" w:right="0" w:hanging="2"/>
        <w:jc w:val="center"/>
        <w:rPr/>
      </w:pPr>
      <w:r>
        <w:rPr/>
        <w:drawing>
          <wp:inline distT="0" distB="0" distL="0" distR="0">
            <wp:extent cx="2343150" cy="419100"/>
            <wp:effectExtent l="0" t="0" r="0" b="0"/>
            <wp:docPr id="72"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 name="Image7" descr=""/>
                    <pic:cNvPicPr>
                      <a:picLocks noChangeAspect="1" noChangeArrowheads="1"/>
                    </pic:cNvPicPr>
                  </pic:nvPicPr>
                  <pic:blipFill>
                    <a:blip r:embed="rId8"/>
                    <a:stretch>
                      <a:fillRect/>
                    </a:stretch>
                  </pic:blipFill>
                  <pic:spPr bwMode="auto">
                    <a:xfrm>
                      <a:off x="0" y="0"/>
                      <a:ext cx="2343150" cy="419100"/>
                    </a:xfrm>
                    <a:prstGeom prst="rect">
                      <a:avLst/>
                    </a:prstGeom>
                  </pic:spPr>
                </pic:pic>
              </a:graphicData>
            </a:graphic>
          </wp:inline>
        </w:drawing>
      </w:r>
    </w:p>
    <w:p>
      <w:pPr>
        <w:pStyle w:val="TextBody"/>
        <w:bidi w:val="0"/>
        <w:spacing w:before="0" w:after="0"/>
        <w:ind w:left="0" w:right="0" w:hanging="2"/>
        <w:jc w:val="left"/>
        <w:rPr/>
      </w:pPr>
      <w:r>
        <w:rPr/>
      </w:r>
    </w:p>
    <w:p>
      <w:pPr>
        <w:pStyle w:val="TextBody"/>
        <w:bidi w:val="0"/>
        <w:spacing w:before="0" w:after="0"/>
        <w:ind w:left="0" w:right="0" w:hanging="2"/>
        <w:jc w:val="center"/>
        <w:rPr/>
      </w:pPr>
      <w:r>
        <w:rPr/>
      </w:r>
    </w:p>
    <w:p>
      <w:pPr>
        <w:pStyle w:val="TextBody"/>
        <w:bidi w:val="0"/>
        <w:spacing w:lineRule="auto" w:line="288" w:before="0" w:after="0"/>
        <w:ind w:left="0" w:right="0" w:hanging="2"/>
        <w:jc w:val="center"/>
        <w:rPr>
          <w:rFonts w:ascii="Times New Roman;sans-serif" w:hAnsi="Times New Roman;sans-serif"/>
          <w:b w:val="false"/>
          <w:color w:val="000000"/>
          <w:sz w:val="24"/>
        </w:rPr>
      </w:pPr>
      <w:r>
        <w:rPr>
          <w:rFonts w:ascii="Times New Roman;sans-serif" w:hAnsi="Times New Roman;sans-serif"/>
          <w:b w:val="false"/>
          <w:color w:val="000000"/>
          <w:sz w:val="24"/>
        </w:rPr>
        <w:t>February 29, 2024</w:t>
      </w:r>
    </w:p>
    <w:p>
      <w:pPr>
        <w:pStyle w:val="TextBody"/>
        <w:bidi w:val="0"/>
        <w:spacing w:before="0" w:after="0"/>
        <w:ind w:left="0" w:right="0" w:hanging="2"/>
        <w:jc w:val="left"/>
        <w:rPr/>
      </w:pPr>
      <w:r>
        <w:rPr/>
      </w:r>
    </w:p>
    <w:p>
      <w:pPr>
        <w:pStyle w:val="TextBody"/>
        <w:bidi w:val="0"/>
        <w:spacing w:before="0" w:after="0"/>
        <w:ind w:left="0" w:right="0" w:hanging="2"/>
        <w:jc w:val="right"/>
        <w:rPr/>
      </w:pPr>
      <w:r>
        <w:rPr/>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Sarah Friar</w:t>
      </w:r>
    </w:p>
    <w:p>
      <w:pPr>
        <w:pStyle w:val="TextBody"/>
        <w:bidi w:val="0"/>
        <w:spacing w:before="0" w:after="0"/>
        <w:ind w:left="0" w:right="0" w:hanging="2"/>
        <w:jc w:val="left"/>
        <w:rPr/>
      </w:pPr>
      <w:r>
        <w:rPr/>
      </w:r>
    </w:p>
    <w:p>
      <w:pPr>
        <w:pStyle w:val="TextBody"/>
        <w:bidi w:val="0"/>
        <w:spacing w:lineRule="auto" w:line="288" w:before="0" w:after="240"/>
        <w:ind w:left="0" w:right="0" w:hanging="2"/>
        <w:jc w:val="left"/>
        <w:rPr>
          <w:rFonts w:ascii="Times New Roman;sans-serif" w:hAnsi="Times New Roman;sans-serif"/>
          <w:b/>
          <w:i/>
          <w:color w:val="000000"/>
          <w:sz w:val="24"/>
        </w:rPr>
      </w:pPr>
      <w:r>
        <w:rPr>
          <w:rFonts w:ascii="Times New Roman;sans-serif" w:hAnsi="Times New Roman;sans-serif"/>
          <w:b/>
          <w:i/>
          <w:color w:val="000000"/>
          <w:sz w:val="24"/>
        </w:rPr>
        <w:t>Via Email</w:t>
      </w:r>
    </w:p>
    <w:p>
      <w:pPr>
        <w:pStyle w:val="TextBody"/>
        <w:bidi w:val="0"/>
        <w:spacing w:lineRule="auto" w:line="288" w:before="0" w:after="240"/>
        <w:ind w:left="0" w:right="0" w:hanging="2"/>
        <w:jc w:val="left"/>
        <w:rPr/>
      </w:pPr>
      <w:r>
        <w:rPr>
          <w:rFonts w:ascii="Times New Roman;sans-serif" w:hAnsi="Times New Roman;sans-serif"/>
          <w:b w:val="false"/>
          <w:color w:val="000000"/>
          <w:sz w:val="24"/>
        </w:rPr>
        <w:t>Re:    </w:t>
      </w:r>
      <w:r>
        <w:rPr>
          <w:rFonts w:ascii="Times New Roman;sans-serif" w:hAnsi="Times New Roman;sans-serif"/>
          <w:b w:val="false"/>
          <w:color w:val="000000"/>
          <w:sz w:val="24"/>
          <w:u w:val="single"/>
        </w:rPr>
        <w:t xml:space="preserve">Terms of Transition </w:t>
      </w:r>
    </w:p>
    <w:p>
      <w:pPr>
        <w:pStyle w:val="TextBody"/>
        <w:bidi w:val="0"/>
        <w:spacing w:lineRule="auto" w:line="288" w:before="0" w:after="24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Dear Sarah:</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This letter confirms the agreement (“</w:t>
      </w:r>
      <w:r>
        <w:rPr>
          <w:rFonts w:ascii="Times New Roman;sans-serif" w:hAnsi="Times New Roman;sans-serif"/>
          <w:b/>
          <w:i/>
          <w:color w:val="000000"/>
          <w:sz w:val="24"/>
        </w:rPr>
        <w:t>Agreement</w:t>
      </w:r>
      <w:r>
        <w:rPr>
          <w:color w:val="000000"/>
        </w:rPr>
        <w:t>”</w:t>
      </w:r>
      <w:r>
        <w:rPr>
          <w:rFonts w:ascii="Times New Roman;sans-serif" w:hAnsi="Times New Roman;sans-serif"/>
          <w:b w:val="false"/>
          <w:color w:val="000000"/>
          <w:sz w:val="24"/>
        </w:rPr>
        <w:t>) between you and Nextdoor, Inc. (together with its parent,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xml:space="preserve">) concerning the terms of your transition and resignation from employment and offers you the separation compensation we discussed in exchange for a general release of claims and covenant not to sue now and upon the Resignation Date (as defined below) as provided herein. If you agree to the terms outlined herein, please sign and return this Agreement in the timeframe outlined below. </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1.</w:t>
      </w:r>
      <w:r>
        <w:rPr>
          <w:rFonts w:ascii="Times New Roman;sans-serif" w:hAnsi="Times New Roman;sans-serif"/>
          <w:b w:val="false"/>
          <w:color w:val="000000"/>
          <w:sz w:val="24"/>
          <w:u w:val="single"/>
        </w:rPr>
        <w:t>Position Resignation:</w:t>
      </w:r>
      <w:r>
        <w:rPr>
          <w:color w:val="000000"/>
        </w:rPr>
        <w:t xml:space="preserve"> </w:t>
      </w:r>
      <w:r>
        <w:rPr>
          <w:rFonts w:ascii="Times New Roman;sans-serif" w:hAnsi="Times New Roman;sans-serif"/>
          <w:b w:val="false"/>
          <w:color w:val="000000"/>
          <w:sz w:val="24"/>
        </w:rPr>
        <w:t>You hereby resign from your position as the Chief Executive Officer and President of the Company and as a member of the Company’s Board of Directors (the “</w:t>
      </w:r>
      <w:r>
        <w:rPr>
          <w:rFonts w:ascii="Times New Roman;sans-serif" w:hAnsi="Times New Roman;sans-serif"/>
          <w:b/>
          <w:i/>
          <w:color w:val="000000"/>
          <w:sz w:val="24"/>
        </w:rPr>
        <w:t>Board</w:t>
      </w:r>
      <w:r>
        <w:rPr>
          <w:color w:val="000000"/>
        </w:rPr>
        <w:t>”</w:t>
      </w:r>
      <w:r>
        <w:rPr>
          <w:rFonts w:ascii="Times New Roman;sans-serif" w:hAnsi="Times New Roman;sans-serif"/>
          <w:b w:val="false"/>
          <w:color w:val="000000"/>
          <w:sz w:val="24"/>
        </w:rPr>
        <w:t>), to be effective on May 8, 2024 (the “</w:t>
      </w:r>
      <w:r>
        <w:rPr>
          <w:rFonts w:ascii="Times New Roman;sans-serif" w:hAnsi="Times New Roman;sans-serif"/>
          <w:b/>
          <w:i/>
          <w:color w:val="000000"/>
          <w:sz w:val="24"/>
        </w:rPr>
        <w:t>Resignation Date</w:t>
      </w:r>
      <w:r>
        <w:rPr>
          <w:color w:val="000000"/>
        </w:rPr>
        <w:t>”</w:t>
      </w:r>
      <w:r>
        <w:rPr>
          <w:rFonts w:ascii="Times New Roman;sans-serif" w:hAnsi="Times New Roman;sans-serif"/>
          <w:b w:val="false"/>
          <w:color w:val="000000"/>
          <w:sz w:val="24"/>
        </w:rPr>
        <w:t xml:space="preserve">). You will resign from any other positions you have as an officer or director of the Company or any of its subsidiaries effective as of the Resignation Date. </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2.</w:t>
      </w:r>
      <w:r>
        <w:rPr>
          <w:rFonts w:ascii="Times New Roman;sans-serif" w:hAnsi="Times New Roman;sans-serif"/>
          <w:b w:val="false"/>
          <w:color w:val="000000"/>
          <w:sz w:val="24"/>
          <w:u w:val="single"/>
        </w:rPr>
        <w:t>Resignation from Employment; Transitional Employment Opportunity</w:t>
      </w:r>
      <w:r>
        <w:rPr>
          <w:rFonts w:ascii="Times New Roman;sans-serif" w:hAnsi="Times New Roman;sans-serif"/>
          <w:b w:val="false"/>
          <w:color w:val="000000"/>
          <w:sz w:val="24"/>
        </w:rPr>
        <w:t>: In exchange for your agreement to the general release and waiver of claims and covenant not to sue set forth below and your other promises herein, the Company agrees to continue your employment on the following terms:</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a.</w:t>
      </w:r>
      <w:r>
        <w:rPr>
          <w:rFonts w:ascii="Times New Roman;sans-serif" w:hAnsi="Times New Roman;sans-serif"/>
          <w:b w:val="false"/>
          <w:color w:val="000000"/>
          <w:sz w:val="24"/>
          <w:u w:val="single"/>
        </w:rPr>
        <w:t>Transition Period and Services</w:t>
      </w:r>
      <w:r>
        <w:rPr>
          <w:rFonts w:ascii="Times New Roman;sans-serif" w:hAnsi="Times New Roman;sans-serif"/>
          <w:b w:val="false"/>
          <w:color w:val="000000"/>
          <w:sz w:val="24"/>
        </w:rPr>
        <w:t>: Your last day of employment with the Company will be the Resignation Date. Between now and the Resignation Date (the “</w:t>
      </w:r>
      <w:r>
        <w:rPr>
          <w:rFonts w:ascii="Times New Roman;sans-serif" w:hAnsi="Times New Roman;sans-serif"/>
          <w:b/>
          <w:i/>
          <w:color w:val="000000"/>
          <w:sz w:val="24"/>
        </w:rPr>
        <w:t>Transition Period</w:t>
      </w:r>
      <w:r>
        <w:rPr>
          <w:color w:val="000000"/>
        </w:rPr>
        <w:t>”</w:t>
      </w:r>
      <w:r>
        <w:rPr>
          <w:rFonts w:ascii="Times New Roman;sans-serif" w:hAnsi="Times New Roman;sans-serif"/>
          <w:b w:val="false"/>
          <w:color w:val="000000"/>
          <w:sz w:val="24"/>
        </w:rPr>
        <w:t>), you agree to continue to carry out your duties and responsibilities as the Chief Executive Officer and President of the Company (the “</w:t>
      </w:r>
      <w:r>
        <w:rPr>
          <w:rFonts w:ascii="Times New Roman;sans-serif" w:hAnsi="Times New Roman;sans-serif"/>
          <w:b/>
          <w:i/>
          <w:color w:val="000000"/>
          <w:sz w:val="24"/>
        </w:rPr>
        <w:t>Transition Services</w:t>
      </w:r>
      <w:r>
        <w:rPr>
          <w:color w:val="000000"/>
        </w:rPr>
        <w:t>”</w:t>
      </w:r>
      <w:r>
        <w:rPr>
          <w:rFonts w:ascii="Times New Roman;sans-serif" w:hAnsi="Times New Roman;sans-serif"/>
          <w:b w:val="false"/>
          <w:color w:val="000000"/>
          <w:sz w:val="24"/>
        </w:rPr>
        <w:t xml:space="preserve">). </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b.</w:t>
      </w:r>
      <w:r>
        <w:rPr>
          <w:rFonts w:ascii="Times New Roman;sans-serif" w:hAnsi="Times New Roman;sans-serif"/>
          <w:b w:val="false"/>
          <w:color w:val="000000"/>
          <w:sz w:val="24"/>
          <w:u w:val="single"/>
        </w:rPr>
        <w:t>Compensation and Benefits</w:t>
      </w:r>
      <w:r>
        <w:rPr>
          <w:rFonts w:ascii="Times New Roman;sans-serif" w:hAnsi="Times New Roman;sans-serif"/>
          <w:b w:val="false"/>
          <w:color w:val="000000"/>
          <w:sz w:val="24"/>
        </w:rPr>
        <w:t xml:space="preserve">: During the Transition Period, the Company will continue to pay you your current compensation, and you will continue to be eligible to participate in the benefits customarily afforded to other Company employees, including participation in the Company-sponsored health benefits plan and continued vesting of Company equity awards, to the fullest extent permitted under the governing plan documents, agreements, and/or Company policies. </w: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Sarah Friar</w:t>
      </w:r>
      <w:r>
        <mc:AlternateContent>
          <mc:Choice Requires="wps">
            <w:drawing>
              <wp:anchor behindDoc="0" distT="0" distB="0" distL="0" distR="0" simplePos="0" locked="0" layoutInCell="1" allowOverlap="1" relativeHeight="74">
                <wp:simplePos x="0" y="0"/>
                <wp:positionH relativeFrom="character">
                  <wp:align>left</wp:align>
                </wp:positionH>
                <wp:positionV relativeFrom="line">
                  <wp:posOffset>635</wp:posOffset>
                </wp:positionV>
                <wp:extent cx="6480175" cy="175260"/>
                <wp:effectExtent l="0" t="0" r="0" b="0"/>
                <wp:wrapNone/>
                <wp:docPr id="73" name="Frame6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2</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88" w:before="0" w:after="240"/>
        <w:ind w:left="0" w:right="0" w:hanging="2"/>
        <w:jc w:val="both"/>
        <w:rPr/>
      </w:pPr>
      <w:r>
        <w:rPr>
          <w:rFonts w:ascii="Times New Roman;sans-serif" w:hAnsi="Times New Roman;sans-serif"/>
          <w:b w:val="false"/>
          <w:color w:val="010000"/>
          <w:sz w:val="24"/>
        </w:rPr>
        <w:t>c.</w:t>
      </w:r>
      <w:r>
        <w:rPr>
          <w:rFonts w:ascii="Times New Roman;sans-serif" w:hAnsi="Times New Roman;sans-serif"/>
          <w:b w:val="false"/>
          <w:color w:val="000000"/>
          <w:sz w:val="24"/>
          <w:u w:val="single"/>
        </w:rPr>
        <w:t>Separation Compensation</w:t>
      </w:r>
      <w:r>
        <w:rPr>
          <w:rFonts w:ascii="Times New Roman;sans-serif" w:hAnsi="Times New Roman;sans-serif"/>
          <w:b w:val="false"/>
          <w:color w:val="000000"/>
          <w:sz w:val="24"/>
        </w:rPr>
        <w:t xml:space="preserve">: Provided that you cooperatively and diligently carry out the Transition Services, as reasonably determined by the Company, then, in exchange for your agreement to the general release and waiver of claims and covenant not to sue set forth in </w:t>
      </w:r>
      <w:r>
        <w:rPr>
          <w:rFonts w:ascii="Times New Roman;sans-serif" w:hAnsi="Times New Roman;sans-serif"/>
          <w:b w:val="false"/>
          <w:color w:val="000000"/>
          <w:sz w:val="24"/>
          <w:u w:val="single"/>
        </w:rPr>
        <w:t>Exhibit A</w:t>
      </w:r>
      <w:r>
        <w:rPr>
          <w:color w:val="000000"/>
        </w:rPr>
        <w:t xml:space="preserve"> </w:t>
      </w:r>
      <w:r>
        <w:rPr>
          <w:rFonts w:ascii="Times New Roman;sans-serif" w:hAnsi="Times New Roman;sans-serif"/>
          <w:b w:val="false"/>
          <w:color w:val="000000"/>
          <w:sz w:val="24"/>
        </w:rPr>
        <w:t>(the “</w:t>
      </w:r>
      <w:r>
        <w:rPr>
          <w:rFonts w:ascii="Times New Roman;sans-serif" w:hAnsi="Times New Roman;sans-serif"/>
          <w:b/>
          <w:i/>
          <w:color w:val="000000"/>
          <w:sz w:val="24"/>
        </w:rPr>
        <w:t>Second Release</w:t>
      </w:r>
      <w:r>
        <w:rPr>
          <w:color w:val="000000"/>
        </w:rPr>
        <w:t>”</w:t>
      </w:r>
      <w:r>
        <w:rPr>
          <w:rFonts w:ascii="Times New Roman;sans-serif" w:hAnsi="Times New Roman;sans-serif"/>
          <w:b w:val="false"/>
          <w:color w:val="000000"/>
          <w:sz w:val="24"/>
        </w:rPr>
        <w:t>), to be signed no earlier than the Resignation Date, and your other promises herein, the Company agrees as follows:</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w:t>
      </w:r>
      <w:r>
        <w:rPr>
          <w:rFonts w:ascii="Times New Roman;sans-serif" w:hAnsi="Times New Roman;sans-serif"/>
          <w:b w:val="false"/>
          <w:color w:val="000000"/>
          <w:sz w:val="24"/>
          <w:u w:val="single"/>
        </w:rPr>
        <w:t>Severance</w:t>
      </w:r>
      <w:r>
        <w:rPr>
          <w:rFonts w:ascii="Times New Roman;sans-serif" w:hAnsi="Times New Roman;sans-serif"/>
          <w:b w:val="false"/>
          <w:color w:val="000000"/>
          <w:sz w:val="24"/>
        </w:rPr>
        <w:t xml:space="preserve">: The Company agrees to pay you, within ten (10) business days following the effectiveness of the Second Release (as provided therein), a lump sum payment in the gross amount of $237,500, less applicable state and federal payroll deductions, which equals six (6) months of your current base salary. </w:t>
      </w:r>
    </w:p>
    <w:p>
      <w:pPr>
        <w:pStyle w:val="TextBody"/>
        <w:bidi w:val="0"/>
        <w:spacing w:lineRule="auto" w:line="288" w:before="0" w:after="240"/>
        <w:ind w:left="0" w:right="0" w:firstLine="1440"/>
        <w:jc w:val="both"/>
        <w:rPr/>
      </w:pPr>
      <w:r>
        <w:rPr>
          <w:rFonts w:ascii="Times New Roman;sans-serif" w:hAnsi="Times New Roman;sans-serif"/>
          <w:b w:val="false"/>
          <w:color w:val="010000"/>
          <w:sz w:val="24"/>
        </w:rPr>
        <w:t>ii.</w:t>
      </w:r>
      <w:r>
        <w:rPr>
          <w:rFonts w:ascii="Times New Roman;sans-serif" w:hAnsi="Times New Roman;sans-serif"/>
          <w:b w:val="false"/>
          <w:color w:val="000000"/>
          <w:sz w:val="24"/>
          <w:u w:val="single"/>
        </w:rPr>
        <w:t>COBRA</w:t>
      </w:r>
      <w:r>
        <w:rPr>
          <w:rFonts w:ascii="Times New Roman;sans-serif" w:hAnsi="Times New Roman;sans-serif"/>
          <w:b w:val="false"/>
          <w:color w:val="000000"/>
          <w:sz w:val="24"/>
        </w:rPr>
        <w:t>: Upon your timely election to continue your existing health benefits under the Consolidated Omnibus Budget Reconciliation Act (“</w:t>
      </w:r>
      <w:r>
        <w:rPr>
          <w:rFonts w:ascii="Times New Roman;sans-serif" w:hAnsi="Times New Roman;sans-serif"/>
          <w:b/>
          <w:i/>
          <w:color w:val="000000"/>
          <w:sz w:val="24"/>
        </w:rPr>
        <w:t>COBRA</w:t>
      </w:r>
      <w:r>
        <w:rPr>
          <w:color w:val="000000"/>
        </w:rPr>
        <w:t>”</w:t>
      </w:r>
      <w:r>
        <w:rPr>
          <w:rFonts w:ascii="Times New Roman;sans-serif" w:hAnsi="Times New Roman;sans-serif"/>
          <w:b w:val="false"/>
          <w:color w:val="000000"/>
          <w:sz w:val="24"/>
        </w:rPr>
        <w:t xml:space="preserve">), and consistent with the terms of COBRA and the Company’s health, dental and vision plans, the Company will pay the full amount of your COBRA premiums to continue your existing health, dental, and vision benefits, including coverage for your eligible dependents, for twelve (12) months following the Resignation Date, or until you become eligible to be covered under another substantially equivalent medical insurance plan by a subsequent employer. </w:t>
      </w:r>
    </w:p>
    <w:p>
      <w:pPr>
        <w:pStyle w:val="TextBody"/>
        <w:bidi w:val="0"/>
        <w:spacing w:lineRule="auto" w:line="288" w:before="0" w:after="240"/>
        <w:ind w:left="0" w:right="0" w:hanging="2"/>
        <w:jc w:val="both"/>
        <w:rPr>
          <w:rFonts w:ascii="Times New Roman;sans-serif" w:hAnsi="Times New Roman;sans-serif"/>
          <w:b w:val="false"/>
          <w:color w:val="000000"/>
          <w:sz w:val="24"/>
        </w:rPr>
      </w:pPr>
      <w:r>
        <w:rPr>
          <w:rFonts w:ascii="Times New Roman;sans-serif" w:hAnsi="Times New Roman;sans-serif"/>
          <w:b w:val="false"/>
          <w:color w:val="000000"/>
          <w:sz w:val="24"/>
        </w:rPr>
        <w:t>By signing below, you acknowledge that you will receive the separation compensation outlined in this section in consideration for waiving your rights to claims referred to in this Agreement (and the Second Release, if applicable) and that you would not otherwise be entitled to the separation compensation.</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3.</w:t>
      </w:r>
      <w:r>
        <w:rPr>
          <w:rFonts w:ascii="Times New Roman;sans-serif" w:hAnsi="Times New Roman;sans-serif"/>
          <w:b w:val="false"/>
          <w:color w:val="000000"/>
          <w:sz w:val="24"/>
          <w:u w:val="single"/>
        </w:rPr>
        <w:t>Return of Company Property</w:t>
      </w:r>
      <w:r>
        <w:rPr>
          <w:rFonts w:ascii="Times New Roman;sans-serif" w:hAnsi="Times New Roman;sans-serif"/>
          <w:b w:val="false"/>
          <w:color w:val="000000"/>
          <w:sz w:val="24"/>
        </w:rPr>
        <w:t>: You hereby warrant to the Company that, no later than the Resignation Date, you will return to the Company all property or data of the Company of any type whatsoever that has been in your possession or control; provided, however, you will be permitted to retain your Company-issued computer after such device has been wiped by the Company, provided, that, the Company shall make a good faith effort, and to the extent commercially practicable, to only delete any Company-related information from such device.</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4.</w:t>
      </w:r>
      <w:r>
        <w:rPr>
          <w:rFonts w:ascii="Times New Roman;sans-serif" w:hAnsi="Times New Roman;sans-serif"/>
          <w:b w:val="false"/>
          <w:color w:val="000000"/>
          <w:sz w:val="24"/>
          <w:u w:val="single"/>
        </w:rPr>
        <w:t>Post-Employment Obligations</w:t>
      </w:r>
      <w:r>
        <w:rPr>
          <w:rFonts w:ascii="Times New Roman;sans-serif" w:hAnsi="Times New Roman;sans-serif"/>
          <w:b w:val="false"/>
          <w:color w:val="000000"/>
          <w:sz w:val="24"/>
        </w:rPr>
        <w:t xml:space="preserve">: You hereby acknowledge that: (a) you continue to be bound by the Employee Invention Assignment and Confidentiality Agreement, attached as </w:t>
      </w:r>
      <w:r>
        <w:rPr>
          <w:rFonts w:ascii="Times New Roman;sans-serif" w:hAnsi="Times New Roman;sans-serif"/>
          <w:b w:val="false"/>
          <w:color w:val="000000"/>
          <w:sz w:val="24"/>
          <w:u w:val="single"/>
        </w:rPr>
        <w:t>Exhibit B</w:t>
      </w:r>
      <w:r>
        <w:rPr>
          <w:color w:val="000000"/>
        </w:rPr>
        <w:t xml:space="preserve"> </w:t>
      </w:r>
      <w:r>
        <w:rPr>
          <w:rFonts w:ascii="Times New Roman;sans-serif" w:hAnsi="Times New Roman;sans-serif"/>
          <w:b w:val="false"/>
          <w:color w:val="000000"/>
          <w:sz w:val="24"/>
        </w:rPr>
        <w:t>hereto; (b) as a result of your employment with the Company, you have had access to the Company’s proprietary and/or confidential information, and you will continue to hold all such information in strictest confidence and not make use of it on behalf of anyone; and (c) you must, and by your signature below confirm that you shall, deliver to the Company, no later than the Resignation Date, all documents and data of any nature containing or pertaining to such information, and not take with you, or otherwise retain in any respect, any such documents or data or any reproduction thereof.</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5.</w:t>
      </w:r>
      <w:r>
        <w:rPr>
          <w:rFonts w:ascii="Times New Roman;sans-serif" w:hAnsi="Times New Roman;sans-serif"/>
          <w:b w:val="false"/>
          <w:color w:val="000000"/>
          <w:sz w:val="24"/>
          <w:u w:val="single"/>
        </w:rPr>
        <w:t>Stock Options and Restricted Stock Units</w:t>
      </w:r>
      <w:r>
        <w:rPr>
          <w:rFonts w:ascii="Times New Roman;sans-serif" w:hAnsi="Times New Roman;sans-serif"/>
          <w:b w:val="false"/>
          <w:color w:val="000000"/>
          <w:sz w:val="24"/>
        </w:rPr>
        <w:t>: The Company previously granted you certain awards of stock options (collectively, the “</w:t>
      </w:r>
      <w:r>
        <w:rPr>
          <w:rFonts w:ascii="Times New Roman;sans-serif" w:hAnsi="Times New Roman;sans-serif"/>
          <w:b/>
          <w:i/>
          <w:color w:val="000000"/>
          <w:sz w:val="24"/>
        </w:rPr>
        <w:t>Options</w:t>
      </w:r>
      <w:r>
        <w:rPr>
          <w:color w:val="000000"/>
        </w:rPr>
        <w:t>”</w:t>
      </w:r>
      <w:r>
        <w:rPr>
          <w:rFonts w:ascii="Times New Roman;sans-serif" w:hAnsi="Times New Roman;sans-serif"/>
          <w:b w:val="false"/>
          <w:color w:val="000000"/>
          <w:sz w:val="24"/>
        </w:rPr>
        <w:t>) and restricted stock units (collectively, the “</w:t>
      </w:r>
      <w:r>
        <w:rPr>
          <w:rFonts w:ascii="Times New Roman;sans-serif" w:hAnsi="Times New Roman;sans-serif"/>
          <w:b/>
          <w:i/>
          <w:color w:val="000000"/>
          <w:sz w:val="24"/>
        </w:rPr>
        <w:t>RSUs</w:t>
      </w:r>
      <w:r>
        <w:rPr>
          <w:color w:val="000000"/>
        </w:rPr>
        <w:t>”</w:t>
      </w:r>
      <w:r>
        <w:rPr>
          <w:rFonts w:ascii="Times New Roman;sans-serif" w:hAnsi="Times New Roman;sans-serif"/>
          <w:b w:val="false"/>
          <w:color w:val="000000"/>
          <w:sz w:val="24"/>
        </w:rPr>
        <w:t>) under the Company’s 2018 Equity Incentive Plan (the “</w:t>
      </w:r>
      <w:r>
        <w:rPr>
          <w:rFonts w:ascii="Times New Roman;sans-serif" w:hAnsi="Times New Roman;sans-serif"/>
          <w:b/>
          <w:i/>
          <w:color w:val="000000"/>
          <w:sz w:val="24"/>
        </w:rPr>
        <w:t>2018 Plan</w:t>
      </w:r>
      <w:r>
        <w:rPr>
          <w:color w:val="000000"/>
        </w:rPr>
        <w:t>”</w:t>
      </w:r>
      <w:r>
        <w:rPr>
          <w:rFonts w:ascii="Times New Roman;sans-serif" w:hAnsi="Times New Roman;sans-serif"/>
          <w:b w:val="false"/>
          <w:color w:val="000000"/>
          <w:sz w:val="24"/>
        </w:rPr>
        <w:t xml:space="preserve">) and the Nextdoor </w: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Sarah Friar</w:t>
      </w:r>
      <w:r>
        <mc:AlternateContent>
          <mc:Choice Requires="wps">
            <w:drawing>
              <wp:anchor behindDoc="0" distT="0" distB="0" distL="0" distR="0" simplePos="0" locked="0" layoutInCell="1" allowOverlap="1" relativeHeight="75">
                <wp:simplePos x="0" y="0"/>
                <wp:positionH relativeFrom="character">
                  <wp:align>left</wp:align>
                </wp:positionH>
                <wp:positionV relativeFrom="line">
                  <wp:posOffset>635</wp:posOffset>
                </wp:positionV>
                <wp:extent cx="6480175" cy="175260"/>
                <wp:effectExtent l="0" t="0" r="0" b="0"/>
                <wp:wrapNone/>
                <wp:docPr id="74" name="Frame6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3</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88" w:before="0" w:after="240"/>
        <w:jc w:val="both"/>
        <w:rPr/>
      </w:pPr>
      <w:r>
        <w:rPr>
          <w:rFonts w:ascii="Times New Roman;sans-serif" w:hAnsi="Times New Roman;sans-serif"/>
          <w:b w:val="false"/>
          <w:color w:val="000000"/>
          <w:sz w:val="24"/>
        </w:rPr>
        <w:t>Holdings, Inc. 2021 Equity Incentive Plan (the “</w:t>
      </w:r>
      <w:r>
        <w:rPr>
          <w:rFonts w:ascii="Times New Roman;sans-serif" w:hAnsi="Times New Roman;sans-serif"/>
          <w:b/>
          <w:i/>
          <w:color w:val="000000"/>
          <w:sz w:val="24"/>
        </w:rPr>
        <w:t>2021 Plan</w:t>
      </w:r>
      <w:r>
        <w:rPr>
          <w:color w:val="000000"/>
        </w:rPr>
        <w:t xml:space="preserve">” </w:t>
      </w:r>
      <w:r>
        <w:rPr>
          <w:rFonts w:ascii="Times New Roman;sans-serif" w:hAnsi="Times New Roman;sans-serif"/>
          <w:b w:val="false"/>
          <w:color w:val="000000"/>
          <w:sz w:val="24"/>
        </w:rPr>
        <w:t>and together with the 2018 Plan, and the applicable Stock Option Agreements and Restricted Stock Unit Agreements (collectively, the “</w:t>
      </w:r>
      <w:r>
        <w:rPr>
          <w:rFonts w:ascii="Times New Roman;sans-serif" w:hAnsi="Times New Roman;sans-serif"/>
          <w:b/>
          <w:i/>
          <w:color w:val="000000"/>
          <w:sz w:val="24"/>
        </w:rPr>
        <w:t>Plans</w:t>
      </w:r>
      <w:r>
        <w:rPr>
          <w:color w:val="000000"/>
        </w:rPr>
        <w:t>”</w:t>
      </w:r>
      <w:r>
        <w:rPr>
          <w:rFonts w:ascii="Times New Roman;sans-serif" w:hAnsi="Times New Roman;sans-serif"/>
          <w:b w:val="false"/>
          <w:color w:val="000000"/>
          <w:sz w:val="24"/>
        </w:rPr>
        <w:t xml:space="preserve">). </w:t>
      </w:r>
      <w:r>
        <w:rPr>
          <w:rFonts w:ascii="Times New Roman;sans-serif" w:hAnsi="Times New Roman;sans-serif"/>
          <w:b w:val="false"/>
          <w:color w:val="000000"/>
          <w:sz w:val="24"/>
          <w:u w:val="single"/>
        </w:rPr>
        <w:t>Exhibit C</w:t>
      </w:r>
      <w:r>
        <w:rPr>
          <w:color w:val="000000"/>
        </w:rPr>
        <w:t xml:space="preserve"> </w:t>
      </w:r>
      <w:r>
        <w:rPr>
          <w:rFonts w:ascii="Times New Roman;sans-serif" w:hAnsi="Times New Roman;sans-serif"/>
          <w:b w:val="false"/>
          <w:color w:val="000000"/>
          <w:sz w:val="24"/>
        </w:rPr>
        <w:t>sets forth the unvested, vested, and exercised shares subject to the Options as of the Resignation Date, and the unvested and vested shares subject to the RSUs as of the Resignation Date. Because your employment is terminating on the Resignation Date, none of the unvested shares subject to your Options or RSUs can ever vest following the Resignation Date. Your rights concerning the Options and RSUs will continue to be governed by their respective Plans. Notwithstanding any provision to the contrary in the Stock Option Agreements governing the Options, you will have twelve (12) months following the Resignation Date to exercise any unexercised vested shares subject to the Options. After this date, you will no longer have a right to exercise the Options as to any shares.</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6.</w:t>
      </w:r>
      <w:r>
        <w:rPr>
          <w:rFonts w:ascii="Times New Roman;sans-serif" w:hAnsi="Times New Roman;sans-serif"/>
          <w:b w:val="false"/>
          <w:color w:val="000000"/>
          <w:sz w:val="24"/>
          <w:u w:val="single"/>
        </w:rPr>
        <w:t>General Release and Waiver of Claims</w:t>
      </w:r>
      <w:r>
        <w:rPr>
          <w:rFonts w:ascii="Times New Roman;sans-serif" w:hAnsi="Times New Roman;sans-serif"/>
          <w:b w:val="false"/>
          <w:color w:val="000000"/>
          <w:sz w:val="24"/>
        </w:rPr>
        <w:t xml:space="preserv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The payments and promises set forth in this Agreement and the Second Release are in full satisfaction of all of your rights pursuant to your Change in Control and Severance Agreement dated August 28, 2021 (the “</w:t>
      </w:r>
      <w:r>
        <w:rPr>
          <w:rFonts w:ascii="Times New Roman;sans-serif" w:hAnsi="Times New Roman;sans-serif"/>
          <w:b/>
          <w:i/>
          <w:color w:val="000000"/>
          <w:sz w:val="24"/>
        </w:rPr>
        <w:t>CIC Severance Agreement</w:t>
      </w:r>
      <w:r>
        <w:rPr>
          <w:color w:val="000000"/>
        </w:rPr>
        <w:t>”</w:t>
      </w:r>
      <w:r>
        <w:rPr>
          <w:rFonts w:ascii="Times New Roman;sans-serif" w:hAnsi="Times New Roman;sans-serif"/>
          <w:b w:val="false"/>
          <w:color w:val="000000"/>
          <w:sz w:val="24"/>
        </w:rPr>
        <w:t>), as well as all accrued salary, vacation pay, bonus and commission pay, profit sharing, stock, stock options or other ownership interest in the Company, termination benefits or other compensation to which you may be entitled by virtue of your employment with the Company or your separation from the Company. To the fullest extent permitted by law but subject to Section 6(c) below,you hereby release and waive any claims you may have against the Company and its owners, agents, officers, shareholders, employees, directors, attorneys, subscribers, subsidiaries, affiliates, successors and assigns (collectively “</w:t>
      </w:r>
      <w:r>
        <w:rPr>
          <w:rFonts w:ascii="Times New Roman;sans-serif" w:hAnsi="Times New Roman;sans-serif"/>
          <w:b/>
          <w:i/>
          <w:color w:val="000000"/>
          <w:sz w:val="24"/>
        </w:rPr>
        <w:t>Releasees</w:t>
      </w:r>
      <w:r>
        <w:rPr>
          <w:color w:val="000000"/>
        </w:rPr>
        <w:t>”</w:t>
      </w:r>
      <w:r>
        <w:rPr>
          <w:rFonts w:ascii="Times New Roman;sans-serif" w:hAnsi="Times New Roman;sans-serif"/>
          <w:b w:val="false"/>
          <w:color w:val="000000"/>
          <w:sz w:val="24"/>
        </w:rPr>
        <w:t xml:space="preserve">), whether known or not known, including, without limitation, claims under any employment laws, including, but not limited to, claims of unlawful discharge, breach of contract, breach of the covenant of good faith and fair dealing, fraud, violation of public policy, defamation, physical injury, emotional distress, claims for additional compensation or benefits arising out of your employment or your separation of employment, claims under Title VII of the 1964 Civil Rights Act, as amended,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 By signing this Agreement, you are not releasing or waiving any claims under the California Fair Employment and Housing Act; however, for the avoidance of doubt, you will release and waive such claims once you sign the Second Release. </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By signing below, you expressly waive any benefits of Section 1542 of the Civil Code of the State of California, which provides as follows:</w:t>
      </w:r>
    </w:p>
    <w:p>
      <w:pPr>
        <w:pStyle w:val="TextBody"/>
        <w:bidi w:val="0"/>
        <w:spacing w:lineRule="auto" w:line="288" w:before="0" w:after="240"/>
        <w:jc w:val="both"/>
        <w:rPr>
          <w:color w:val="000000"/>
        </w:rPr>
      </w:pPr>
      <w:r>
        <w:rPr>
          <w:color w:val="000000"/>
        </w:rPr>
        <w:t>“</w:t>
      </w:r>
      <w:r>
        <w:rPr>
          <w:rFonts w:ascii="Times New Roman;sans-serif" w:hAnsi="Times New Roman;sans-serif"/>
          <w:b w:val="false"/>
          <w:color w:val="000000"/>
          <w:sz w:val="24"/>
        </w:rPr>
        <w:t xml:space="preserve">A GENERAL RELEASE DOES NOT EXTEND TO CLAIMS THAT THE CREDITOR OR RELEASING PARTY DOES NOT KNOW OR SUSPECT TO EXIST IN HIS OR HER FAVOR AT THE TIME OF EXECUTING THE RELEASE AND THAT, IF KNOWN BY HIM OR HER, WOULD HAVE </w: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Sarah Friar</w:t>
      </w:r>
      <w:r>
        <mc:AlternateContent>
          <mc:Choice Requires="wps">
            <w:drawing>
              <wp:anchor behindDoc="0" distT="0" distB="0" distL="0" distR="0" simplePos="0" locked="0" layoutInCell="1" allowOverlap="1" relativeHeight="76">
                <wp:simplePos x="0" y="0"/>
                <wp:positionH relativeFrom="character">
                  <wp:align>left</wp:align>
                </wp:positionH>
                <wp:positionV relativeFrom="line">
                  <wp:posOffset>635</wp:posOffset>
                </wp:positionV>
                <wp:extent cx="6480175" cy="175260"/>
                <wp:effectExtent l="0" t="0" r="0" b="0"/>
                <wp:wrapNone/>
                <wp:docPr id="75" name="Frame6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4</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88" w:before="0" w:after="240"/>
        <w:jc w:val="both"/>
        <w:rPr>
          <w:rFonts w:ascii="Times New Roman;sans-serif" w:hAnsi="Times New Roman;sans-serif"/>
          <w:b w:val="false"/>
          <w:color w:val="000000"/>
          <w:sz w:val="24"/>
        </w:rPr>
      </w:pPr>
      <w:r>
        <w:rPr>
          <w:rFonts w:ascii="Times New Roman;sans-serif" w:hAnsi="Times New Roman;sans-serif"/>
          <w:b w:val="false"/>
          <w:color w:val="000000"/>
          <w:sz w:val="24"/>
        </w:rPr>
        <w:t>MATERIALLY AFFECTED HIS OR HER SETTLEMENT WITH THE DEBTOR OR RELEASED PARTY.”</w:t>
      </w:r>
    </w:p>
    <w:p>
      <w:pPr>
        <w:pStyle w:val="TextBody"/>
        <w:bidi w:val="0"/>
        <w:spacing w:lineRule="auto" w:line="288" w:before="0" w:after="240"/>
        <w:ind w:left="0" w:right="0" w:firstLine="720"/>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You and the Company agree that you are not releasing (i) any claims that you may not release as a matter of law, including but not limited to claims for indemnity under California Labor Code Section 2802; (ii)any claims for enforcement of this Agreement; (iii) any right to indemnification that you may have pursuant to the Company’s bylaws, its corporate charter or under any written indemnification agreement with the Company (or any corresponding provision of any subsidiary or affiliate of the Company); (iv) any rights that you may have to insurance coverage under any Company (or subsidiary or affiliate) directors and officers liability insurance policy; (v) any rights to continued medical and dental coverage that you may have under COBRA; (vi) any rights to payment of benefits that you may have under a retirement plan sponsored or maintained by the Company that is intended to qualify under Section 401(a) of the Internal Revenue Code of 1986, as amended or (vii) any rights to accrued benefits under the Company’s employee benefit plans. To the fullest extent permitted by law, any dispute regarding the scope of this general release shall be determined by an arbitrator under the procedures set forth in the arbitration clause below.</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7.</w:t>
      </w:r>
      <w:r>
        <w:rPr>
          <w:rFonts w:ascii="Times New Roman;sans-serif" w:hAnsi="Times New Roman;sans-serif"/>
          <w:b w:val="false"/>
          <w:color w:val="000000"/>
          <w:sz w:val="24"/>
          <w:u w:val="single"/>
        </w:rPr>
        <w:t>Covenant Not to Sue</w:t>
      </w:r>
      <w:r>
        <w:rPr>
          <w:rFonts w:ascii="Times New Roman;sans-serif" w:hAnsi="Times New Roman;sans-serif"/>
          <w:b w:val="false"/>
          <w:color w:val="000000"/>
          <w:sz w:val="24"/>
        </w:rPr>
        <w:t xml:space="preserve">: </w:t>
      </w:r>
    </w:p>
    <w:p>
      <w:pPr>
        <w:pStyle w:val="TextBody"/>
        <w:bidi w:val="0"/>
        <w:spacing w:lineRule="auto" w:line="288" w:before="0" w:after="240"/>
        <w:ind w:left="0" w:right="0" w:hanging="2"/>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 xml:space="preserve">Subject to the Protected Rights section below, and otherwise to the fullest extent permitted by applicable law, at no time subsequent to the execution of this Agreement will you pursue, or cause or knowingly permit the prosecution, in any state, federal or foreign court, or before any local, state, federal or foreign administrative agency, or any other tribunal, of any charge, claim or action of any kind, nature and character whatsoever, known or unknown, which you may now have, have ever had, or may in the future have against Releasees, which is based in whole or in part on any matter released by this Agreement. </w:t>
      </w:r>
    </w:p>
    <w:p>
      <w:pPr>
        <w:pStyle w:val="TextBody"/>
        <w:bidi w:val="0"/>
        <w:spacing w:lineRule="auto" w:line="288" w:before="0" w:after="240"/>
        <w:ind w:left="0" w:right="0" w:hanging="2"/>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Nothing in this section shall prohibit or impair you or the Company from complying with all applicable laws, nor shall this Agreement be construed to obligate either party to commit (or aid or abet in the commission of) any unlawful act.</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8.</w:t>
      </w:r>
      <w:r>
        <w:rPr>
          <w:rFonts w:ascii="Times New Roman;sans-serif" w:hAnsi="Times New Roman;sans-serif"/>
          <w:b w:val="false"/>
          <w:color w:val="000000"/>
          <w:sz w:val="24"/>
          <w:u w:val="single"/>
        </w:rPr>
        <w:t>Protected Rights</w:t>
      </w:r>
      <w:r>
        <w:rPr>
          <w:rFonts w:ascii="Times New Roman;sans-serif" w:hAnsi="Times New Roman;sans-serif"/>
          <w:b w:val="false"/>
          <w:color w:val="000000"/>
          <w:sz w:val="24"/>
        </w:rPr>
        <w:t>: You understand that nothing in this Agreement, including the General Release and Waiver of Claims, Covenant Not to Sue and Confidentiality sections contained herein, limits, impedes or restricts your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sans-serif" w:hAnsi="Times New Roman;sans-serif"/>
          <w:b/>
          <w:i/>
          <w:color w:val="000000"/>
          <w:sz w:val="24"/>
        </w:rPr>
        <w:t>Government Agencies</w:t>
      </w:r>
      <w:r>
        <w:rPr>
          <w:color w:val="000000"/>
        </w:rPr>
        <w:t>”</w:t>
      </w:r>
      <w:r>
        <w:rPr>
          <w:rFonts w:ascii="Times New Roman;sans-serif" w:hAnsi="Times New Roman;sans-serif"/>
          <w:b w:val="false"/>
          <w:color w:val="000000"/>
          <w:sz w:val="24"/>
        </w:rPr>
        <w:t>). You further understand that this Agreement does not limit your ability to communicate with any Government Agencies or otherwise participate and/or assist in any investigation or proceeding that may be conducted by any Government Agency, including providing documents (including this Agreement) or other information, without notice to the Company. This Agreement does not limit your right to receive an award for information provided to any Government Agencies or prohibit you from providing truthful information in response to a subpoena or other legal process.</w: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Sarah Friar</w:t>
      </w:r>
      <w:r>
        <mc:AlternateContent>
          <mc:Choice Requires="wps">
            <w:drawing>
              <wp:anchor behindDoc="0" distT="0" distB="0" distL="0" distR="0" simplePos="0" locked="0" layoutInCell="1" allowOverlap="1" relativeHeight="77">
                <wp:simplePos x="0" y="0"/>
                <wp:positionH relativeFrom="character">
                  <wp:align>left</wp:align>
                </wp:positionH>
                <wp:positionV relativeFrom="line">
                  <wp:posOffset>635</wp:posOffset>
                </wp:positionV>
                <wp:extent cx="6480175" cy="175260"/>
                <wp:effectExtent l="0" t="0" r="0" b="0"/>
                <wp:wrapNone/>
                <wp:docPr id="76" name="Frame6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5</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88" w:before="0" w:after="240"/>
        <w:ind w:left="0" w:right="0" w:hanging="2"/>
        <w:jc w:val="both"/>
        <w:rPr/>
      </w:pPr>
      <w:r>
        <w:rPr>
          <w:rFonts w:ascii="Times New Roman;sans-serif" w:hAnsi="Times New Roman;sans-serif"/>
          <w:b w:val="false"/>
          <w:color w:val="010000"/>
          <w:sz w:val="24"/>
        </w:rPr>
        <w:t>9.</w:t>
      </w:r>
      <w:r>
        <w:rPr>
          <w:rFonts w:ascii="Times New Roman;sans-serif" w:hAnsi="Times New Roman;sans-serif"/>
          <w:b w:val="false"/>
          <w:color w:val="000000"/>
          <w:sz w:val="24"/>
          <w:u w:val="single"/>
        </w:rPr>
        <w:t>Arbitration</w:t>
      </w:r>
      <w:r>
        <w:rPr>
          <w:rFonts w:ascii="Times New Roman;sans-serif" w:hAnsi="Times New Roman;sans-serif"/>
          <w:b w:val="false"/>
          <w:color w:val="000000"/>
          <w:sz w:val="24"/>
        </w:rPr>
        <w:t>: Except for any claim for injunctive relief arising out of a breach of a party’s obligations to protect the other’s proprietary information, the parties agree to arbitrate, in San Francisco, California through JAMS, any and all disputes or claims arising out of or related to the validity, enforceability, interpretation, performance or breach of this Agreement, whether sounding in tort, contract, statutory violation or otherwise, or involving the construction or application or any of the terms, provisions, or conditions of this Agreement. Any arbitration may be initiated by a written demand to the other party. The arbitrator's decision shall be final, binding, and conclusive. The parties further agree that this Agreement is intended to be strictly construed to provide for arbitration as the sole and exclusive means for resolution of all disputes hereunder to the fullest extent permitted by law. The parties expressly waive any entitlement to have such controversies decided by a court or a jury.</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10.</w:t>
      </w:r>
      <w:r>
        <w:rPr>
          <w:rFonts w:ascii="Times New Roman;sans-serif" w:hAnsi="Times New Roman;sans-serif"/>
          <w:b w:val="false"/>
          <w:color w:val="000000"/>
          <w:sz w:val="24"/>
          <w:u w:val="single"/>
        </w:rPr>
        <w:t>Attorneys’ Fees</w:t>
      </w:r>
      <w:r>
        <w:rPr>
          <w:rFonts w:ascii="Times New Roman;sans-serif" w:hAnsi="Times New Roman;sans-serif"/>
          <w:b w:val="false"/>
          <w:color w:val="000000"/>
          <w:sz w:val="24"/>
        </w:rPr>
        <w:t>: If any action is brought to enforce the terms of this Agreement, the prevailing party will be entitled to recover its reasonable attorneys’ fees, costs and expenses from the other party, in addition to any other relief to which the prevailing party may be entitled.</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11.</w:t>
      </w:r>
      <w:r>
        <w:rPr>
          <w:rFonts w:ascii="Times New Roman;sans-serif" w:hAnsi="Times New Roman;sans-serif"/>
          <w:b w:val="false"/>
          <w:color w:val="000000"/>
          <w:sz w:val="24"/>
          <w:u w:val="single"/>
        </w:rPr>
        <w:t>No Admission of Liability</w:t>
      </w:r>
      <w:r>
        <w:rPr>
          <w:rFonts w:ascii="Times New Roman;sans-serif" w:hAnsi="Times New Roman;sans-serif"/>
          <w:b w:val="false"/>
          <w:color w:val="000000"/>
          <w:sz w:val="24"/>
        </w:rPr>
        <w:t>: This Agreement is not and shall not be construed or contended by you to be an admission or evidence of any wrongdoing or liability on the part of Releasees, their representatives, heirs, executors, attorneys, agents, partners, officers, shareholders, directors, employees, subsidiaries, affiliates, divisions, successors or assigns. This Agreement shall be afforded the maximum protection allowable under California Evidence Code Section 1152 and/or any other state or federal provisions of similar effect.</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12.</w:t>
      </w:r>
      <w:r>
        <w:rPr>
          <w:rFonts w:ascii="Times New Roman;sans-serif" w:hAnsi="Times New Roman;sans-serif"/>
          <w:b w:val="false"/>
          <w:color w:val="000000"/>
          <w:sz w:val="24"/>
          <w:u w:val="single"/>
        </w:rPr>
        <w:t>Complete and Voluntary Agreement</w:t>
      </w:r>
      <w:r>
        <w:rPr>
          <w:rFonts w:ascii="Times New Roman;sans-serif" w:hAnsi="Times New Roman;sans-serif"/>
          <w:b w:val="false"/>
          <w:color w:val="000000"/>
          <w:sz w:val="24"/>
        </w:rPr>
        <w:t>: This Agreement, together with any exhibits hereto and any agreements referenced herein, constitute the entire agreement between you and Releasees with respect to the subject matter hereof and supersedes all prior negotiations and agreements, whether written or oral, relating to such subject matter (including, without limitation, the CIC Severance Agreement). You acknowledge that neither Releasees nor their agents or attorneys have made any promise, representation or warranty whatsoever, either express or implied, written or oral, which is not contained in this Agreement for the purpose of inducing you to execute the Agreement, and you acknowledge that you have executed this Agreement in reliance only upon such promises, representations and warranties as are contained herein, and that you are executing this Agreement voluntarily, free of any duress or coercion.</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13.</w:t>
      </w:r>
      <w:r>
        <w:rPr>
          <w:rFonts w:ascii="Times New Roman;sans-serif" w:hAnsi="Times New Roman;sans-serif"/>
          <w:b w:val="false"/>
          <w:color w:val="000000"/>
          <w:sz w:val="24"/>
          <w:u w:val="single"/>
        </w:rPr>
        <w:t>Severability</w:t>
      </w:r>
      <w:r>
        <w:rPr>
          <w:rFonts w:ascii="Times New Roman;sans-serif" w:hAnsi="Times New Roman;sans-serif"/>
          <w:b w:val="false"/>
          <w:color w:val="000000"/>
          <w:sz w:val="24"/>
        </w:rPr>
        <w:t>: The provisions of this Agreement, including, without limitation, the Second Release, are severable, and if any part of it is found to be invalid or unenforceable, including, without limitation, any part of the General Release, Covenant Not to Sue, and/or Confidentiality sections herein, or the Non-disparagement provision, the other parts shall remain fully valid and enforceable. Specifically, should a court, arbitrator, or government agency conclude that a particular claim may not be released as a matter of law, it is the intention of the parties that the general release, the waiver of unknown claims and the covenant not to sue above shall otherwise remain effective to release any and all other claims.</w: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Sarah Friar</w:t>
      </w:r>
      <w:r>
        <mc:AlternateContent>
          <mc:Choice Requires="wps">
            <w:drawing>
              <wp:anchor behindDoc="0" distT="0" distB="0" distL="0" distR="0" simplePos="0" locked="0" layoutInCell="1" allowOverlap="1" relativeHeight="78">
                <wp:simplePos x="0" y="0"/>
                <wp:positionH relativeFrom="character">
                  <wp:align>left</wp:align>
                </wp:positionH>
                <wp:positionV relativeFrom="line">
                  <wp:posOffset>635</wp:posOffset>
                </wp:positionV>
                <wp:extent cx="6480175" cy="175260"/>
                <wp:effectExtent l="0" t="0" r="0" b="0"/>
                <wp:wrapNone/>
                <wp:docPr id="77" name="Frame7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6</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88" w:before="0" w:after="240"/>
        <w:ind w:left="0" w:right="0" w:hanging="2"/>
        <w:jc w:val="both"/>
        <w:rPr/>
      </w:pPr>
      <w:r>
        <w:rPr>
          <w:rFonts w:ascii="Times New Roman;sans-serif" w:hAnsi="Times New Roman;sans-serif"/>
          <w:b w:val="false"/>
          <w:color w:val="010000"/>
          <w:sz w:val="24"/>
        </w:rPr>
        <w:t>14.</w:t>
      </w:r>
      <w:r>
        <w:rPr>
          <w:rFonts w:ascii="Times New Roman;sans-serif" w:hAnsi="Times New Roman;sans-serif"/>
          <w:b w:val="false"/>
          <w:color w:val="000000"/>
          <w:sz w:val="24"/>
          <w:u w:val="single"/>
        </w:rPr>
        <w:t>Modification; Counterparts; Electronic/PDF Signatures</w:t>
      </w:r>
      <w:r>
        <w:rPr>
          <w:rFonts w:ascii="Times New Roman;sans-serif" w:hAnsi="Times New Roman;sans-serif"/>
          <w:b w:val="false"/>
          <w:color w:val="000000"/>
          <w:sz w:val="24"/>
        </w:rPr>
        <w:t>: It is expressly agreed that this Agreement may not be altered, amended, modified, or otherwise changed in any respect except by another written agreement that specifically refers to this Agreement, executed by authorized representatives of each of the parties to this Agreement. This Agreement may be executed in any number of counterparts, each of which shall constitute an original and all of which together shall constitute one and the same instrument. Execution of an electronic or PDF copy shall have the same force and effect as execution of an original, and a copy of a signature will be equally admissible in any legal proceeding as if an original.</w:t>
      </w:r>
    </w:p>
    <w:p>
      <w:pPr>
        <w:pStyle w:val="TextBody"/>
        <w:bidi w:val="0"/>
        <w:spacing w:lineRule="auto" w:line="288" w:before="0" w:after="240"/>
        <w:ind w:left="0" w:right="0" w:hanging="2"/>
        <w:jc w:val="left"/>
        <w:rPr/>
      </w:pPr>
      <w:r>
        <w:rPr>
          <w:rFonts w:ascii="Times New Roman;sans-serif" w:hAnsi="Times New Roman;sans-serif"/>
          <w:b w:val="false"/>
          <w:color w:val="010000"/>
          <w:sz w:val="24"/>
        </w:rPr>
        <w:t>15.</w:t>
      </w:r>
      <w:r>
        <w:rPr>
          <w:rFonts w:ascii="Times New Roman;sans-serif" w:hAnsi="Times New Roman;sans-serif"/>
          <w:b w:val="false"/>
          <w:color w:val="000000"/>
          <w:sz w:val="24"/>
          <w:u w:val="single"/>
        </w:rPr>
        <w:t>Governing Law</w:t>
      </w:r>
      <w:r>
        <w:rPr>
          <w:rFonts w:ascii="Times New Roman;sans-serif" w:hAnsi="Times New Roman;sans-serif"/>
          <w:b w:val="false"/>
          <w:color w:val="000000"/>
          <w:sz w:val="24"/>
        </w:rPr>
        <w:t>: This Agreement shall be governed by and construed in accordance with the laws of the State of California.</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16.</w:t>
      </w:r>
      <w:r>
        <w:rPr>
          <w:rFonts w:ascii="Times New Roman;sans-serif" w:hAnsi="Times New Roman;sans-serif"/>
          <w:b w:val="false"/>
          <w:color w:val="000000"/>
          <w:sz w:val="24"/>
          <w:u w:val="single"/>
        </w:rPr>
        <w:t>Review of Transition Agreement; Expiration of Offer:</w:t>
      </w:r>
      <w:r>
        <w:rPr>
          <w:color w:val="000000"/>
        </w:rPr>
        <w:t xml:space="preserve"> </w:t>
      </w:r>
      <w:r>
        <w:rPr>
          <w:rFonts w:ascii="Times New Roman;sans-serif" w:hAnsi="Times New Roman;sans-serif"/>
          <w:b w:val="false"/>
          <w:color w:val="000000"/>
          <w:sz w:val="24"/>
        </w:rPr>
        <w:t>The offer set forth in this Agreement, if not accepted by you before March 4, 2024, will automatically expire. By signing below, you affirm that you were advised to consult with an attorney prior to signing this Agreement. You also understand you may revoke this Agreement within seven (7) days of signing this document and that the consideration to be provided to you pursuant to Section 2 will be provided only after both the expiration of that seven (7) day revocation period and the effectiveness of the Second Release (as set forth therein).</w:t>
      </w:r>
    </w:p>
    <w:p>
      <w:pPr>
        <w:pStyle w:val="TextBody"/>
        <w:bidi w:val="0"/>
        <w:spacing w:lineRule="auto" w:line="288" w:before="0" w:after="0"/>
        <w:ind w:left="0" w:right="0" w:hanging="2"/>
        <w:jc w:val="both"/>
        <w:rPr/>
      </w:pPr>
      <w:r>
        <w:rPr>
          <w:rFonts w:ascii="Times New Roman;sans-serif" w:hAnsi="Times New Roman;sans-serif"/>
          <w:b w:val="false"/>
          <w:color w:val="010000"/>
          <w:sz w:val="24"/>
        </w:rPr>
        <w:t>17.</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 This Agreement is effective on the eighth (8th) day after you sign it provided you have not revoked the Agreement as of that time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w:t>
      </w:r>
    </w:p>
    <w:p>
      <w:pPr>
        <w:pStyle w:val="TextBody"/>
        <w:bidi w:val="0"/>
        <w:spacing w:lineRule="auto" w:line="288" w:before="0" w:after="240"/>
        <w:ind w:left="0" w:right="0" w:hanging="2"/>
        <w:jc w:val="both"/>
        <w:rPr/>
      </w:pPr>
      <w:r>
        <w:rPr>
          <w:rFonts w:ascii="Times New Roman;sans-serif" w:hAnsi="Times New Roman;sans-serif"/>
          <w:b w:val="false"/>
          <w:color w:val="010000"/>
          <w:sz w:val="24"/>
        </w:rPr>
        <w:t>18.</w:t>
      </w:r>
      <w:r>
        <w:rPr>
          <w:rFonts w:ascii="Times New Roman;sans-serif" w:hAnsi="Times New Roman;sans-serif"/>
          <w:b w:val="false"/>
          <w:color w:val="000000"/>
          <w:sz w:val="24"/>
          <w:u w:val="single"/>
        </w:rPr>
        <w:t>Expiration of Offer</w:t>
      </w:r>
      <w:r>
        <w:rPr>
          <w:rFonts w:ascii="Times New Roman;sans-serif" w:hAnsi="Times New Roman;sans-serif"/>
          <w:b w:val="false"/>
          <w:color w:val="000000"/>
          <w:sz w:val="24"/>
        </w:rPr>
        <w:t>: This offer expires at 5:00 p.m. (Pacific) on March 4, 2024.</w: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Sarah Friar</w:t>
      </w:r>
      <w:r>
        <mc:AlternateContent>
          <mc:Choice Requires="wps">
            <w:drawing>
              <wp:anchor behindDoc="0" distT="0" distB="0" distL="0" distR="0" simplePos="0" locked="0" layoutInCell="1" allowOverlap="1" relativeHeight="79">
                <wp:simplePos x="0" y="0"/>
                <wp:positionH relativeFrom="character">
                  <wp:align>left</wp:align>
                </wp:positionH>
                <wp:positionV relativeFrom="line">
                  <wp:posOffset>635</wp:posOffset>
                </wp:positionV>
                <wp:extent cx="6480175" cy="175260"/>
                <wp:effectExtent l="0" t="0" r="0" b="0"/>
                <wp:wrapNone/>
                <wp:docPr id="78" name="Frame7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Page 7</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88" w:before="0" w:after="240"/>
        <w:ind w:left="0" w:right="0" w:hanging="2"/>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If you agree to abide by the terms outlined in this Agreement, please sign and return it to me. I wish you the best in your future endeavors.</w:t>
      </w:r>
    </w:p>
    <w:p>
      <w:pPr>
        <w:pStyle w:val="TextBody"/>
        <w:bidi w:val="0"/>
        <w:spacing w:before="0" w:after="0"/>
        <w:ind w:left="0" w:right="0" w:hanging="2"/>
        <w:jc w:val="left"/>
        <w:rPr/>
      </w:pPr>
      <w:r>
        <w:rPr/>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Sincerely,</w:t>
      </w:r>
    </w:p>
    <w:p>
      <w:pPr>
        <w:pStyle w:val="TextBody"/>
        <w:bidi w:val="0"/>
        <w:spacing w:before="0" w:after="0"/>
        <w:ind w:left="0" w:right="0" w:hanging="2"/>
        <w:jc w:val="left"/>
        <w:rPr/>
      </w:pPr>
      <w:r>
        <w:rPr/>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Nextdoor, Inc.</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88" w:before="0" w:after="0"/>
        <w:jc w:val="left"/>
        <w:rPr/>
      </w:pPr>
      <w:r>
        <w:rPr>
          <w:rFonts w:ascii="Times New Roman;sans-serif" w:hAnsi="Times New Roman;sans-serif"/>
          <w:b w:val="false"/>
          <w:color w:val="000000"/>
          <w:sz w:val="24"/>
        </w:rPr>
        <w:t xml:space="preserve">By: </w:t>
      </w:r>
      <w:r>
        <w:rPr>
          <w:rFonts w:ascii="Times New Roman;sans-serif" w:hAnsi="Times New Roman;sans-serif"/>
          <w:b w:val="false"/>
          <w:color w:val="000000"/>
          <w:sz w:val="24"/>
          <w:u w:val="single"/>
        </w:rPr>
        <w:t>/s/ John Orta</w:t>
      </w:r>
      <w:r>
        <w:rPr>
          <w:rFonts w:ascii="Times New Roman;sans-serif" w:hAnsi="Times New Roman;sans-serif"/>
          <w:b w:val="false"/>
          <w:color w:val="000000"/>
          <w:sz w:val="24"/>
        </w:rPr>
        <w:t>______________</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John Orta, Head of Legal and Corporate Development </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READ, UNDERSTOOD AND AGREED</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88" w:before="0" w:after="0"/>
        <w:ind w:left="0" w:right="0" w:hanging="2"/>
        <w:jc w:val="left"/>
        <w:rPr/>
      </w:pPr>
      <w:r>
        <w:rPr>
          <w:rFonts w:ascii="Times New Roman;sans-serif" w:hAnsi="Times New Roman;sans-serif"/>
          <w:b w:val="false"/>
          <w:color w:val="000000"/>
          <w:sz w:val="24"/>
          <w:u w:val="single"/>
        </w:rPr>
        <w:t>/s/ Sarah Friar__</w:t>
      </w:r>
      <w:r>
        <w:rPr>
          <w:rFonts w:ascii="Times New Roman;sans-serif" w:hAnsi="Times New Roman;sans-serif"/>
          <w:b w:val="false"/>
          <w:color w:val="000000"/>
          <w:sz w:val="24"/>
        </w:rPr>
        <w:t xml:space="preserve">_____________________________    Date: </w:t>
      </w:r>
      <w:r>
        <w:rPr>
          <w:rFonts w:ascii="Times New Roman;sans-serif" w:hAnsi="Times New Roman;sans-serif"/>
          <w:b w:val="false"/>
          <w:color w:val="000000"/>
          <w:sz w:val="24"/>
          <w:u w:val="single"/>
        </w:rPr>
        <w:t>3/4/2024</w:t>
      </w:r>
      <w:r>
        <w:rPr>
          <w:rFonts w:ascii="Times New Roman;sans-serif" w:hAnsi="Times New Roman;sans-serif"/>
          <w:b w:val="false"/>
          <w:color w:val="000000"/>
          <w:sz w:val="24"/>
        </w:rPr>
        <w:t>_________________    Sarah Friar</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
        <w:jc w:val="right"/>
        <w:rPr/>
      </w:pPr>
      <w:r>
        <w:rPr/>
      </w:r>
      <w:r>
        <mc:AlternateContent>
          <mc:Choice Requires="wps">
            <w:drawing>
              <wp:anchor behindDoc="0" distT="0" distB="0" distL="0" distR="0" simplePos="0" locked="0" layoutInCell="1" allowOverlap="1" relativeHeight="80">
                <wp:simplePos x="0" y="0"/>
                <wp:positionH relativeFrom="character">
                  <wp:align>left</wp:align>
                </wp:positionH>
                <wp:positionV relativeFrom="line">
                  <wp:posOffset>635</wp:posOffset>
                </wp:positionV>
                <wp:extent cx="6480175" cy="175260"/>
                <wp:effectExtent l="0" t="0" r="0" b="0"/>
                <wp:wrapNone/>
                <wp:docPr id="79" name="Frame7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righ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88" w:before="0" w:after="0"/>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 xml:space="preserve">EXHIBIT A </w:t>
      </w:r>
    </w:p>
    <w:p>
      <w:pPr>
        <w:pStyle w:val="TextBody"/>
        <w:bidi w:val="0"/>
        <w:spacing w:before="0" w:after="0"/>
        <w:ind w:left="0" w:right="0" w:hanging="2"/>
        <w:jc w:val="center"/>
        <w:rPr/>
      </w:pPr>
      <w:r>
        <w:rPr/>
      </w:r>
    </w:p>
    <w:p>
      <w:pPr>
        <w:pStyle w:val="TextBody"/>
        <w:bidi w:val="0"/>
        <w:spacing w:lineRule="auto" w:line="288" w:before="0" w:after="0"/>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 xml:space="preserve">SECOND RELEASE </w:t>
      </w:r>
    </w:p>
    <w:p>
      <w:pPr>
        <w:pStyle w:val="TextBody"/>
        <w:bidi w:val="0"/>
        <w:spacing w:before="0" w:after="0"/>
        <w:ind w:left="0" w:right="0" w:hanging="2"/>
        <w:jc w:val="center"/>
        <w:rPr/>
      </w:pPr>
      <w:r>
        <w:rPr/>
      </w:r>
    </w:p>
    <w:p>
      <w:pPr>
        <w:pStyle w:val="TextBody"/>
        <w:bidi w:val="0"/>
        <w:spacing w:lineRule="auto" w:line="288" w:before="0" w:after="0"/>
        <w:ind w:left="0" w:right="0" w:hanging="2"/>
        <w:jc w:val="both"/>
        <w:rPr/>
      </w:pPr>
      <w:r>
        <w:rPr>
          <w:rFonts w:ascii="Times New Roman;sans-serif" w:hAnsi="Times New Roman;sans-serif"/>
          <w:b w:val="false"/>
          <w:color w:val="000000"/>
          <w:sz w:val="24"/>
        </w:rPr>
        <w:t>This General Release of All Claims and Covenant Not to Sue (the “</w:t>
      </w:r>
      <w:r>
        <w:rPr>
          <w:rFonts w:ascii="Times New Roman;sans-serif" w:hAnsi="Times New Roman;sans-serif"/>
          <w:b/>
          <w:i/>
          <w:color w:val="000000"/>
          <w:sz w:val="24"/>
        </w:rPr>
        <w:t>Second Release</w:t>
      </w:r>
      <w:r>
        <w:rPr>
          <w:color w:val="000000"/>
        </w:rPr>
        <w:t>”</w:t>
      </w:r>
      <w:r>
        <w:rPr>
          <w:rFonts w:ascii="Times New Roman;sans-serif" w:hAnsi="Times New Roman;sans-serif"/>
          <w:b w:val="false"/>
          <w:color w:val="000000"/>
          <w:sz w:val="24"/>
        </w:rPr>
        <w:t>) is entered into between Sarah Friar (“</w:t>
      </w:r>
      <w:r>
        <w:rPr>
          <w:rFonts w:ascii="Times New Roman;sans-serif" w:hAnsi="Times New Roman;sans-serif"/>
          <w:b/>
          <w:i/>
          <w:color w:val="000000"/>
          <w:sz w:val="24"/>
        </w:rPr>
        <w:t>Employee</w:t>
      </w:r>
      <w:r>
        <w:rPr>
          <w:color w:val="000000"/>
        </w:rPr>
        <w:t>”</w:t>
      </w:r>
      <w:r>
        <w:rPr>
          <w:rFonts w:ascii="Times New Roman;sans-serif" w:hAnsi="Times New Roman;sans-serif"/>
          <w:b w:val="false"/>
          <w:color w:val="000000"/>
          <w:sz w:val="24"/>
        </w:rPr>
        <w:t>) and Nextdoor, Inc. (the “</w:t>
      </w:r>
      <w:r>
        <w:rPr>
          <w:rFonts w:ascii="Times New Roman;sans-serif" w:hAnsi="Times New Roman;sans-serif"/>
          <w:b/>
          <w:i/>
          <w:color w:val="000000"/>
          <w:sz w:val="24"/>
        </w:rPr>
        <w:t>Company</w:t>
      </w:r>
      <w:r>
        <w:rPr>
          <w:color w:val="000000"/>
        </w:rPr>
        <w:t>”</w:t>
      </w:r>
      <w:r>
        <w:rPr>
          <w:rFonts w:ascii="Times New Roman;sans-serif" w:hAnsi="Times New Roman;sans-serif"/>
          <w:b w:val="false"/>
          <w:color w:val="000000"/>
          <w:sz w:val="24"/>
        </w:rPr>
        <w:t xml:space="preserve">) (collectively, “the parties”).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Employee and the Company entered into an agreement regarding Employee’s resignation from employment with the Company and post-resignation transition obligations (the “</w:t>
      </w:r>
      <w:r>
        <w:rPr>
          <w:rFonts w:ascii="Times New Roman;sans-serif" w:hAnsi="Times New Roman;sans-serif"/>
          <w:b/>
          <w:i/>
          <w:color w:val="000000"/>
          <w:sz w:val="24"/>
        </w:rPr>
        <w:t>Transition Agreement</w:t>
      </w:r>
      <w:r>
        <w:rPr>
          <w:rFonts w:ascii="Times New Roman;sans-serif" w:hAnsi="Times New Roman;sans-serif"/>
          <w:b w:val="false"/>
          <w:color w:val="000000"/>
          <w:sz w:val="24"/>
        </w:rPr>
        <w:t xml:space="preserve">,” to which this Second Release is attached as </w:t>
      </w:r>
      <w:r>
        <w:rPr>
          <w:rFonts w:ascii="Times New Roman;sans-serif" w:hAnsi="Times New Roman;sans-serif"/>
          <w:b w:val="false"/>
          <w:color w:val="000000"/>
          <w:sz w:val="24"/>
          <w:u w:val="single"/>
        </w:rPr>
        <w:t>Exhibit A</w:t>
      </w:r>
      <w:r>
        <w:rPr>
          <w:rFonts w:ascii="Times New Roman;sans-serif" w:hAnsi="Times New Roman;sans-serif"/>
          <w:b w:val="false"/>
          <w:color w:val="000000"/>
          <w:sz w:val="24"/>
        </w:rPr>
        <w:t xml:space="preserve">);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on May 8, 2024 Employee resigned her employment with the Company (the “</w:t>
      </w:r>
      <w:r>
        <w:rPr>
          <w:rFonts w:ascii="Times New Roman;sans-serif" w:hAnsi="Times New Roman;sans-serif"/>
          <w:b/>
          <w:i/>
          <w:color w:val="000000"/>
          <w:sz w:val="24"/>
        </w:rPr>
        <w:t>Resignation Date</w:t>
      </w:r>
      <w:r>
        <w:rPr>
          <w:color w:val="000000"/>
        </w:rPr>
        <w:t>”</w:t>
      </w:r>
      <w:r>
        <w:rPr>
          <w:rFonts w:ascii="Times New Roman;sans-serif" w:hAnsi="Times New Roman;sans-serif"/>
          <w:b w:val="false"/>
          <w:color w:val="000000"/>
          <w:sz w:val="24"/>
        </w:rPr>
        <w:t xml:space="preserve">);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the Company has determined that Employee cooperatively and diligently provided the Transition Services (as defined in the Transition Agreement);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this agreement serves as the Second Release, pursuant to the Transition Agreement; and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color w:val="000000"/>
          <w:sz w:val="24"/>
        </w:rPr>
        <w:t>WHEREAS</w:t>
      </w:r>
      <w:r>
        <w:rPr>
          <w:rFonts w:ascii="Times New Roman;sans-serif" w:hAnsi="Times New Roman;sans-serif"/>
          <w:b w:val="false"/>
          <w:color w:val="000000"/>
          <w:sz w:val="24"/>
        </w:rPr>
        <w:t xml:space="preserve">, Employee and the Company desire to mutually, amicably and finally resolve and compromise all issues and claims surrounding Employee’s employment and resignation from employment with the Company;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color w:val="000000"/>
          <w:sz w:val="24"/>
        </w:rPr>
        <w:t>NOW THEREFORE</w:t>
      </w:r>
      <w:r>
        <w:rPr>
          <w:rFonts w:ascii="Times New Roman;sans-serif" w:hAnsi="Times New Roman;sans-serif"/>
          <w:b w:val="false"/>
          <w:color w:val="000000"/>
          <w:sz w:val="24"/>
        </w:rPr>
        <w:t xml:space="preserve">, in consideration for the mutual promises and undertakings of the parties as set forth below, Employee and the Company hereby enter into this Second Release.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val="false"/>
          <w:color w:val="000000"/>
          <w:sz w:val="24"/>
        </w:rPr>
        <w:t>1.</w:t>
      </w:r>
      <w:r>
        <w:rPr>
          <w:rFonts w:ascii="Times New Roman;sans-serif" w:hAnsi="Times New Roman;sans-serif"/>
          <w:b w:val="false"/>
          <w:color w:val="000000"/>
          <w:sz w:val="24"/>
          <w:u w:val="single"/>
        </w:rPr>
        <w:t>Acknowledgment of Payment of Wages</w:t>
      </w:r>
      <w:r>
        <w:rPr>
          <w:rFonts w:ascii="Times New Roman;sans-serif" w:hAnsi="Times New Roman;sans-serif"/>
          <w:b w:val="false"/>
          <w:color w:val="000000"/>
          <w:sz w:val="24"/>
        </w:rPr>
        <w:t xml:space="preserve">: By signing below, Employee acknowledges that the Company: (a) has timely paid Employee for all wages, other compensation, and reimbursable expenses due Employee from the Company and (b) does not owe Employee any other amounts, except as may become payable under the Transition Agreement and the Second Release. Employee agrees to promptly submit for reimbursement all final outstanding expenses, if any.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val="false"/>
          <w:color w:val="000000"/>
          <w:sz w:val="24"/>
        </w:rPr>
        <w:t>2.</w:t>
      </w:r>
      <w:r>
        <w:rPr>
          <w:rFonts w:ascii="Times New Roman;sans-serif" w:hAnsi="Times New Roman;sans-serif"/>
          <w:b w:val="false"/>
          <w:color w:val="000000"/>
          <w:sz w:val="24"/>
          <w:u w:val="single"/>
        </w:rPr>
        <w:t>Return of Company Property</w:t>
      </w:r>
      <w:r>
        <w:rPr>
          <w:rFonts w:ascii="Times New Roman;sans-serif" w:hAnsi="Times New Roman;sans-serif"/>
          <w:b w:val="false"/>
          <w:color w:val="000000"/>
          <w:sz w:val="24"/>
        </w:rPr>
        <w:t xml:space="preserve">: Employee hereby warrants to the Company that Employee has returned to the Company all property or data of the Company of any type whatsoever that has been in Employee’s possession, custody or control. </w:t>
      </w:r>
    </w:p>
    <w:p>
      <w:pPr>
        <w:pStyle w:val="TextBody"/>
        <w:bidi w:val="0"/>
        <w:spacing w:before="0" w:after="0"/>
        <w:ind w:left="0" w:right="0" w:hanging="2"/>
        <w:jc w:val="both"/>
        <w:rPr/>
      </w:pPr>
      <w:r>
        <w:rPr/>
      </w:r>
    </w:p>
    <w:p>
      <w:pPr>
        <w:pStyle w:val="TextBody"/>
        <w:bidi w:val="0"/>
        <w:spacing w:lineRule="auto" w:line="288"/>
        <w:ind w:left="0" w:right="0" w:hanging="2"/>
        <w:jc w:val="both"/>
        <w:rPr/>
      </w:pPr>
      <w:r>
        <w:rPr>
          <w:rFonts w:ascii="Times New Roman;sans-serif" w:hAnsi="Times New Roman;sans-serif"/>
          <w:b w:val="false"/>
          <w:color w:val="000000"/>
          <w:sz w:val="24"/>
        </w:rPr>
        <w:t>3.</w:t>
      </w:r>
      <w:r>
        <w:rPr>
          <w:rFonts w:ascii="Times New Roman;sans-serif" w:hAnsi="Times New Roman;sans-serif"/>
          <w:b w:val="false"/>
          <w:color w:val="000000"/>
          <w:sz w:val="24"/>
          <w:u w:val="single"/>
        </w:rPr>
        <w:t>Consideration</w:t>
      </w:r>
      <w:r>
        <w:rPr>
          <w:rFonts w:ascii="Times New Roman;sans-serif" w:hAnsi="Times New Roman;sans-serif"/>
          <w:b w:val="false"/>
          <w:color w:val="000000"/>
          <w:sz w:val="24"/>
        </w:rPr>
        <w:t xml:space="preserve">: In exchange for Employee’s agreement to this Second Release and Employee’s other promises in the Transition Agreement and herein, the Company agrees to provide Employee the consideration set forth in Section 2(c) of the Transition Agreement. By signing below, Employee acknowledges that Employee is receiving the consideration in </w: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Sarah Friar</w:t>
      </w:r>
      <w:r>
        <mc:AlternateContent>
          <mc:Choice Requires="wps">
            <w:drawing>
              <wp:anchor behindDoc="0" distT="0" distB="0" distL="0" distR="0" simplePos="0" locked="0" layoutInCell="1" allowOverlap="1" relativeHeight="81">
                <wp:simplePos x="0" y="0"/>
                <wp:positionH relativeFrom="character">
                  <wp:align>left</wp:align>
                </wp:positionH>
                <wp:positionV relativeFrom="line">
                  <wp:posOffset>635</wp:posOffset>
                </wp:positionV>
                <wp:extent cx="6480175" cy="351155"/>
                <wp:effectExtent l="0" t="0" r="0" b="0"/>
                <wp:wrapNone/>
                <wp:docPr id="80" name="Frame73"/>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w:t>
                            </w:r>
                            <w:r>
                              <w:br w:type="page"/>
                            </w:r>
                          </w:p>
                          <w:p>
                            <w:pPr>
                              <w:pStyle w:val="TextBody"/>
                              <w:bidi w:val="0"/>
                              <w:spacing w:before="0" w:after="0"/>
                              <w:ind w:left="0" w:right="0" w:hanging="2"/>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1</w:t>
                      </w:r>
                    </w:p>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88" w:before="0" w:after="0"/>
        <w:ind w:left="0" w:right="0" w:hanging="2"/>
        <w:jc w:val="left"/>
        <w:rPr/>
      </w:pPr>
      <w:r>
        <w:rPr>
          <w:rFonts w:ascii="Times New Roman;sans-serif" w:hAnsi="Times New Roman;sans-serif"/>
          <w:b w:val="false"/>
          <w:color w:val="000000"/>
          <w:sz w:val="24"/>
        </w:rPr>
        <w:t xml:space="preserve">Page </w:t>
      </w:r>
      <w:r>
        <w:rPr>
          <w:rFonts w:ascii="Times New Roman;sans-serif" w:hAnsi="Times New Roman;sans-serif"/>
          <w:b w:val="false"/>
          <w:color w:val="000000"/>
          <w:sz w:val="20"/>
        </w:rPr>
        <w:t>2</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exchange for waiving Employee’s rights to claims referred to in this Second Release and Employee would not otherwise be entitled to the consideration.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val="false"/>
          <w:color w:val="000000"/>
          <w:sz w:val="24"/>
        </w:rPr>
        <w:t>4.</w:t>
      </w:r>
      <w:r>
        <w:rPr>
          <w:rFonts w:ascii="Times New Roman;sans-serif" w:hAnsi="Times New Roman;sans-serif"/>
          <w:b w:val="false"/>
          <w:color w:val="000000"/>
          <w:sz w:val="24"/>
          <w:u w:val="single"/>
        </w:rPr>
        <w:t>General Release and Waiver of Claims</w:t>
      </w:r>
      <w:r>
        <w:rPr>
          <w:rFonts w:ascii="Times New Roman;sans-serif" w:hAnsi="Times New Roman;sans-serif"/>
          <w:b w:val="false"/>
          <w:color w:val="000000"/>
          <w:sz w:val="24"/>
        </w:rPr>
        <w:t xml:space="preserve">: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val="false"/>
          <w:color w:val="000000"/>
          <w:sz w:val="24"/>
        </w:rPr>
        <w:t>a.</w:t>
      </w:r>
      <w:r>
        <w:rPr>
          <w:rFonts w:ascii="Times New Roman;sans-serif" w:hAnsi="Times New Roman;sans-serif"/>
          <w:b w:val="false"/>
          <w:color w:val="000000"/>
          <w:sz w:val="24"/>
        </w:rPr>
        <w:t>To the fullest extent permitted by law but subject to Section 4(c) below, Employee hereby releases and waives any claims Employee may have against the Company and its owners, agents, officers, shareholders, employees, directors, attorneys, subscribers, subsidiaries, affiliates, successors and assigns (collectively “</w:t>
      </w:r>
      <w:r>
        <w:rPr>
          <w:rFonts w:ascii="Times New Roman;sans-serif" w:hAnsi="Times New Roman;sans-serif"/>
          <w:b/>
          <w:i/>
          <w:color w:val="000000"/>
          <w:sz w:val="24"/>
        </w:rPr>
        <w:t>Releasees</w:t>
      </w:r>
      <w:r>
        <w:rPr>
          <w:color w:val="000000"/>
        </w:rPr>
        <w:t>”</w:t>
      </w:r>
      <w:r>
        <w:rPr>
          <w:rFonts w:ascii="Times New Roman;sans-serif" w:hAnsi="Times New Roman;sans-serif"/>
          <w:b w:val="false"/>
          <w:color w:val="000000"/>
          <w:sz w:val="24"/>
        </w:rPr>
        <w:t xml:space="preserve">), whether known or not known, including, without limitation, claims under any employment laws, including, but not limited to, claims arising out of or related to the </w:t>
      </w:r>
      <w:r>
        <w:rPr>
          <w:rFonts w:ascii="Times New Roman;sans-serif" w:hAnsi="Times New Roman;sans-serif"/>
          <w:b w:val="false"/>
          <w:color w:val="000000"/>
          <w:sz w:val="24"/>
          <w:u w:val="single"/>
        </w:rPr>
        <w:t>CIC Severance Agreement,</w:t>
      </w:r>
      <w:r>
        <w:rPr>
          <w:color w:val="000000"/>
        </w:rPr>
        <w:t xml:space="preserve"> </w:t>
      </w:r>
      <w:r>
        <w:rPr>
          <w:rFonts w:ascii="Times New Roman;sans-serif" w:hAnsi="Times New Roman;sans-serif"/>
          <w:b w:val="false"/>
          <w:color w:val="000000"/>
          <w:sz w:val="24"/>
        </w:rPr>
        <w:t xml:space="preserve">claims of unlawful discharge, breach of contract, breach of the covenant of good faith and fair dealing, fraud, violation of public policy, defamation, physical injury, emotional distress, claims for additional compensation or benefits arising out of Employee’s employment or separation of employment, claims under Title VII of the 1964 Civil Rights Act, as amended, the California Fair Employment and Housing Act and any other laws and/or regulations relating to employment or employment discrimination, including, without limitation, claims based on age or under the Age Discrimination in Employment Act or Older Workers Benefit Protection Act, and/or claims based on disability or under the Americans with Disabilities Act.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val="false"/>
          <w:color w:val="000000"/>
          <w:sz w:val="24"/>
        </w:rPr>
        <w:t>b.</w:t>
      </w:r>
      <w:r>
        <w:rPr>
          <w:rFonts w:ascii="Times New Roman;sans-serif" w:hAnsi="Times New Roman;sans-serif"/>
          <w:b w:val="false"/>
          <w:color w:val="000000"/>
          <w:sz w:val="24"/>
        </w:rPr>
        <w:t xml:space="preserve">By signing below, Employee expressly waives any benefits of Section 1542 of the Civil Code of the State of California, which provides as follows: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color w:val="000000"/>
        </w:rPr>
      </w:pPr>
      <w:r>
        <w:rPr>
          <w:color w:val="000000"/>
        </w:rPr>
        <w:t>“</w:t>
      </w:r>
      <w:r>
        <w:rPr>
          <w:rFonts w:ascii="Times New Roman;sans-serif" w:hAnsi="Times New Roman;sans-serif"/>
          <w:b w:val="false"/>
          <w:color w:val="000000"/>
          <w:sz w:val="24"/>
        </w:rPr>
        <w:t xml:space="preserve">A GENERAL RELEASE DOES NOT EXTEND TO CLAIMS THAT THE CREDITOR OR RELEASING PARTY DOES NOT KNOW OR SUSPECT TO EXIST IN HIS OR HER FAVOR AT THE TIME OF EXECUTING THE RELEASE AND THAT, IF KNOWN BY HIM OR HER, WOULD HAVE MATERIALLY AFFECTED HIS OR HER SETTLEMENT WITH THE DEBTOR OR RELEASED PARTY.” </w:t>
      </w:r>
    </w:p>
    <w:p>
      <w:pPr>
        <w:pStyle w:val="TextBody"/>
        <w:bidi w:val="0"/>
        <w:spacing w:before="0" w:after="0"/>
        <w:ind w:left="0" w:right="0" w:hanging="2"/>
        <w:jc w:val="both"/>
        <w:rPr/>
      </w:pPr>
      <w:r>
        <w:rPr/>
      </w:r>
    </w:p>
    <w:p>
      <w:pPr>
        <w:pStyle w:val="TextBody"/>
        <w:bidi w:val="0"/>
        <w:spacing w:lineRule="auto" w:line="288"/>
        <w:ind w:left="0" w:right="0" w:hanging="2"/>
        <w:jc w:val="both"/>
        <w:rPr/>
      </w:pPr>
      <w:r>
        <w:rPr>
          <w:rFonts w:ascii="Times New Roman;sans-serif" w:hAnsi="Times New Roman;sans-serif"/>
          <w:b w:val="false"/>
          <w:color w:val="000000"/>
          <w:sz w:val="24"/>
        </w:rPr>
        <w:t>c.</w:t>
      </w:r>
      <w:r>
        <w:rPr>
          <w:rFonts w:ascii="Times New Roman;sans-serif" w:hAnsi="Times New Roman;sans-serif"/>
          <w:b w:val="false"/>
          <w:color w:val="000000"/>
          <w:sz w:val="24"/>
        </w:rPr>
        <w:t>Employee and the Company agree that Employee is not releasing (i) any claims that she may not release as a matter of law, including but not limited to claims for indemnity under California Labor Code Section 2802; (ii) any claims for enforcement of this Agreement; (iii) any right to indemnification that she may have pursuant to the Company’s bylaws, its corporate charter or under any written indemnification agreement with the Company (or any corresponding provision of any subsidiary or affiliate of the Company); (iv) any rights that she may have to insurance coverage under any Company (or subsidiary or affiliate) directors and officers liability insurance policy; (v) any rights to continued medical and dental coverage that she may have under COBRA; (vi) any rights to payment of benefits that she may have under a retirement plan sponsored or maintained by the Company that is intended to qualify under Section 401(a) of the Internal Revenue Code of 1986, as amended or (vii) any rights to accrued benefits under the Company’s employee benefit plans. To the fullest extent permitted by law, any dispute regarding the scope of this general release shall be determined by an arbitrator under the procedures set forth in the arbitration clause below.</w: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Sarah Friar</w:t>
      </w:r>
      <w:r>
        <mc:AlternateContent>
          <mc:Choice Requires="wps">
            <w:drawing>
              <wp:anchor behindDoc="0" distT="0" distB="0" distL="0" distR="0" simplePos="0" locked="0" layoutInCell="1" allowOverlap="1" relativeHeight="82">
                <wp:simplePos x="0" y="0"/>
                <wp:positionH relativeFrom="character">
                  <wp:align>left</wp:align>
                </wp:positionH>
                <wp:positionV relativeFrom="line">
                  <wp:posOffset>635</wp:posOffset>
                </wp:positionV>
                <wp:extent cx="6480175" cy="351155"/>
                <wp:effectExtent l="0" t="0" r="0" b="0"/>
                <wp:wrapNone/>
                <wp:docPr id="81" name="Frame74"/>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ind w:left="0" w:right="0" w:hanging="2"/>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88" w:before="0" w:after="0"/>
        <w:ind w:left="0" w:right="0" w:hanging="2"/>
        <w:jc w:val="left"/>
        <w:rPr/>
      </w:pPr>
      <w:r>
        <w:rPr>
          <w:rFonts w:ascii="Times New Roman;sans-serif" w:hAnsi="Times New Roman;sans-serif"/>
          <w:b w:val="false"/>
          <w:color w:val="000000"/>
          <w:sz w:val="24"/>
        </w:rPr>
        <w:t xml:space="preserve">Page </w:t>
      </w:r>
      <w:r>
        <w:rPr>
          <w:rFonts w:ascii="Times New Roman;sans-serif" w:hAnsi="Times New Roman;sans-serif"/>
          <w:b w:val="false"/>
          <w:color w:val="000000"/>
          <w:sz w:val="20"/>
        </w:rPr>
        <w:t>3</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val="false"/>
          <w:color w:val="000000"/>
          <w:sz w:val="24"/>
        </w:rPr>
        <w:t>5.</w:t>
      </w:r>
      <w:r>
        <w:rPr>
          <w:rFonts w:ascii="Times New Roman;sans-serif" w:hAnsi="Times New Roman;sans-serif"/>
          <w:b w:val="false"/>
          <w:color w:val="000000"/>
          <w:sz w:val="24"/>
          <w:u w:val="single"/>
        </w:rPr>
        <w:t>Covenant Not to Sue</w:t>
      </w:r>
      <w:r>
        <w:rPr>
          <w:rFonts w:ascii="Times New Roman;sans-serif" w:hAnsi="Times New Roman;sans-serif"/>
          <w:b w:val="false"/>
          <w:color w:val="000000"/>
          <w:sz w:val="24"/>
        </w:rPr>
        <w:t xml:space="preserve">: To the fullest extent permitted by law, at no time subsequent to the execution of this Second Release will Employee pursue, or cause or knowingly permit the prosecution, in any state, federal or foreign court, or before any local, state, federal or foreign administrative agency, or any other tribunal, of any charge, claim or action of any kind, nature and character whatsoever, known or unknown, which Employee may now have, have ever had, or may in the future have against Releasees, which is based in whole or in part on any matter released by this Second Release. Nothing in this section shall prohibit or impair Employee or the Company from complying with all applicable laws, nor shall this Second Release be construed to obligate either party to commit (or aid or abet in the commission of) any unlawful act.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val="false"/>
          <w:color w:val="000000"/>
          <w:sz w:val="24"/>
        </w:rPr>
        <w:t>6.</w:t>
      </w:r>
      <w:r>
        <w:rPr>
          <w:rFonts w:ascii="Times New Roman;sans-serif" w:hAnsi="Times New Roman;sans-serif"/>
          <w:b w:val="false"/>
          <w:color w:val="000000"/>
          <w:sz w:val="24"/>
          <w:u w:val="single"/>
        </w:rPr>
        <w:t>Protected Rights</w:t>
      </w:r>
      <w:r>
        <w:rPr>
          <w:rFonts w:ascii="Times New Roman;sans-serif" w:hAnsi="Times New Roman;sans-serif"/>
          <w:b w:val="false"/>
          <w:color w:val="000000"/>
          <w:sz w:val="24"/>
        </w:rPr>
        <w:t>: Employee understands that nothing in this Second Release, including the General Release and Waiver of Claims, Covenant Not to Sue and Non-disparagement sections contained herein, limits, impedes or restricts: (a) Employee’s ability to file a charge or complaint with the Equal Employment Opportunity Commission, the National Labor Relations Board, the Occupational Safety and Health Administration, the Securities and Exchange Commission or any other federal, state or local government agency or commission (“</w:t>
      </w:r>
      <w:r>
        <w:rPr>
          <w:rFonts w:ascii="Times New Roman;sans-serif" w:hAnsi="Times New Roman;sans-serif"/>
          <w:b/>
          <w:i/>
          <w:color w:val="000000"/>
          <w:sz w:val="24"/>
        </w:rPr>
        <w:t>Government Agencies</w:t>
      </w:r>
      <w:r>
        <w:rPr>
          <w:color w:val="000000"/>
        </w:rPr>
        <w:t>”</w:t>
      </w:r>
      <w:r>
        <w:rPr>
          <w:rFonts w:ascii="Times New Roman;sans-serif" w:hAnsi="Times New Roman;sans-serif"/>
          <w:b w:val="false"/>
          <w:color w:val="000000"/>
          <w:sz w:val="24"/>
        </w:rPr>
        <w:t xml:space="preserve">). Employee further understands that this Second Release does not limit Employee’s ability to communicate with any Government Agencies or otherwise participate and/or assist in any investigation or proceeding that may be conducted by any Government Agency, including providing documents (including this Second Release) or other information, without notice to the Company. This Second Release does not limit Employee’s right to receive an award for information provided to any Government Agencies or prohibit you from providing truthful information in response to a subpoena or other legal process.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val="false"/>
          <w:color w:val="000000"/>
          <w:sz w:val="24"/>
        </w:rPr>
        <w:t>7.</w:t>
      </w:r>
      <w:r>
        <w:rPr>
          <w:rFonts w:ascii="Times New Roman;sans-serif" w:hAnsi="Times New Roman;sans-serif"/>
          <w:b w:val="false"/>
          <w:color w:val="000000"/>
          <w:sz w:val="24"/>
          <w:u w:val="single"/>
        </w:rPr>
        <w:t>Mutual Non-disparagement</w:t>
      </w:r>
      <w:r>
        <w:rPr>
          <w:rFonts w:ascii="Times New Roman;sans-serif" w:hAnsi="Times New Roman;sans-serif"/>
          <w:b w:val="false"/>
          <w:color w:val="000000"/>
          <w:sz w:val="24"/>
        </w:rPr>
        <w:t>: Subject to the Protected Rights section above, and otherwise to the fullest extent permitted by applicable law, Employee agrees that Employee will not, directly or indirectly, disparage Releasees or their products, services, directors, officers, employees and affiliated entities, including, but not limited to, any statement posted on social media (including online company review sites) or otherwise on the Internet, whether or not made anonymously or with attribution, with any written or oral statement. The Company agrees that its current officers and directors, for so long as they are employed by or providing services to the Company, will not disparage Employee with any written or oral statement. Nothing in this Second Release prevents Employee or the Company from providing truthful information in response to a subpoena or other legal process. Further, nothing in this Agreement prevents Employee from discussing or disclosing information about unlawful acts in the workplace, such as harassment or discrimination or any other conduct that Employee has reason to believe is unlawful.</w:t>
      </w:r>
    </w:p>
    <w:p>
      <w:pPr>
        <w:pStyle w:val="TextBody"/>
        <w:bidi w:val="0"/>
        <w:spacing w:before="0" w:after="0"/>
        <w:ind w:left="0" w:right="0" w:hanging="2"/>
        <w:jc w:val="left"/>
        <w:rPr/>
      </w:pPr>
      <w:r>
        <w:rPr/>
      </w:r>
    </w:p>
    <w:p>
      <w:pPr>
        <w:pStyle w:val="TextBody"/>
        <w:bidi w:val="0"/>
        <w:spacing w:lineRule="auto" w:line="288"/>
        <w:ind w:left="0" w:right="0" w:hanging="2"/>
        <w:jc w:val="both"/>
        <w:rPr/>
      </w:pPr>
      <w:r>
        <w:rPr>
          <w:rFonts w:ascii="Times New Roman;sans-serif" w:hAnsi="Times New Roman;sans-serif"/>
          <w:b w:val="false"/>
          <w:color w:val="000000"/>
          <w:sz w:val="24"/>
        </w:rPr>
        <w:t>8.</w:t>
      </w:r>
      <w:r>
        <w:rPr>
          <w:rFonts w:ascii="Times New Roman;sans-serif" w:hAnsi="Times New Roman;sans-serif"/>
          <w:b w:val="false"/>
          <w:color w:val="000000"/>
          <w:sz w:val="24"/>
          <w:u w:val="single"/>
        </w:rPr>
        <w:t>Review of Second Release; Expiration of Offer</w:t>
      </w:r>
      <w:r>
        <w:rPr>
          <w:rFonts w:ascii="Times New Roman;sans-serif" w:hAnsi="Times New Roman;sans-serif"/>
          <w:b w:val="false"/>
          <w:color w:val="000000"/>
          <w:sz w:val="24"/>
        </w:rPr>
        <w:t>: Employee understands that Employee may take up to twenty-one (21) days to consider this Second Release (the “</w:t>
      </w:r>
      <w:r>
        <w:rPr>
          <w:rFonts w:ascii="Times New Roman;sans-serif" w:hAnsi="Times New Roman;sans-serif"/>
          <w:b/>
          <w:i/>
          <w:color w:val="000000"/>
          <w:sz w:val="24"/>
        </w:rPr>
        <w:t>Consideration Period</w:t>
      </w:r>
      <w:r>
        <w:rPr>
          <w:color w:val="000000"/>
        </w:rPr>
        <w:t>”</w:t>
      </w:r>
      <w:r>
        <w:rPr>
          <w:rFonts w:ascii="Times New Roman;sans-serif" w:hAnsi="Times New Roman;sans-serif"/>
          <w:b w:val="false"/>
          <w:color w:val="000000"/>
          <w:sz w:val="24"/>
        </w:rPr>
        <w:t xml:space="preserve">). The offer set forth in this Second Release, if not accepted by Employee before the end of the Consideration Period, will automatically expire. Employee and the Company further agree </w:t>
      </w:r>
    </w:p>
    <w:p>
      <w:pPr>
        <w:pStyle w:val="TextBody"/>
        <w:bidi w:val="0"/>
        <w:spacing w:lineRule="auto" w:line="288" w:before="0" w:after="0"/>
        <w:ind w:left="0" w:right="0" w:hanging="2"/>
        <w:jc w:val="left"/>
        <w:rPr>
          <w:rFonts w:ascii="Times New Roman;sans-serif" w:hAnsi="Times New Roman;sans-serif"/>
          <w:b w:val="false"/>
          <w:color w:val="000000"/>
          <w:sz w:val="24"/>
        </w:rPr>
      </w:pPr>
      <w:r>
        <w:rPr>
          <w:rFonts w:ascii="Times New Roman;sans-serif" w:hAnsi="Times New Roman;sans-serif"/>
          <w:b w:val="false"/>
          <w:color w:val="000000"/>
          <w:sz w:val="24"/>
        </w:rPr>
        <w:t>Sarah Friar</w:t>
      </w:r>
      <w:r>
        <mc:AlternateContent>
          <mc:Choice Requires="wps">
            <w:drawing>
              <wp:anchor behindDoc="0" distT="0" distB="0" distL="0" distR="0" simplePos="0" locked="0" layoutInCell="1" allowOverlap="1" relativeHeight="83">
                <wp:simplePos x="0" y="0"/>
                <wp:positionH relativeFrom="character">
                  <wp:align>left</wp:align>
                </wp:positionH>
                <wp:positionV relativeFrom="line">
                  <wp:posOffset>635</wp:posOffset>
                </wp:positionV>
                <wp:extent cx="6480175" cy="351155"/>
                <wp:effectExtent l="0" t="0" r="0" b="0"/>
                <wp:wrapNone/>
                <wp:docPr id="82" name="Frame75"/>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ind w:left="0" w:right="0" w:hanging="2"/>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88" w:before="0" w:after="0"/>
        <w:ind w:left="0" w:right="0" w:hanging="2"/>
        <w:jc w:val="left"/>
        <w:rPr/>
      </w:pPr>
      <w:r>
        <w:rPr>
          <w:rFonts w:ascii="Times New Roman;sans-serif" w:hAnsi="Times New Roman;sans-serif"/>
          <w:b w:val="false"/>
          <w:color w:val="000000"/>
          <w:sz w:val="24"/>
        </w:rPr>
        <w:t xml:space="preserve">Page </w:t>
      </w:r>
      <w:r>
        <w:rPr>
          <w:rFonts w:ascii="Times New Roman;sans-serif" w:hAnsi="Times New Roman;sans-serif"/>
          <w:b w:val="false"/>
          <w:color w:val="000000"/>
          <w:sz w:val="20"/>
        </w:rPr>
        <w:t>4</w: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 xml:space="preserve">that any changes to this Agreement, whether material or immaterial, do not re-start the Consideration Period. By signing below, Employee affirms that Employee was advised to consult with an attorney prior to signing this Second Release. Employee also understands that Employee may revoke this Second Release within seven (7) days of signing this document and that the consideration to be provided to Employee pursuant to Section 2(c) of the Transition Agreement will be provided only after the expiration of that seven (7) day revocation period.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val="false"/>
          <w:color w:val="000000"/>
          <w:sz w:val="24"/>
        </w:rPr>
        <w:t>9.</w:t>
      </w:r>
      <w:r>
        <w:rPr>
          <w:rFonts w:ascii="Times New Roman;sans-serif" w:hAnsi="Times New Roman;sans-serif"/>
          <w:b w:val="false"/>
          <w:color w:val="000000"/>
          <w:sz w:val="24"/>
          <w:u w:val="single"/>
        </w:rPr>
        <w:t>Effective Date</w:t>
      </w:r>
      <w:r>
        <w:rPr>
          <w:rFonts w:ascii="Times New Roman;sans-serif" w:hAnsi="Times New Roman;sans-serif"/>
          <w:b w:val="false"/>
          <w:color w:val="000000"/>
          <w:sz w:val="24"/>
        </w:rPr>
        <w:t>: This Second Release is effective on the eighth (8th) day after Employee signs it, provided Employee has not revoked it as of that time (the “</w:t>
      </w:r>
      <w:r>
        <w:rPr>
          <w:rFonts w:ascii="Times New Roman;sans-serif" w:hAnsi="Times New Roman;sans-serif"/>
          <w:b/>
          <w:i/>
          <w:color w:val="000000"/>
          <w:sz w:val="24"/>
        </w:rPr>
        <w:t>Effective Date</w:t>
      </w:r>
      <w:r>
        <w:rPr>
          <w:color w:val="000000"/>
        </w:rPr>
        <w:t>”</w:t>
      </w:r>
      <w:r>
        <w:rPr>
          <w:rFonts w:ascii="Times New Roman;sans-serif" w:hAnsi="Times New Roman;sans-serif"/>
          <w:b w:val="false"/>
          <w:color w:val="000000"/>
          <w:sz w:val="24"/>
        </w:rPr>
        <w:t xml:space="preserve">). </w:t>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val="false"/>
          <w:color w:val="000000"/>
          <w:sz w:val="24"/>
        </w:rPr>
        <w:t>10.</w:t>
      </w:r>
      <w:r>
        <w:rPr>
          <w:rFonts w:ascii="Times New Roman;sans-serif" w:hAnsi="Times New Roman;sans-serif"/>
          <w:b w:val="false"/>
          <w:color w:val="000000"/>
          <w:sz w:val="24"/>
          <w:u w:val="single"/>
        </w:rPr>
        <w:t>Other Terms of Transition Agreement Incorporated Herein</w:t>
      </w:r>
      <w:r>
        <w:rPr>
          <w:rFonts w:ascii="Times New Roman;sans-serif" w:hAnsi="Times New Roman;sans-serif"/>
          <w:b w:val="false"/>
          <w:color w:val="000000"/>
          <w:sz w:val="24"/>
        </w:rPr>
        <w:t xml:space="preserve">: All other terms of the Transition Agreement to the extent not inconsistent with the terms of this Second Release are hereby incorporated in this Second Release as though fully stated herein and apply with equal force to this Second Release, including, without limitation, the provisions on Arbitration, Governing Law, and Attorneys’ Fees. </w:t>
      </w:r>
    </w:p>
    <w:p>
      <w:pPr>
        <w:pStyle w:val="TextBody"/>
        <w:bidi w:val="0"/>
        <w:spacing w:before="0" w:after="0"/>
        <w:ind w:left="0" w:right="0" w:hanging="2"/>
        <w:jc w:val="both"/>
        <w:rPr/>
      </w:pPr>
      <w:r>
        <w:rPr/>
      </w:r>
    </w:p>
    <w:p>
      <w:pPr>
        <w:pStyle w:val="TextBody"/>
        <w:bidi w:val="0"/>
        <w:spacing w:before="0" w:after="0"/>
        <w:ind w:left="0" w:right="0" w:hanging="2"/>
        <w:jc w:val="both"/>
        <w:rPr/>
      </w:pPr>
      <w:r>
        <w:rPr/>
      </w:r>
    </w:p>
    <w:p>
      <w:pPr>
        <w:pStyle w:val="TextBody"/>
        <w:bidi w:val="0"/>
        <w:spacing w:before="0" w:after="0"/>
        <w:ind w:left="0" w:right="0" w:hanging="2"/>
        <w:jc w:val="both"/>
        <w:rPr/>
      </w:pPr>
      <w:r>
        <w:rPr/>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val="false"/>
          <w:color w:val="000000"/>
          <w:sz w:val="24"/>
        </w:rPr>
        <w:t>Dated:</w:t>
      </w:r>
      <w:r>
        <w:rPr>
          <w:color w:val="000000"/>
          <w:u w:val="single"/>
        </w:rPr>
        <w:t>                    </w:t>
      </w:r>
      <w:r>
        <w:rPr>
          <w:color w:val="000000"/>
        </w:rPr>
        <w:t>    </w:t>
      </w:r>
      <w:r>
        <w:rPr>
          <w:color w:val="000000"/>
          <w:u w:val="single"/>
        </w:rPr>
        <w:t>                </w:t>
      </w:r>
    </w:p>
    <w:p>
      <w:pPr>
        <w:pStyle w:val="TextBody"/>
        <w:bidi w:val="0"/>
        <w:spacing w:lineRule="auto" w:line="288" w:before="0" w:after="0"/>
        <w:jc w:val="both"/>
        <w:rPr>
          <w:rFonts w:ascii="Times New Roman;sans-serif" w:hAnsi="Times New Roman;sans-serif"/>
          <w:b w:val="false"/>
          <w:color w:val="000000"/>
          <w:sz w:val="24"/>
        </w:rPr>
      </w:pPr>
      <w:r>
        <w:rPr>
          <w:rFonts w:ascii="Times New Roman;sans-serif" w:hAnsi="Times New Roman;sans-serif"/>
          <w:b w:val="false"/>
          <w:color w:val="000000"/>
          <w:sz w:val="24"/>
        </w:rPr>
        <w:t>Name: John Orta</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Title: Head of Legal and Corporate Development    </w:t>
      </w:r>
    </w:p>
    <w:p>
      <w:pPr>
        <w:pStyle w:val="TextBody"/>
        <w:bidi w:val="0"/>
        <w:spacing w:lineRule="auto" w:line="288" w:before="0" w:after="0"/>
        <w:jc w:val="left"/>
        <w:rPr>
          <w:rFonts w:ascii="Times New Roman;sans-serif" w:hAnsi="Times New Roman;sans-serif"/>
          <w:b w:val="false"/>
          <w:color w:val="000000"/>
          <w:sz w:val="24"/>
        </w:rPr>
      </w:pPr>
      <w:r>
        <w:rPr>
          <w:rFonts w:ascii="Times New Roman;sans-serif" w:hAnsi="Times New Roman;sans-serif"/>
          <w:b w:val="false"/>
          <w:color w:val="000000"/>
          <w:sz w:val="24"/>
        </w:rPr>
        <w:t xml:space="preserve">For the Company </w:t>
      </w:r>
    </w:p>
    <w:p>
      <w:pPr>
        <w:pStyle w:val="TextBody"/>
        <w:bidi w:val="0"/>
        <w:spacing w:before="0" w:after="0"/>
        <w:ind w:left="0" w:right="0" w:hanging="2"/>
        <w:jc w:val="both"/>
        <w:rPr/>
      </w:pPr>
      <w:r>
        <w:rPr/>
      </w:r>
    </w:p>
    <w:p>
      <w:pPr>
        <w:pStyle w:val="TextBody"/>
        <w:bidi w:val="0"/>
        <w:spacing w:before="0" w:after="0"/>
        <w:ind w:left="0" w:right="0" w:hanging="2"/>
        <w:jc w:val="both"/>
        <w:rPr/>
      </w:pPr>
      <w:r>
        <w:rPr/>
      </w:r>
    </w:p>
    <w:p>
      <w:pPr>
        <w:pStyle w:val="TextBody"/>
        <w:bidi w:val="0"/>
        <w:spacing w:lineRule="auto" w:line="288" w:before="0" w:after="0"/>
        <w:ind w:left="0" w:right="0" w:hanging="2"/>
        <w:jc w:val="both"/>
        <w:rPr/>
      </w:pPr>
      <w:r>
        <w:rPr>
          <w:rFonts w:ascii="Times New Roman;sans-serif" w:hAnsi="Times New Roman;sans-serif"/>
          <w:b w:val="false"/>
          <w:color w:val="000000"/>
          <w:sz w:val="24"/>
        </w:rPr>
        <w:t>Dated:</w:t>
      </w:r>
      <w:r>
        <w:rPr>
          <w:color w:val="000000"/>
          <w:u w:val="single"/>
        </w:rPr>
        <w:t>            </w:t>
      </w:r>
      <w:r>
        <w:rPr>
          <w:color w:val="000000"/>
        </w:rPr>
        <w:t>            </w:t>
      </w:r>
      <w:r>
        <w:rPr>
          <w:color w:val="000000"/>
          <w:u w:val="single"/>
        </w:rPr>
        <w:t>                </w:t>
      </w:r>
    </w:p>
    <w:p>
      <w:pPr>
        <w:pStyle w:val="TextBody"/>
        <w:bidi w:val="0"/>
        <w:spacing w:lineRule="auto" w:line="288" w:before="0" w:after="0"/>
        <w:ind w:left="0" w:right="0" w:hanging="1"/>
        <w:jc w:val="left"/>
        <w:rPr/>
      </w:pPr>
      <w:r>
        <w:rPr>
          <w:rFonts w:ascii="Times New Roman;sans-serif" w:hAnsi="Times New Roman;sans-serif"/>
          <w:b w:val="false"/>
          <w:color w:val="000000"/>
          <w:sz w:val="24"/>
        </w:rPr>
        <w:t>Sarah Friar</w:t>
      </w:r>
      <w:r>
        <w:rPr>
          <w:color w:val="000000"/>
        </w:rPr>
        <w:t xml:space="preserve">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84">
                <wp:simplePos x="0" y="0"/>
                <wp:positionH relativeFrom="character">
                  <wp:align>left</wp:align>
                </wp:positionH>
                <wp:positionV relativeFrom="line">
                  <wp:posOffset>635</wp:posOffset>
                </wp:positionV>
                <wp:extent cx="6480175" cy="351155"/>
                <wp:effectExtent l="0" t="0" r="0" b="0"/>
                <wp:wrapNone/>
                <wp:docPr id="83" name="Frame76"/>
                <a:graphic xmlns:a="http://schemas.openxmlformats.org/drawingml/2006/main">
                  <a:graphicData uri="http://schemas.microsoft.com/office/word/2010/wordprocessingShape">
                    <wps:wsp>
                      <wps:cNvSpPr txBox="1"/>
                      <wps:spPr>
                        <a:xfrm>
                          <a:off x="0" y="0"/>
                          <a:ext cx="6480175" cy="351155"/>
                        </a:xfrm>
                        <a:prstGeom prst="rect"/>
                        <a:solidFill>
                          <a:srgbClr val="FFFFFF"/>
                        </a:solidFill>
                      </wps:spPr>
                      <wps:txb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ind w:left="0" w:right="0" w:hanging="2"/>
                              <w:jc w:val="righ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7.6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ind w:left="0" w:right="0" w:hanging="2"/>
                        <w:jc w:val="right"/>
                        <w:rPr/>
                      </w:pPr>
                      <w:r>
                        <w:rPr/>
                      </w:r>
                    </w:p>
                  </w:txbxContent>
                </v:textbox>
                <w10:wrap type="none"/>
              </v:rect>
            </w:pict>
          </mc:Fallback>
        </mc:AlternateContent>
      </w:r>
    </w:p>
    <w:p>
      <w:pPr>
        <w:pStyle w:val="TextBody"/>
        <w:bidi w:val="0"/>
        <w:spacing w:lineRule="auto" w:line="288" w:before="0" w:after="0"/>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before="0" w:after="0"/>
        <w:ind w:left="0" w:right="0" w:hanging="2"/>
        <w:jc w:val="center"/>
        <w:rPr/>
      </w:pPr>
      <w:r>
        <w:rPr/>
      </w:r>
    </w:p>
    <w:p>
      <w:pPr>
        <w:pStyle w:val="TextBody"/>
        <w:bidi w:val="0"/>
        <w:spacing w:lineRule="auto" w:line="288" w:before="0" w:after="0"/>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EMPLOYEE INVENTION ASSIGNMENT AND CONFIDENTIALITY AGREEMENT</w:t>
      </w:r>
    </w:p>
    <w:p>
      <w:pPr>
        <w:pStyle w:val="TextBody"/>
        <w:bidi w:val="0"/>
        <w:spacing w:before="0" w:after="0"/>
        <w:ind w:left="0" w:right="0" w:hanging="2"/>
        <w:jc w:val="left"/>
        <w:rPr/>
      </w:pPr>
      <w:r>
        <w:rPr/>
      </w:r>
    </w:p>
    <w:p>
      <w:pPr>
        <w:pStyle w:val="TextBody"/>
        <w:bidi w:val="0"/>
        <w:spacing w:lineRule="auto" w:line="288" w:before="0" w:after="0"/>
        <w:ind w:left="0" w:right="0" w:firstLine="720"/>
        <w:jc w:val="left"/>
        <w:rPr/>
      </w:pPr>
      <w:r>
        <w:rPr>
          <w:rFonts w:ascii="Times New Roman;sans-serif" w:hAnsi="Times New Roman;sans-serif"/>
          <w:b w:val="false"/>
          <w:color w:val="000000"/>
          <w:sz w:val="22"/>
        </w:rPr>
        <w:t>In consideration of, and as a condition of my employment with Nextdoor.com, Inc., a Delaware corporation (the “</w:t>
      </w:r>
      <w:r>
        <w:rPr>
          <w:rFonts w:ascii="Times New Roman;sans-serif" w:hAnsi="Times New Roman;sans-serif"/>
          <w:b/>
          <w:i/>
          <w:color w:val="000000"/>
          <w:sz w:val="22"/>
        </w:rPr>
        <w:t>Company</w:t>
      </w:r>
      <w:r>
        <w:rPr>
          <w:color w:val="000000"/>
        </w:rPr>
        <w:t>”</w:t>
      </w:r>
      <w:r>
        <w:rPr>
          <w:rFonts w:ascii="Times New Roman;sans-serif" w:hAnsi="Times New Roman;sans-serif"/>
          <w:b w:val="false"/>
          <w:color w:val="000000"/>
          <w:sz w:val="22"/>
        </w:rPr>
        <w:t>), I, as the “</w:t>
      </w:r>
      <w:r>
        <w:rPr>
          <w:rFonts w:ascii="Times New Roman;sans-serif" w:hAnsi="Times New Roman;sans-serif"/>
          <w:b/>
          <w:i/>
          <w:color w:val="000000"/>
          <w:sz w:val="22"/>
        </w:rPr>
        <w:t>Employee</w:t>
      </w:r>
      <w:r>
        <w:rPr>
          <w:color w:val="000000"/>
        </w:rPr>
        <w:t xml:space="preserve">” </w:t>
      </w:r>
      <w:r>
        <w:rPr>
          <w:rFonts w:ascii="Times New Roman;sans-serif" w:hAnsi="Times New Roman;sans-serif"/>
          <w:b w:val="false"/>
          <w:color w:val="000000"/>
          <w:sz w:val="22"/>
        </w:rPr>
        <w:t>signing this Employee Invention Assignment and Confidentiality Agreement (the “</w:t>
      </w:r>
      <w:r>
        <w:rPr>
          <w:rFonts w:ascii="Times New Roman;sans-serif" w:hAnsi="Times New Roman;sans-serif"/>
          <w:b/>
          <w:i/>
          <w:color w:val="000000"/>
          <w:sz w:val="22"/>
        </w:rPr>
        <w:t>Agreement</w:t>
      </w:r>
      <w:r>
        <w:rPr>
          <w:color w:val="000000"/>
        </w:rPr>
        <w:t>”</w:t>
      </w:r>
      <w:r>
        <w:rPr>
          <w:rFonts w:ascii="Times New Roman;sans-serif" w:hAnsi="Times New Roman;sans-serif"/>
          <w:b w:val="false"/>
          <w:color w:val="000000"/>
          <w:sz w:val="22"/>
        </w:rPr>
        <w:t>),</w:t>
      </w:r>
      <w:r>
        <w:rPr>
          <w:color w:val="000000"/>
        </w:rPr>
        <w:t xml:space="preserve"> </w:t>
      </w:r>
      <w:r>
        <w:rPr>
          <w:rFonts w:ascii="Times New Roman;sans-serif" w:hAnsi="Times New Roman;sans-serif"/>
          <w:b w:val="false"/>
          <w:color w:val="000000"/>
          <w:sz w:val="22"/>
        </w:rPr>
        <w:t>hereby represent to, and agree with the Company, as follows:</w:t>
      </w:r>
    </w:p>
    <w:p>
      <w:pPr>
        <w:pStyle w:val="TextBody"/>
        <w:bidi w:val="0"/>
        <w:spacing w:before="1" w:after="283"/>
        <w:jc w:val="left"/>
        <w:rPr/>
      </w:pPr>
      <w:r>
        <w:rPr/>
      </w:r>
    </w:p>
    <w:p>
      <w:pPr>
        <w:pStyle w:val="TextBody"/>
        <w:bidi w:val="0"/>
        <w:spacing w:lineRule="auto" w:line="292" w:before="0" w:after="0"/>
        <w:ind w:left="0" w:right="0" w:firstLine="721"/>
        <w:jc w:val="both"/>
        <w:rPr/>
      </w:pPr>
      <w:r>
        <w:rPr>
          <w:rFonts w:ascii="Times New Roman;sans-serif" w:hAnsi="Times New Roman;sans-serif"/>
          <w:b/>
          <w:color w:val="000000"/>
          <w:sz w:val="19"/>
        </w:rPr>
        <w:t>1.</w:t>
      </w:r>
      <w:r>
        <w:rPr>
          <w:rFonts w:ascii="Times New Roman;sans-serif" w:hAnsi="Times New Roman;sans-serif"/>
          <w:b/>
          <w:color w:val="000000"/>
          <w:sz w:val="22"/>
          <w:u w:val="single"/>
        </w:rPr>
        <w:t>Purpose of Agreement</w:t>
      </w:r>
      <w:r>
        <w:rPr>
          <w:rFonts w:ascii="Times New Roman;sans-serif" w:hAnsi="Times New Roman;sans-serif"/>
          <w:b/>
          <w:color w:val="000000"/>
          <w:sz w:val="22"/>
        </w:rPr>
        <w:t xml:space="preserve">. </w:t>
      </w:r>
      <w:r>
        <w:rPr>
          <w:rFonts w:ascii="Times New Roman;sans-serif" w:hAnsi="Times New Roman;sans-serif"/>
          <w:b w:val="false"/>
          <w:color w:val="000000"/>
          <w:sz w:val="22"/>
        </w:rPr>
        <w:t>I understand that the Company is engaged in a continuous program of research, development, production and marketing in connection with its current and projected business and that it is critical for the Company to preserve and protect its “</w:t>
      </w:r>
      <w:r>
        <w:rPr>
          <w:rFonts w:ascii="Times New Roman;sans-serif" w:hAnsi="Times New Roman;sans-serif"/>
          <w:b/>
          <w:i/>
          <w:color w:val="000000"/>
          <w:sz w:val="22"/>
        </w:rPr>
        <w:t>Proprietary Information</w:t>
      </w:r>
      <w:r>
        <w:rPr>
          <w:color w:val="000000"/>
        </w:rPr>
        <w:t xml:space="preserve">” </w:t>
      </w:r>
      <w:r>
        <w:rPr>
          <w:rFonts w:ascii="Times New Roman;sans-serif" w:hAnsi="Times New Roman;sans-serif"/>
          <w:b w:val="false"/>
          <w:color w:val="000000"/>
          <w:sz w:val="22"/>
        </w:rPr>
        <w:t>(as defined in Section 8 below), its rights in “</w:t>
      </w:r>
      <w:r>
        <w:rPr>
          <w:rFonts w:ascii="Times New Roman;sans-serif" w:hAnsi="Times New Roman;sans-serif"/>
          <w:b/>
          <w:i/>
          <w:color w:val="000000"/>
          <w:sz w:val="22"/>
        </w:rPr>
        <w:t>Inventions</w:t>
      </w:r>
      <w:r>
        <w:rPr>
          <w:color w:val="000000"/>
        </w:rPr>
        <w:t xml:space="preserve">” </w:t>
      </w:r>
      <w:r>
        <w:rPr>
          <w:rFonts w:ascii="Times New Roman;sans-serif" w:hAnsi="Times New Roman;sans-serif"/>
          <w:b w:val="false"/>
          <w:color w:val="000000"/>
          <w:sz w:val="22"/>
        </w:rPr>
        <w:t>(as defined in Section 2 below) and in all related intellectual property rights. Accordingly, I am entering into this Agreement as a condition of my employment with the Company, whether or not I am expected to create inventions or other works of value for the Company.</w:t>
      </w:r>
    </w:p>
    <w:p>
      <w:pPr>
        <w:pStyle w:val="TextBody"/>
        <w:bidi w:val="0"/>
        <w:spacing w:before="0" w:after="0"/>
        <w:jc w:val="left"/>
        <w:rPr/>
      </w:pPr>
      <w:r>
        <w:rPr/>
      </w:r>
    </w:p>
    <w:p>
      <w:pPr>
        <w:pStyle w:val="TextBody"/>
        <w:bidi w:val="0"/>
        <w:spacing w:lineRule="auto" w:line="292" w:before="1" w:after="283"/>
        <w:ind w:left="0" w:right="0" w:firstLine="720"/>
        <w:jc w:val="both"/>
        <w:rPr/>
      </w:pPr>
      <w:r>
        <w:rPr>
          <w:rFonts w:ascii="Times New Roman;sans-serif" w:hAnsi="Times New Roman;sans-serif"/>
          <w:b/>
          <w:color w:val="000000"/>
          <w:sz w:val="19"/>
        </w:rPr>
        <w:t>2.</w:t>
      </w:r>
      <w:r>
        <w:rPr>
          <w:rFonts w:ascii="Times New Roman;sans-serif" w:hAnsi="Times New Roman;sans-serif"/>
          <w:b/>
          <w:color w:val="000000"/>
          <w:sz w:val="22"/>
          <w:u w:val="single"/>
        </w:rPr>
        <w:t>Disclosure of Inventions</w:t>
      </w:r>
      <w:r>
        <w:rPr>
          <w:rFonts w:ascii="Times New Roman;sans-serif" w:hAnsi="Times New Roman;sans-serif"/>
          <w:b/>
          <w:color w:val="000000"/>
          <w:sz w:val="22"/>
        </w:rPr>
        <w:t xml:space="preserve">. </w:t>
      </w:r>
      <w:r>
        <w:rPr>
          <w:rFonts w:ascii="Times New Roman;sans-serif" w:hAnsi="Times New Roman;sans-serif"/>
          <w:b w:val="false"/>
          <w:color w:val="000000"/>
          <w:sz w:val="22"/>
        </w:rPr>
        <w:t>I will promptly disclose in confidence to the Company, or any person designated by it, all inventions, improvements, designs, original works of authorship, formulas, processes, compositions of matter, computer software programs, databases, mask works and trade secrets that I make, conceive, first reduce to practice or create, either alone or jointly with others, during the period of my employment, whether or not in the course of my employment, and whether or not patentable, copyrightable or protectable as trade secrets (the “</w:t>
      </w:r>
      <w:r>
        <w:rPr>
          <w:rFonts w:ascii="Times New Roman;sans-serif" w:hAnsi="Times New Roman;sans-serif"/>
          <w:b/>
          <w:i/>
          <w:color w:val="000000"/>
          <w:sz w:val="22"/>
        </w:rPr>
        <w:t>Inventions</w:t>
      </w:r>
      <w:r>
        <w:rPr>
          <w:color w:val="000000"/>
        </w:rPr>
        <w:t>”</w:t>
      </w:r>
      <w:r>
        <w:rPr>
          <w:rFonts w:ascii="Times New Roman;sans-serif" w:hAnsi="Times New Roman;sans-serif"/>
          <w:b w:val="false"/>
          <w:color w:val="000000"/>
          <w:sz w:val="22"/>
        </w:rPr>
        <w:t>).</w:t>
      </w:r>
    </w:p>
    <w:p>
      <w:pPr>
        <w:pStyle w:val="TextBody"/>
        <w:bidi w:val="0"/>
        <w:spacing w:before="4" w:after="283"/>
        <w:jc w:val="left"/>
        <w:rPr/>
      </w:pPr>
      <w:r>
        <w:rPr/>
      </w:r>
    </w:p>
    <w:p>
      <w:pPr>
        <w:pStyle w:val="TextBody"/>
        <w:bidi w:val="0"/>
        <w:spacing w:lineRule="auto" w:line="292" w:before="0" w:after="0"/>
        <w:ind w:left="0" w:right="0" w:firstLine="721"/>
        <w:jc w:val="both"/>
        <w:rPr/>
      </w:pPr>
      <w:r>
        <w:rPr>
          <w:rFonts w:ascii="Times New Roman;sans-serif" w:hAnsi="Times New Roman;sans-serif"/>
          <w:b/>
          <w:color w:val="000000"/>
          <w:sz w:val="19"/>
        </w:rPr>
        <w:t>3.</w:t>
      </w:r>
      <w:r>
        <w:rPr>
          <w:rFonts w:ascii="Times New Roman;sans-serif" w:hAnsi="Times New Roman;sans-serif"/>
          <w:b/>
          <w:color w:val="000000"/>
          <w:sz w:val="22"/>
          <w:u w:val="single"/>
        </w:rPr>
        <w:t>Work for Hire; Assignment of Inventions</w:t>
      </w:r>
      <w:r>
        <w:rPr>
          <w:rFonts w:ascii="Times New Roman;sans-serif" w:hAnsi="Times New Roman;sans-serif"/>
          <w:b/>
          <w:color w:val="000000"/>
          <w:sz w:val="22"/>
        </w:rPr>
        <w:t xml:space="preserve">. </w:t>
      </w:r>
      <w:r>
        <w:rPr>
          <w:rFonts w:ascii="Times New Roman;sans-serif" w:hAnsi="Times New Roman;sans-serif"/>
          <w:b w:val="false"/>
          <w:color w:val="000000"/>
          <w:sz w:val="22"/>
        </w:rPr>
        <w:t>I acknowledge and agree that any copyrightable works prepared by me within the scope of my employment are “works for hire” under the Copyright Act and that the Company will be considered the author and owner of such copyrightable works. I agree that all Inventions that I make, create, conceive or first reduce to practice during the period of my employment, whether or not in the course of my employment, and whether or not patentable, copyrightable or protectable as a trade secret, and that (i) are developed using equipment, supplies, facilities or trade secrets of the Company; (ii) result from work performed by me for the Company; or (iii) relate to the Company’s business or actual or demonstrably anticipated research and development (the “</w:t>
      </w:r>
      <w:r>
        <w:rPr>
          <w:rFonts w:ascii="Times New Roman;sans-serif" w:hAnsi="Times New Roman;sans-serif"/>
          <w:b/>
          <w:i/>
          <w:color w:val="000000"/>
          <w:sz w:val="22"/>
        </w:rPr>
        <w:t>Assigned Inventions</w:t>
      </w:r>
      <w:r>
        <w:rPr>
          <w:color w:val="000000"/>
        </w:rPr>
        <w:t>”</w:t>
      </w:r>
      <w:r>
        <w:rPr>
          <w:rFonts w:ascii="Times New Roman;sans-serif" w:hAnsi="Times New Roman;sans-serif"/>
          <w:b w:val="false"/>
          <w:color w:val="000000"/>
          <w:sz w:val="22"/>
        </w:rPr>
        <w:t xml:space="preserve">), will be the sole and exclusive property of the Company. </w:t>
      </w:r>
    </w:p>
    <w:p>
      <w:pPr>
        <w:pStyle w:val="TextBody"/>
        <w:bidi w:val="0"/>
        <w:spacing w:before="0" w:after="0"/>
        <w:jc w:val="left"/>
        <w:rPr/>
      </w:pPr>
      <w:r>
        <w:rPr/>
      </w:r>
    </w:p>
    <w:p>
      <w:pPr>
        <w:pStyle w:val="TextBody"/>
        <w:bidi w:val="0"/>
        <w:spacing w:lineRule="auto" w:line="292"/>
        <w:ind w:left="0" w:right="0" w:firstLine="721"/>
        <w:jc w:val="both"/>
        <w:rPr/>
      </w:pPr>
      <w:r>
        <w:rPr>
          <w:rFonts w:ascii="Times New Roman;sans-serif" w:hAnsi="Times New Roman;sans-serif"/>
          <w:b/>
          <w:color w:val="000000"/>
          <w:sz w:val="19"/>
        </w:rPr>
        <w:t>4.</w:t>
      </w:r>
      <w:r>
        <w:rPr>
          <w:rFonts w:ascii="Times New Roman;sans-serif" w:hAnsi="Times New Roman;sans-serif"/>
          <w:b/>
          <w:color w:val="222222"/>
          <w:sz w:val="22"/>
          <w:u w:val="single"/>
          <w:shd w:fill="FFFFFF" w:val="clear"/>
        </w:rPr>
        <w:t>Excluded Inventions and Other Inventions</w:t>
      </w:r>
      <w:r>
        <w:rPr>
          <w:rFonts w:ascii="Times New Roman;sans-serif" w:hAnsi="Times New Roman;sans-serif"/>
          <w:b/>
          <w:color w:val="222222"/>
          <w:sz w:val="22"/>
          <w:shd w:fill="FFFFFF" w:val="clear"/>
        </w:rPr>
        <w:t>.</w:t>
      </w:r>
      <w:r>
        <w:rPr>
          <w:color w:val="222222"/>
          <w:shd w:fill="FFFFFF" w:val="clear"/>
        </w:rPr>
        <w:t xml:space="preserve"> </w:t>
      </w:r>
      <w:r>
        <w:rPr>
          <w:rFonts w:ascii="Times New Roman;sans-serif" w:hAnsi="Times New Roman;sans-serif"/>
          <w:b w:val="false"/>
          <w:color w:val="222222"/>
          <w:sz w:val="22"/>
          <w:shd w:fill="FFFFFF" w:val="clear"/>
        </w:rPr>
        <w:t xml:space="preserve">Attached hereto as </w:t>
      </w:r>
      <w:r>
        <w:rPr>
          <w:rFonts w:ascii="Times New Roman;sans-serif" w:hAnsi="Times New Roman;sans-serif"/>
          <w:b/>
          <w:color w:val="222222"/>
          <w:sz w:val="22"/>
          <w:u w:val="single"/>
          <w:shd w:fill="FFFFFF" w:val="clear"/>
        </w:rPr>
        <w:t>Exhibit A</w:t>
      </w:r>
      <w:r>
        <w:rPr>
          <w:color w:val="222222"/>
          <w:shd w:fill="FFFFFF" w:val="clear"/>
        </w:rPr>
        <w:t xml:space="preserve"> </w:t>
      </w:r>
      <w:r>
        <w:rPr>
          <w:rFonts w:ascii="Times New Roman;sans-serif" w:hAnsi="Times New Roman;sans-serif"/>
          <w:b w:val="false"/>
          <w:color w:val="222222"/>
          <w:sz w:val="22"/>
          <w:shd w:fill="FFFFFF" w:val="clear"/>
        </w:rPr>
        <w:t>is a list describing all Inventions, if any, that may relate to the Company’s business or actual or demonstrably anticipated research or development and that were made, developed or acquired by me prior to the Effective Date (as defined in Section 26, below) of this Agreement, which are not being assigned to the Company (the “</w:t>
      </w:r>
      <w:r>
        <w:rPr>
          <w:rFonts w:ascii="Times New Roman;sans-serif" w:hAnsi="Times New Roman;sans-serif"/>
          <w:b/>
          <w:i/>
          <w:color w:val="222222"/>
          <w:sz w:val="22"/>
          <w:shd w:fill="FFFFFF" w:val="clear"/>
        </w:rPr>
        <w:t>Excluded Inventions</w:t>
      </w:r>
      <w:r>
        <w:rPr>
          <w:color w:val="222222"/>
          <w:shd w:fill="FFFFFF" w:val="clear"/>
        </w:rPr>
        <w:t>”</w:t>
      </w:r>
      <w:r>
        <w:rPr>
          <w:rFonts w:ascii="Times New Roman;sans-serif" w:hAnsi="Times New Roman;sans-serif"/>
          <w:b w:val="false"/>
          <w:color w:val="222222"/>
          <w:sz w:val="22"/>
          <w:shd w:fill="FFFFFF" w:val="clear"/>
        </w:rPr>
        <w:t xml:space="preserve">). If no such list is attached, I represent and agree that it is because I have no rights in any existing Inventions that may relate to the Company’s business or actual or demonstrably anticipated research or development. If disclosure of any such existing Inventions would cause me to violate any prior confidentiality agreement, I shall not list such existing Inventions in </w:t>
      </w:r>
      <w:r>
        <w:rPr>
          <w:rFonts w:ascii="Times New Roman;sans-serif" w:hAnsi="Times New Roman;sans-serif"/>
          <w:b/>
          <w:color w:val="222222"/>
          <w:sz w:val="22"/>
          <w:shd w:fill="FFFFFF" w:val="clear"/>
        </w:rPr>
        <w:t>Exhibit A</w:t>
      </w:r>
      <w:r>
        <w:rPr>
          <w:rFonts w:ascii="Times New Roman;sans-serif" w:hAnsi="Times New Roman;sans-serif"/>
          <w:b w:val="false"/>
          <w:color w:val="222222"/>
          <w:sz w:val="22"/>
          <w:shd w:fill="FFFFFF" w:val="clear"/>
        </w:rPr>
        <w:t xml:space="preserve">, but shall instead list on </w:t>
      </w:r>
      <w:r>
        <w:rPr>
          <w:rFonts w:ascii="Times New Roman;sans-serif" w:hAnsi="Times New Roman;sans-serif"/>
          <w:b/>
          <w:color w:val="222222"/>
          <w:sz w:val="22"/>
          <w:shd w:fill="FFFFFF" w:val="clear"/>
        </w:rPr>
        <w:t>Exhibit A</w:t>
      </w:r>
      <w:r>
        <w:rPr>
          <w:color w:val="222222"/>
          <w:shd w:fill="FFFFFF" w:val="clear"/>
        </w:rPr>
        <w:t xml:space="preserve"> </w:t>
      </w:r>
      <w:r>
        <w:rPr>
          <w:rFonts w:ascii="Times New Roman;sans-serif" w:hAnsi="Times New Roman;sans-serif"/>
          <w:b w:val="false"/>
          <w:color w:val="222222"/>
          <w:sz w:val="22"/>
          <w:shd w:fill="FFFFFF" w:val="clear"/>
        </w:rPr>
        <w:t>only (i) a cursory, non-proprietary name for each such existing Invention, (ii) the party (or parties) to whom it belongs and (iii) the fact that full disclosure as to such prior Invention(s) has not been made for that reason. For purposes of this Agreement, “</w:t>
      </w:r>
      <w:r>
        <w:rPr>
          <w:rFonts w:ascii="Times New Roman;sans-serif" w:hAnsi="Times New Roman;sans-serif"/>
          <w:b/>
          <w:i/>
          <w:color w:val="222222"/>
          <w:sz w:val="22"/>
          <w:shd w:fill="FFFFFF" w:val="clear"/>
        </w:rPr>
        <w:t>Other Inventions</w:t>
      </w:r>
      <w:r>
        <w:rPr>
          <w:color w:val="222222"/>
          <w:shd w:fill="FFFFFF" w:val="clear"/>
        </w:rPr>
        <w:t xml:space="preserve">” </w:t>
      </w:r>
      <w:r>
        <w:rPr>
          <w:rFonts w:ascii="Times New Roman;sans-serif" w:hAnsi="Times New Roman;sans-serif"/>
          <w:b w:val="false"/>
          <w:color w:val="222222"/>
          <w:sz w:val="22"/>
          <w:shd w:fill="FFFFFF" w:val="clear"/>
        </w:rPr>
        <w:t xml:space="preserve">means Inventions in which I have or may have an interest, as of the Effective Date or thereafter, other than Assigned Inventions and Excluded Inventions. I acknowledge and agree that if, in the scope of my employment, I use any Excluded Inventions or any Other Inventions, or if I include any Excluded Inventions or Other Inventions in any product or service of the Company, or if my rights </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85">
                <wp:simplePos x="0" y="0"/>
                <wp:positionH relativeFrom="character">
                  <wp:align>left</wp:align>
                </wp:positionH>
                <wp:positionV relativeFrom="line">
                  <wp:posOffset>635</wp:posOffset>
                </wp:positionV>
                <wp:extent cx="6480175" cy="175260"/>
                <wp:effectExtent l="0" t="0" r="0" b="0"/>
                <wp:wrapNone/>
                <wp:docPr id="84" name="Frame7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ind w:left="0" w:right="0" w:hanging="2"/>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ind w:left="0" w:right="0" w:hanging="2"/>
                        <w:jc w:val="left"/>
                        <w:rPr/>
                      </w:pPr>
                      <w:r>
                        <w:rPr/>
                      </w:r>
                    </w:p>
                  </w:txbxContent>
                </v:textbox>
                <w10:wrap type="none"/>
              </v:rect>
            </w:pict>
          </mc:Fallback>
        </mc:AlternateConten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92" w:before="0" w:after="0"/>
        <w:jc w:val="both"/>
        <w:rPr>
          <w:rFonts w:ascii="Times New Roman;sans-serif" w:hAnsi="Times New Roman;sans-serif"/>
          <w:b w:val="false"/>
          <w:color w:val="222222"/>
          <w:sz w:val="22"/>
          <w:shd w:fill="FFFFFF" w:val="clear"/>
        </w:rPr>
      </w:pPr>
      <w:r>
        <w:rPr>
          <w:rFonts w:ascii="Times New Roman;sans-serif" w:hAnsi="Times New Roman;sans-serif"/>
          <w:b w:val="false"/>
          <w:color w:val="222222"/>
          <w:sz w:val="22"/>
          <w:shd w:fill="FFFFFF" w:val="clear"/>
        </w:rPr>
        <w:t>in any Excluded Inventions or Other Inventions may block or interfere with, or may otherwise be required for, the exercise by the Company of any rights assigned to the Company under this Agreement, I will immediately so notify the Company in writing. Unless the Company and I agree otherwise in writing as to particular Excluded Inventions or Other Inventions, I hereby grant to the Company, in such circumstances (whether or not I give the Company notice as required above), a perpetual, irrevocable, nonexclusive, transferable, world-wide, royalty-free license to use, disclose, make, sell, offer for sale, import, copy, distribute, modify and create works based on, perform, and display such Excluded Inventions and Other Inventions, and to sublicense third parties in one or more tiers of sublicensees with the same rights.</w:t>
      </w:r>
    </w:p>
    <w:p>
      <w:pPr>
        <w:pStyle w:val="TextBody"/>
        <w:bidi w:val="0"/>
        <w:spacing w:before="0" w:after="0"/>
        <w:jc w:val="left"/>
        <w:rPr/>
      </w:pPr>
      <w:r>
        <w:rPr/>
      </w:r>
    </w:p>
    <w:p>
      <w:pPr>
        <w:pStyle w:val="TextBody"/>
        <w:bidi w:val="0"/>
        <w:spacing w:lineRule="auto" w:line="292" w:before="0" w:after="0"/>
        <w:ind w:left="0" w:right="0" w:firstLine="721"/>
        <w:jc w:val="both"/>
        <w:rPr/>
      </w:pPr>
      <w:r>
        <w:rPr>
          <w:rFonts w:ascii="Times New Roman;sans-serif" w:hAnsi="Times New Roman;sans-serif"/>
          <w:b/>
          <w:color w:val="000000"/>
          <w:sz w:val="19"/>
        </w:rPr>
        <w:t>5.</w:t>
      </w:r>
      <w:r>
        <w:rPr>
          <w:rFonts w:ascii="Times New Roman;sans-serif" w:hAnsi="Times New Roman;sans-serif"/>
          <w:b/>
          <w:color w:val="222222"/>
          <w:sz w:val="22"/>
          <w:u w:val="single"/>
          <w:shd w:fill="FFFFFF" w:val="clear"/>
        </w:rPr>
        <w:t>Exception to Assignment</w:t>
      </w:r>
      <w:r>
        <w:rPr>
          <w:rFonts w:ascii="Times New Roman;sans-serif" w:hAnsi="Times New Roman;sans-serif"/>
          <w:b w:val="false"/>
          <w:color w:val="222222"/>
          <w:sz w:val="22"/>
          <w:shd w:fill="FFFFFF" w:val="clear"/>
        </w:rPr>
        <w:t xml:space="preserve">. I understand that the Assigned Inventions will not include, and the provisions of this Agreement requiring assignment of inventions to the Company do not apply to, any invention that qualifies fully for exclusion under applicable law or as otherwise set forth in </w:t>
      </w:r>
      <w:r>
        <w:rPr>
          <w:rFonts w:ascii="Times New Roman;sans-serif" w:hAnsi="Times New Roman;sans-serif"/>
          <w:b w:val="false"/>
          <w:color w:val="222222"/>
          <w:sz w:val="22"/>
          <w:u w:val="single"/>
          <w:shd w:fill="FFFFFF" w:val="clear"/>
        </w:rPr>
        <w:t>Exhibit B</w:t>
      </w:r>
      <w:r>
        <w:rPr>
          <w:rFonts w:ascii="Times New Roman;sans-serif" w:hAnsi="Times New Roman;sans-serif"/>
          <w:b w:val="false"/>
          <w:color w:val="222222"/>
          <w:sz w:val="22"/>
          <w:shd w:fill="FFFFFF" w:val="clear"/>
        </w:rPr>
        <w:t>.</w:t>
      </w:r>
    </w:p>
    <w:p>
      <w:pPr>
        <w:pStyle w:val="TextBody"/>
        <w:bidi w:val="0"/>
        <w:spacing w:before="0" w:after="0"/>
        <w:jc w:val="both"/>
        <w:rPr/>
      </w:pPr>
      <w:r>
        <w:rPr/>
      </w:r>
    </w:p>
    <w:p>
      <w:pPr>
        <w:pStyle w:val="TextBody"/>
        <w:bidi w:val="0"/>
        <w:spacing w:lineRule="auto" w:line="292" w:before="0" w:after="0"/>
        <w:ind w:left="0" w:right="0" w:firstLine="720"/>
        <w:jc w:val="both"/>
        <w:rPr/>
      </w:pPr>
      <w:r>
        <w:rPr>
          <w:rFonts w:ascii="Times New Roman;sans-serif" w:hAnsi="Times New Roman;sans-serif"/>
          <w:b/>
          <w:color w:val="000000"/>
          <w:sz w:val="19"/>
        </w:rPr>
        <w:t>6.</w:t>
      </w:r>
      <w:r>
        <w:rPr>
          <w:rFonts w:ascii="Times New Roman;sans-serif" w:hAnsi="Times New Roman;sans-serif"/>
          <w:b/>
          <w:color w:val="000000"/>
          <w:sz w:val="22"/>
          <w:u w:val="single"/>
        </w:rPr>
        <w:t>Assignment of Rights</w:t>
      </w:r>
      <w:r>
        <w:rPr>
          <w:rFonts w:ascii="Times New Roman;sans-serif" w:hAnsi="Times New Roman;sans-serif"/>
          <w:b/>
          <w:color w:val="000000"/>
          <w:sz w:val="22"/>
        </w:rPr>
        <w:t>.</w:t>
      </w:r>
      <w:r>
        <w:rPr>
          <w:color w:val="000000"/>
        </w:rPr>
        <w:t xml:space="preserve"> </w:t>
      </w:r>
      <w:r>
        <w:rPr>
          <w:rFonts w:ascii="Times New Roman;sans-serif" w:hAnsi="Times New Roman;sans-serif"/>
          <w:b w:val="false"/>
          <w:color w:val="000000"/>
          <w:sz w:val="22"/>
        </w:rPr>
        <w:t>I agree to assign, and do hereby irrevocably transfer and assign, to the Company: (i) all of my rights, title and interests in and with respect to any Assigned Inventions; (ii) all patents, patent applications, copyrights, mask works, rights in databases, trade secrets and other intellectual property rights, worldwide, in any Assigned Inventions, along with any registrations of or applications to register such rights; and (iii) to the extent assignable, any and all Moral Rights (as defined below) that I may have in or with respect to any Assigned Inventions. I also hereby forever waive and agree never to assert any and all Moral Rights I may have in or with respect to any Assigned Inventions, Excluded Inventions or Other Inventions licensed to the Company under this Agreement, even after termination of my employment with the Company. “</w:t>
      </w:r>
      <w:r>
        <w:rPr>
          <w:rFonts w:ascii="Times New Roman;sans-serif" w:hAnsi="Times New Roman;sans-serif"/>
          <w:b/>
          <w:i/>
          <w:color w:val="000000"/>
          <w:sz w:val="22"/>
        </w:rPr>
        <w:t>Moral Rights</w:t>
      </w:r>
      <w:r>
        <w:rPr>
          <w:color w:val="000000"/>
        </w:rPr>
        <w:t xml:space="preserve">” </w:t>
      </w:r>
      <w:r>
        <w:rPr>
          <w:rFonts w:ascii="Times New Roman;sans-serif" w:hAnsi="Times New Roman;sans-serif"/>
          <w:b w:val="false"/>
          <w:color w:val="000000"/>
          <w:sz w:val="22"/>
        </w:rPr>
        <w:t>means any rights to claim authorship of a work, to object to or prevent the modification or destruction of a work, or to withdraw from circulation or control the publication or distribution of a work, and any similar right, regardless of whether or not such right is denominated or generally referred to as a “moral right.”</w:t>
      </w:r>
    </w:p>
    <w:p>
      <w:pPr>
        <w:pStyle w:val="TextBody"/>
        <w:bidi w:val="0"/>
        <w:spacing w:before="2" w:after="283"/>
        <w:jc w:val="left"/>
        <w:rPr/>
      </w:pPr>
      <w:r>
        <w:rPr/>
      </w:r>
    </w:p>
    <w:p>
      <w:pPr>
        <w:pStyle w:val="TextBody"/>
        <w:bidi w:val="0"/>
        <w:spacing w:lineRule="auto" w:line="292" w:before="0" w:after="0"/>
        <w:ind w:left="0" w:right="0" w:firstLine="720"/>
        <w:jc w:val="both"/>
        <w:rPr/>
      </w:pPr>
      <w:r>
        <w:rPr>
          <w:rFonts w:ascii="Times New Roman;sans-serif" w:hAnsi="Times New Roman;sans-serif"/>
          <w:b/>
          <w:color w:val="000000"/>
          <w:sz w:val="19"/>
        </w:rPr>
        <w:t>7.</w:t>
      </w:r>
      <w:r>
        <w:rPr>
          <w:rFonts w:ascii="Times New Roman;sans-serif" w:hAnsi="Times New Roman;sans-serif"/>
          <w:b/>
          <w:color w:val="000000"/>
          <w:sz w:val="22"/>
          <w:u w:val="single"/>
        </w:rPr>
        <w:t>Assistance</w:t>
      </w:r>
      <w:r>
        <w:rPr>
          <w:rFonts w:ascii="Times New Roman;sans-serif" w:hAnsi="Times New Roman;sans-serif"/>
          <w:b/>
          <w:color w:val="000000"/>
          <w:sz w:val="22"/>
        </w:rPr>
        <w:t xml:space="preserve">. </w:t>
      </w:r>
      <w:r>
        <w:rPr>
          <w:rFonts w:ascii="Times New Roman;sans-serif" w:hAnsi="Times New Roman;sans-serif"/>
          <w:b w:val="false"/>
          <w:color w:val="000000"/>
          <w:sz w:val="22"/>
        </w:rPr>
        <w:t>I agree to assist the Company in every proper way to obtain and enforce for the Company all patents, copyrights, mask work rights, trade secret rights and other legal protections for the Assigned Inventions worldwide. I will execute and deliver any documents that the Company may reasonably request from me in connection with providing assistance as described herein. My obligations under this section will continue beyond the termination of my employment with the Company; provided that the Company agrees to compensate me at a reasonable rate after such termination for time and/or expenses actually spent by me at the Company’s request in providing such assistance. I hereby appoint the Secretary of the Company as my attorney-in-fact to execute documents on my behalf for this purpose. I agree that this appointment is coupled with an interest and will not be revocable.</w:t>
      </w:r>
    </w:p>
    <w:p>
      <w:pPr>
        <w:pStyle w:val="TextBody"/>
        <w:bidi w:val="0"/>
        <w:spacing w:before="3" w:after="283"/>
        <w:jc w:val="left"/>
        <w:rPr/>
      </w:pPr>
      <w:r>
        <w:rPr/>
      </w:r>
    </w:p>
    <w:p>
      <w:pPr>
        <w:pStyle w:val="TextBody"/>
        <w:bidi w:val="0"/>
        <w:spacing w:lineRule="auto" w:line="292"/>
        <w:ind w:left="0" w:right="0" w:firstLine="720"/>
        <w:jc w:val="both"/>
        <w:rPr/>
      </w:pPr>
      <w:r>
        <w:rPr>
          <w:rFonts w:ascii="Times New Roman;sans-serif" w:hAnsi="Times New Roman;sans-serif"/>
          <w:b/>
          <w:color w:val="000000"/>
          <w:sz w:val="19"/>
        </w:rPr>
        <w:t>8.</w:t>
      </w:r>
      <w:r>
        <w:rPr>
          <w:rFonts w:ascii="Times New Roman;sans-serif" w:hAnsi="Times New Roman;sans-serif"/>
          <w:b/>
          <w:color w:val="000000"/>
          <w:sz w:val="22"/>
          <w:u w:val="single"/>
        </w:rPr>
        <w:t>Proprietary Information</w:t>
      </w:r>
      <w:r>
        <w:rPr>
          <w:rFonts w:ascii="Times New Roman;sans-serif" w:hAnsi="Times New Roman;sans-serif"/>
          <w:b/>
          <w:color w:val="000000"/>
          <w:sz w:val="22"/>
        </w:rPr>
        <w:t xml:space="preserve">. </w:t>
      </w:r>
      <w:r>
        <w:rPr>
          <w:rFonts w:ascii="Times New Roman;sans-serif" w:hAnsi="Times New Roman;sans-serif"/>
          <w:b w:val="false"/>
          <w:color w:val="000000"/>
          <w:sz w:val="22"/>
        </w:rPr>
        <w:t>I understand that my employment by the Company creates a relationship of confidence and trust with respect to any information or materials of a confidential or secret nature that may be made, created or discovered by me or that may be disclosed to me by the Company or a third party in relation to the business of the Company or to the business of any parent, subsidiary, affiliate, customer or supplier of the Company or any other party with whom the Company agrees to hold such information or materials in confidence (the “</w:t>
      </w:r>
      <w:r>
        <w:rPr>
          <w:rFonts w:ascii="Times New Roman;sans-serif" w:hAnsi="Times New Roman;sans-serif"/>
          <w:b/>
          <w:i/>
          <w:color w:val="000000"/>
          <w:sz w:val="22"/>
        </w:rPr>
        <w:t>Proprietary Information</w:t>
      </w:r>
      <w:r>
        <w:rPr>
          <w:color w:val="000000"/>
        </w:rPr>
        <w:t>”</w:t>
      </w:r>
      <w:r>
        <w:rPr>
          <w:rFonts w:ascii="Times New Roman;sans-serif" w:hAnsi="Times New Roman;sans-serif"/>
          <w:b w:val="false"/>
          <w:color w:val="000000"/>
          <w:sz w:val="22"/>
        </w:rPr>
        <w:t xml:space="preserve">). Without limitation as to the forms that Proprietary Information may take, I acknowledge that Proprietary Information may be contained in tangible material such as writings, drawings, samples, electronic media, or computer programs, or may be in the nature of unwritten knowledge or know-how. </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86">
                <wp:simplePos x="0" y="0"/>
                <wp:positionH relativeFrom="character">
                  <wp:align>left</wp:align>
                </wp:positionH>
                <wp:positionV relativeFrom="line">
                  <wp:posOffset>635</wp:posOffset>
                </wp:positionV>
                <wp:extent cx="6480175" cy="526415"/>
                <wp:effectExtent l="0" t="0" r="0" b="0"/>
                <wp:wrapNone/>
                <wp:docPr id="85" name="Frame78"/>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2</w:t>
                            </w:r>
                            <w:r>
                              <w:br w:type="page"/>
                            </w:r>
                          </w:p>
                          <w:p>
                            <w:pPr>
                              <w:pStyle w:val="TextBody"/>
                              <w:bidi w:val="0"/>
                              <w:spacing w:before="0" w:after="0"/>
                              <w:ind w:left="0" w:right="0" w:hanging="2"/>
                              <w:jc w:val="left"/>
                              <w:rPr/>
                            </w:pPr>
                            <w:r>
                              <w:rPr/>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2</w:t>
                      </w:r>
                    </w:p>
                    <w:p>
                      <w:pPr>
                        <w:pStyle w:val="TextBody"/>
                        <w:bidi w:val="0"/>
                        <w:spacing w:before="0" w:after="0"/>
                        <w:ind w:left="0" w:right="0" w:hanging="2"/>
                        <w:jc w:val="left"/>
                        <w:rPr/>
                      </w:pPr>
                      <w:r>
                        <w:rPr/>
                      </w:r>
                    </w:p>
                    <w:p>
                      <w:pPr>
                        <w:pStyle w:val="TextBody"/>
                        <w:bidi w:val="0"/>
                        <w:spacing w:before="0" w:after="0"/>
                        <w:ind w:left="0" w:right="0" w:hanging="2"/>
                        <w:jc w:val="left"/>
                        <w:rPr/>
                      </w:pPr>
                      <w:r>
                        <w:rPr/>
                      </w:r>
                    </w:p>
                  </w:txbxContent>
                </v:textbox>
                <w10:wrap type="none"/>
              </v:rect>
            </w:pict>
          </mc:Fallback>
        </mc:AlternateConten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92" w:before="0" w:after="0"/>
        <w:jc w:val="both"/>
        <w:rPr>
          <w:rFonts w:ascii="Times New Roman;sans-serif" w:hAnsi="Times New Roman;sans-serif"/>
          <w:b w:val="false"/>
          <w:color w:val="000000"/>
          <w:sz w:val="22"/>
        </w:rPr>
      </w:pPr>
      <w:r>
        <w:rPr>
          <w:rFonts w:ascii="Times New Roman;sans-serif" w:hAnsi="Times New Roman;sans-serif"/>
          <w:b w:val="false"/>
          <w:color w:val="000000"/>
          <w:sz w:val="22"/>
        </w:rPr>
        <w:t>Proprietary Information includes, but is not limited to, Assigned Inventions, marketing plans, product plans, designs, data, prototypes, specimens, test protocols, laboratory notebooks, business strategies, financial information, forecasts, personnel information, domain names, contract information, customer and/or supplier lists and data, the non-public names and addresses of the Company’s customers and suppliers, their buying and selling habits and special needs.</w:t>
      </w:r>
    </w:p>
    <w:p>
      <w:pPr>
        <w:pStyle w:val="TextBody"/>
        <w:bidi w:val="0"/>
        <w:spacing w:before="1" w:after="283"/>
        <w:jc w:val="left"/>
        <w:rPr/>
      </w:pPr>
      <w:r>
        <w:rPr/>
      </w:r>
    </w:p>
    <w:p>
      <w:pPr>
        <w:pStyle w:val="TextBody"/>
        <w:bidi w:val="0"/>
        <w:spacing w:lineRule="auto" w:line="292" w:before="1" w:after="283"/>
        <w:ind w:left="0" w:right="0" w:firstLine="720"/>
        <w:jc w:val="both"/>
        <w:rPr/>
      </w:pPr>
      <w:r>
        <w:rPr>
          <w:rFonts w:ascii="Times New Roman;sans-serif" w:hAnsi="Times New Roman;sans-serif"/>
          <w:b/>
          <w:color w:val="000000"/>
          <w:sz w:val="19"/>
        </w:rPr>
        <w:t>9.</w:t>
      </w:r>
      <w:r>
        <w:rPr>
          <w:rFonts w:ascii="Times New Roman;sans-serif" w:hAnsi="Times New Roman;sans-serif"/>
          <w:b/>
          <w:color w:val="000000"/>
          <w:sz w:val="22"/>
          <w:u w:val="single"/>
        </w:rPr>
        <w:t>Confidentiality</w:t>
      </w:r>
      <w:r>
        <w:rPr>
          <w:rFonts w:ascii="Times New Roman;sans-serif" w:hAnsi="Times New Roman;sans-serif"/>
          <w:b/>
          <w:color w:val="000000"/>
          <w:sz w:val="22"/>
        </w:rPr>
        <w:t xml:space="preserve">. </w:t>
      </w:r>
      <w:r>
        <w:rPr>
          <w:rFonts w:ascii="Times New Roman;sans-serif" w:hAnsi="Times New Roman;sans-serif"/>
          <w:b w:val="false"/>
          <w:color w:val="000000"/>
          <w:sz w:val="22"/>
        </w:rPr>
        <w:t xml:space="preserve">At all times, both during my employment and after its termination, and to the fullest extent permitted by law, I will keep and hold all Proprietary Information in strict confidence and trust. I will not use or disclose any Proprietary Information without the prior written consent of the Company in each instance, except as may be necessary to perform my duties as an employee of the Company for the benefit of the Company. Upon termination of my employment with the Company, I will promptly deliver to the Company all documents and materials of any nature pertaining to my work with the Company, and I will not take with me or retain in any form any documents or materials or copies thereof containing any Proprietary Information. Nothing in this Section 9 or otherwise in this Agreement shall limit or restrict in any way my immunity from liability for disclosing the Company’s trade secrets as specifically permitted by 18 U.S. Code Section 1833, the pertinent provisions of which are attached hereto as </w:t>
      </w:r>
      <w:r>
        <w:rPr>
          <w:rFonts w:ascii="Times New Roman;sans-serif" w:hAnsi="Times New Roman;sans-serif"/>
          <w:b w:val="false"/>
          <w:color w:val="000000"/>
          <w:sz w:val="22"/>
          <w:u w:val="single"/>
        </w:rPr>
        <w:t>Exhibit C.</w:t>
      </w:r>
    </w:p>
    <w:p>
      <w:pPr>
        <w:pStyle w:val="TextBody"/>
        <w:bidi w:val="0"/>
        <w:spacing w:before="0" w:after="0"/>
        <w:jc w:val="left"/>
        <w:rPr/>
      </w:pPr>
      <w:r>
        <w:rPr/>
      </w:r>
    </w:p>
    <w:p>
      <w:pPr>
        <w:pStyle w:val="TextBody"/>
        <w:bidi w:val="0"/>
        <w:spacing w:lineRule="auto" w:line="292" w:before="1" w:after="283"/>
        <w:ind w:left="0" w:right="0" w:firstLine="720"/>
        <w:jc w:val="both"/>
        <w:rPr/>
      </w:pPr>
      <w:r>
        <w:rPr>
          <w:rFonts w:ascii="Times New Roman;sans-serif" w:hAnsi="Times New Roman;sans-serif"/>
          <w:b/>
          <w:color w:val="000000"/>
          <w:sz w:val="19"/>
        </w:rPr>
        <w:t>10.</w:t>
      </w:r>
      <w:r>
        <w:rPr>
          <w:rFonts w:ascii="Times New Roman;sans-serif" w:hAnsi="Times New Roman;sans-serif"/>
          <w:b/>
          <w:color w:val="000000"/>
          <w:sz w:val="22"/>
          <w:u w:val="single"/>
        </w:rPr>
        <w:t>Physical Property</w:t>
      </w:r>
      <w:r>
        <w:rPr>
          <w:rFonts w:ascii="Times New Roman;sans-serif" w:hAnsi="Times New Roman;sans-serif"/>
          <w:b w:val="false"/>
          <w:color w:val="000000"/>
          <w:sz w:val="22"/>
        </w:rPr>
        <w:t xml:space="preserve">. All documents, supplies, equipment and other physical property furnished to me by the Company or produced by me or others in connection with my employment will be and remain the sole property of the Company. I will return to the Company all such items when requested by the Company, excepting only my personal copies of records relating to my employment or compensation and any personal property I bring with me to the Company and designate as such. Even if the Company does not so request, I will upon termination of my employment return to the Company all Company property, and I will not take with me or retain any such items. </w:t>
      </w:r>
    </w:p>
    <w:p>
      <w:pPr>
        <w:pStyle w:val="TextBody"/>
        <w:bidi w:val="0"/>
        <w:spacing w:before="1" w:after="283"/>
        <w:jc w:val="both"/>
        <w:rPr/>
      </w:pPr>
      <w:r>
        <w:rPr/>
      </w:r>
    </w:p>
    <w:p>
      <w:pPr>
        <w:pStyle w:val="TextBody"/>
        <w:bidi w:val="0"/>
        <w:spacing w:lineRule="auto" w:line="292" w:before="0" w:after="0"/>
        <w:ind w:left="0" w:right="0" w:firstLine="721"/>
        <w:jc w:val="both"/>
        <w:rPr/>
      </w:pPr>
      <w:r>
        <w:rPr>
          <w:rFonts w:ascii="Times New Roman;sans-serif" w:hAnsi="Times New Roman;sans-serif"/>
          <w:b/>
          <w:color w:val="000000"/>
          <w:sz w:val="19"/>
        </w:rPr>
        <w:t>11.</w:t>
      </w:r>
      <w:r>
        <w:rPr>
          <w:rFonts w:ascii="Times New Roman;sans-serif" w:hAnsi="Times New Roman;sans-serif"/>
          <w:b/>
          <w:color w:val="000000"/>
          <w:sz w:val="22"/>
          <w:u w:val="single"/>
        </w:rPr>
        <w:t>No Breach of Prior Agreements</w:t>
      </w:r>
      <w:r>
        <w:rPr>
          <w:rFonts w:ascii="Times New Roman;sans-serif" w:hAnsi="Times New Roman;sans-serif"/>
          <w:b/>
          <w:color w:val="000000"/>
          <w:sz w:val="22"/>
        </w:rPr>
        <w:t xml:space="preserve">. </w:t>
      </w:r>
      <w:r>
        <w:rPr>
          <w:rFonts w:ascii="Times New Roman;sans-serif" w:hAnsi="Times New Roman;sans-serif"/>
          <w:b w:val="false"/>
          <w:color w:val="000000"/>
          <w:sz w:val="22"/>
        </w:rPr>
        <w:t>I represent that my performance of all the terms of this Agreement and my duties as an employee of the Company will not breach any invention assignment, proprietary information, confidentiality or similar agreement with any former employer or other party. I represent that I will not bring with me to the Company or use in the performance of my duties for the Company any documents or materials or intangibles of my own, of a former employer or of third party that are not generally available to the public or have not been legally transferred to the Company.</w:t>
      </w:r>
    </w:p>
    <w:p>
      <w:pPr>
        <w:pStyle w:val="TextBody"/>
        <w:bidi w:val="0"/>
        <w:spacing w:before="11" w:after="283"/>
        <w:jc w:val="left"/>
        <w:rPr/>
      </w:pPr>
      <w:r>
        <w:rPr/>
      </w:r>
    </w:p>
    <w:p>
      <w:pPr>
        <w:pStyle w:val="TextBody"/>
        <w:bidi w:val="0"/>
        <w:spacing w:lineRule="auto" w:line="292" w:before="0" w:after="0"/>
        <w:ind w:left="0" w:right="0" w:firstLine="719"/>
        <w:jc w:val="both"/>
        <w:rPr/>
      </w:pPr>
      <w:r>
        <w:rPr>
          <w:rFonts w:ascii="Times New Roman;sans-serif" w:hAnsi="Times New Roman;sans-serif"/>
          <w:b/>
          <w:color w:val="000000"/>
          <w:sz w:val="19"/>
        </w:rPr>
        <w:t>12.</w:t>
      </w:r>
      <w:r>
        <w:rPr>
          <w:rFonts w:ascii="Times New Roman;sans-serif" w:hAnsi="Times New Roman;sans-serif"/>
          <w:b/>
          <w:color w:val="000000"/>
          <w:sz w:val="22"/>
          <w:u w:val="single"/>
        </w:rPr>
        <w:t>Company Opportunities; Duty Not to Compete While Employed By Company</w:t>
      </w:r>
      <w:r>
        <w:rPr>
          <w:rFonts w:ascii="Times New Roman;sans-serif" w:hAnsi="Times New Roman;sans-serif"/>
          <w:b/>
          <w:color w:val="000000"/>
          <w:sz w:val="22"/>
        </w:rPr>
        <w:t xml:space="preserve">. </w:t>
      </w:r>
      <w:r>
        <w:rPr>
          <w:rFonts w:ascii="Times New Roman;sans-serif" w:hAnsi="Times New Roman;sans-serif"/>
          <w:b w:val="false"/>
          <w:color w:val="000000"/>
          <w:sz w:val="22"/>
        </w:rPr>
        <w:t>I have not entered into, and I agree I will not enter into, any agreement, either written or oral, in conflict with this Agreement or my employment with the Company. I understand that my employment with the Company requires my undivided attention and effort. As a result, during my employment, I will not, without the Company’s prior, express written consent, engage in, or encourage or assist others to engage in, any other employment or activity that: (i) would divert from the Company any business opportunity in which the Company can reasonably be expected to have an interest; (ii) would directly or indirectly compete with, or involve preparation to compete with, the current or future business of the Company; or (iii) would otherwise conflict with the Company’s interests or could cause a disruption of its operations or prospects.</w:t>
      </w:r>
    </w:p>
    <w:p>
      <w:pPr>
        <w:pStyle w:val="TextBody"/>
        <w:bidi w:val="0"/>
        <w:spacing w:before="4" w:after="283"/>
        <w:jc w:val="left"/>
        <w:rPr/>
      </w:pPr>
      <w:r>
        <w:rPr/>
      </w:r>
    </w:p>
    <w:p>
      <w:pPr>
        <w:pStyle w:val="TextBody"/>
        <w:bidi w:val="0"/>
        <w:spacing w:lineRule="auto" w:line="292" w:before="1" w:after="283"/>
        <w:ind w:left="0" w:right="0" w:firstLine="721"/>
        <w:jc w:val="both"/>
        <w:rPr/>
      </w:pPr>
      <w:r>
        <w:rPr>
          <w:rFonts w:ascii="Times New Roman;sans-serif" w:hAnsi="Times New Roman;sans-serif"/>
          <w:b/>
          <w:color w:val="000000"/>
          <w:sz w:val="19"/>
        </w:rPr>
        <w:t>13.</w:t>
      </w:r>
      <w:r>
        <w:rPr>
          <w:rFonts w:ascii="Times New Roman;sans-serif" w:hAnsi="Times New Roman;sans-serif"/>
          <w:b/>
          <w:color w:val="000000"/>
          <w:sz w:val="22"/>
          <w:u w:val="single"/>
        </w:rPr>
        <w:t>Non-Solicitation of Employees and Consultants</w:t>
      </w:r>
      <w:r>
        <w:rPr>
          <w:rFonts w:ascii="Times New Roman;sans-serif" w:hAnsi="Times New Roman;sans-serif"/>
          <w:b w:val="false"/>
          <w:color w:val="000000"/>
          <w:sz w:val="22"/>
        </w:rPr>
        <w:t xml:space="preserve">. </w:t>
      </w:r>
      <w:r>
        <w:rPr>
          <w:rFonts w:ascii="Times New Roman;sans-serif" w:hAnsi="Times New Roman;sans-serif"/>
          <w:b w:val="false"/>
          <w:color w:val="222222"/>
          <w:sz w:val="22"/>
          <w:shd w:fill="FFFFFF" w:val="clear"/>
        </w:rPr>
        <w:t xml:space="preserve">During my employment with the Company and for a one (1) year period thereafter, I will not directly or indirectly solicit away employees or consultants of the Company for my own benefit or for the benefit of any other person or </w:t>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87">
                <wp:simplePos x="0" y="0"/>
                <wp:positionH relativeFrom="character">
                  <wp:align>left</wp:align>
                </wp:positionH>
                <wp:positionV relativeFrom="line">
                  <wp:posOffset>635</wp:posOffset>
                </wp:positionV>
                <wp:extent cx="6480175" cy="526415"/>
                <wp:effectExtent l="0" t="0" r="0" b="0"/>
                <wp:wrapNone/>
                <wp:docPr id="86" name="Frame79"/>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3</w:t>
                            </w:r>
                            <w:r>
                              <w:br w:type="page"/>
                            </w:r>
                          </w:p>
                          <w:p>
                            <w:pPr>
                              <w:pStyle w:val="TextBody"/>
                              <w:bidi w:val="0"/>
                              <w:spacing w:before="0" w:after="0"/>
                              <w:ind w:left="0" w:right="0" w:hanging="2"/>
                              <w:jc w:val="left"/>
                              <w:rPr/>
                            </w:pPr>
                            <w:r>
                              <w:rPr/>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3</w:t>
                      </w:r>
                    </w:p>
                    <w:p>
                      <w:pPr>
                        <w:pStyle w:val="TextBody"/>
                        <w:bidi w:val="0"/>
                        <w:spacing w:before="0" w:after="0"/>
                        <w:ind w:left="0" w:right="0" w:hanging="2"/>
                        <w:jc w:val="left"/>
                        <w:rPr/>
                      </w:pPr>
                      <w:r>
                        <w:rPr/>
                      </w:r>
                    </w:p>
                    <w:p>
                      <w:pPr>
                        <w:pStyle w:val="TextBody"/>
                        <w:bidi w:val="0"/>
                        <w:spacing w:before="0" w:after="0"/>
                        <w:ind w:left="0" w:right="0" w:hanging="2"/>
                        <w:jc w:val="left"/>
                        <w:rPr/>
                      </w:pPr>
                      <w:r>
                        <w:rPr/>
                      </w:r>
                    </w:p>
                  </w:txbxContent>
                </v:textbox>
                <w10:wrap type="none"/>
              </v:rect>
            </w:pict>
          </mc:Fallback>
        </mc:AlternateConten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92" w:before="1" w:after="283"/>
        <w:jc w:val="both"/>
        <w:rPr/>
      </w:pPr>
      <w:r>
        <w:rPr>
          <w:rFonts w:ascii="Times New Roman;sans-serif" w:hAnsi="Times New Roman;sans-serif"/>
          <w:b w:val="false"/>
          <w:color w:val="222222"/>
          <w:sz w:val="22"/>
          <w:shd w:fill="FFFFFF" w:val="clear"/>
        </w:rPr>
        <w:t xml:space="preserve">entity, nor will I encourage or assist others to do so. I agree to further state-specific provisions set forth in </w:t>
      </w:r>
      <w:r>
        <w:rPr>
          <w:rFonts w:ascii="Times New Roman;sans-serif" w:hAnsi="Times New Roman;sans-serif"/>
          <w:b w:val="false"/>
          <w:color w:val="222222"/>
          <w:sz w:val="22"/>
          <w:u w:val="single"/>
          <w:shd w:fill="FFFFFF" w:val="clear"/>
        </w:rPr>
        <w:t>Exhibit B</w:t>
      </w:r>
      <w:r>
        <w:rPr>
          <w:rFonts w:ascii="Times New Roman;sans-serif" w:hAnsi="Times New Roman;sans-serif"/>
          <w:b w:val="false"/>
          <w:color w:val="222222"/>
          <w:sz w:val="22"/>
          <w:shd w:fill="FFFFFF" w:val="clear"/>
        </w:rPr>
        <w:t>, as applicable.</w:t>
      </w:r>
    </w:p>
    <w:p>
      <w:pPr>
        <w:pStyle w:val="TextBody"/>
        <w:bidi w:val="0"/>
        <w:spacing w:before="1" w:after="283"/>
        <w:jc w:val="both"/>
        <w:rPr/>
      </w:pPr>
      <w:r>
        <w:rPr/>
      </w:r>
    </w:p>
    <w:p>
      <w:pPr>
        <w:pStyle w:val="TextBody"/>
        <w:bidi w:val="0"/>
        <w:spacing w:lineRule="auto" w:line="292" w:before="1" w:after="283"/>
        <w:ind w:left="0" w:right="0" w:firstLine="721"/>
        <w:jc w:val="both"/>
        <w:rPr/>
      </w:pPr>
      <w:r>
        <w:rPr>
          <w:rFonts w:ascii="Times New Roman;sans-serif" w:hAnsi="Times New Roman;sans-serif"/>
          <w:b/>
          <w:color w:val="000000"/>
          <w:sz w:val="19"/>
        </w:rPr>
        <w:t>14.</w:t>
      </w:r>
      <w:r>
        <w:rPr>
          <w:rFonts w:ascii="Times New Roman;sans-serif" w:hAnsi="Times New Roman;sans-serif"/>
          <w:b/>
          <w:color w:val="000000"/>
          <w:sz w:val="22"/>
          <w:u w:val="single"/>
        </w:rPr>
        <w:t>Notification</w:t>
      </w:r>
      <w:r>
        <w:rPr>
          <w:rFonts w:ascii="Times New Roman;sans-serif" w:hAnsi="Times New Roman;sans-serif"/>
          <w:b/>
          <w:color w:val="000000"/>
          <w:sz w:val="22"/>
        </w:rPr>
        <w:t xml:space="preserve">. </w:t>
      </w:r>
      <w:r>
        <w:rPr>
          <w:rFonts w:ascii="Times New Roman;sans-serif" w:hAnsi="Times New Roman;sans-serif"/>
          <w:b w:val="false"/>
          <w:color w:val="000000"/>
          <w:sz w:val="22"/>
        </w:rPr>
        <w:t>I hereby authorize the Company, during and after the termination of my employment with the Company, to notify third parties, including, without limitation, actual or potential employers, of the terms of this Agreement and my responsibilities hereunder.</w:t>
      </w:r>
    </w:p>
    <w:p>
      <w:pPr>
        <w:pStyle w:val="TextBody"/>
        <w:bidi w:val="0"/>
        <w:spacing w:before="0" w:after="0"/>
        <w:jc w:val="left"/>
        <w:rPr/>
      </w:pPr>
      <w:r>
        <w:rPr/>
      </w:r>
    </w:p>
    <w:p>
      <w:pPr>
        <w:pStyle w:val="TextBody"/>
        <w:bidi w:val="0"/>
        <w:spacing w:lineRule="auto" w:line="292" w:before="0" w:after="0"/>
        <w:ind w:left="0" w:right="0" w:firstLine="720"/>
        <w:jc w:val="both"/>
        <w:rPr/>
      </w:pPr>
      <w:r>
        <w:rPr>
          <w:rFonts w:ascii="Times New Roman;sans-serif" w:hAnsi="Times New Roman;sans-serif"/>
          <w:b/>
          <w:color w:val="000000"/>
          <w:sz w:val="19"/>
        </w:rPr>
        <w:t>15.</w:t>
      </w:r>
      <w:r>
        <w:rPr>
          <w:rFonts w:ascii="Times New Roman;sans-serif" w:hAnsi="Times New Roman;sans-serif"/>
          <w:b/>
          <w:color w:val="000000"/>
          <w:sz w:val="22"/>
          <w:u w:val="single"/>
        </w:rPr>
        <w:t>Use of Name &amp; Likeness</w:t>
      </w:r>
      <w:r>
        <w:rPr>
          <w:rFonts w:ascii="Times New Roman;sans-serif" w:hAnsi="Times New Roman;sans-serif"/>
          <w:b/>
          <w:color w:val="000000"/>
          <w:sz w:val="22"/>
        </w:rPr>
        <w:t xml:space="preserve">. </w:t>
      </w:r>
      <w:r>
        <w:rPr>
          <w:rFonts w:ascii="Times New Roman;sans-serif" w:hAnsi="Times New Roman;sans-serif"/>
          <w:b w:val="false"/>
          <w:color w:val="000000"/>
          <w:sz w:val="22"/>
        </w:rPr>
        <w:t>I hereby authorize the Company to use, reuse, and to grant others the right to use and reuse, my name, photograph, likeness (including caricature), voice, and biographical information, and any reproduction or simulation thereof, in any form of media or technology now known or hereafter developed (including, but not limited to, film, video and digital or other electronic media), both during and after my employment, for any purposes related to the Company’s business, such as marketing, advertising, credits, and presentations.</w:t>
      </w:r>
    </w:p>
    <w:p>
      <w:pPr>
        <w:pStyle w:val="TextBody"/>
        <w:bidi w:val="0"/>
        <w:spacing w:before="7" w:after="283"/>
        <w:jc w:val="left"/>
        <w:rPr/>
      </w:pPr>
      <w:r>
        <w:rPr/>
      </w:r>
    </w:p>
    <w:p>
      <w:pPr>
        <w:pStyle w:val="TextBody"/>
        <w:bidi w:val="0"/>
        <w:spacing w:lineRule="auto" w:line="292" w:before="0" w:after="0"/>
        <w:ind w:left="0" w:right="0" w:firstLine="720"/>
        <w:jc w:val="both"/>
        <w:rPr/>
      </w:pPr>
      <w:r>
        <w:rPr>
          <w:rFonts w:ascii="Times New Roman;sans-serif" w:hAnsi="Times New Roman;sans-serif"/>
          <w:b/>
          <w:color w:val="000000"/>
          <w:sz w:val="19"/>
        </w:rPr>
        <w:t>16.</w:t>
      </w:r>
      <w:r>
        <w:rPr>
          <w:rFonts w:ascii="Times New Roman;sans-serif" w:hAnsi="Times New Roman;sans-serif"/>
          <w:b/>
          <w:color w:val="000000"/>
          <w:sz w:val="22"/>
          <w:u w:val="single"/>
        </w:rPr>
        <w:t>Return of Company Property</w:t>
      </w:r>
      <w:r>
        <w:rPr>
          <w:rFonts w:ascii="Times New Roman;sans-serif" w:hAnsi="Times New Roman;sans-serif"/>
          <w:b/>
          <w:color w:val="000000"/>
          <w:sz w:val="22"/>
        </w:rPr>
        <w:t xml:space="preserve">. </w:t>
      </w:r>
      <w:r>
        <w:rPr>
          <w:rFonts w:ascii="Times New Roman;sans-serif" w:hAnsi="Times New Roman;sans-serif"/>
          <w:b w:val="false"/>
          <w:color w:val="000000"/>
          <w:sz w:val="22"/>
        </w:rPr>
        <w:t>Upon termination of my employment or upon the Company’s request at any other time, I will deliver to Company all of the Company’s property, equipment, and documents, together with all copies thereof, and any other material containing or disclosing any Assigned Inventions or Proprietary Information, and I will certify in writing that I have fully complied with the foregoing obligation. I agree that I will not copy, delete, or alter any information contained upon my Company-issued computer or Company-issued equipment before I return it to Company. In addition, if I have used any personal computer, server, or e-mail system to receive, store, review, prepare or transmit any Company information, including, but not limited to, Proprietary Information, I agree, upon the Company’s request, to provide the Company with a computer useable copy of all such Proprietary Information, after which I agree to permanently delete and expunge such Proprietary Information from those systems. I agree to provide the Company access to my system as reasonably requested by the Company to verify that the copying and/or deletion required herein is completed.</w:t>
      </w:r>
    </w:p>
    <w:p>
      <w:pPr>
        <w:pStyle w:val="TextBody"/>
        <w:bidi w:val="0"/>
        <w:spacing w:before="5" w:after="283"/>
        <w:jc w:val="left"/>
        <w:rPr/>
      </w:pPr>
      <w:r>
        <w:rPr/>
      </w:r>
    </w:p>
    <w:p>
      <w:pPr>
        <w:pStyle w:val="TextBody"/>
        <w:bidi w:val="0"/>
        <w:spacing w:lineRule="auto" w:line="288" w:before="0" w:after="0"/>
        <w:ind w:left="0" w:right="0" w:firstLine="720"/>
        <w:jc w:val="both"/>
        <w:rPr/>
      </w:pPr>
      <w:r>
        <w:rPr>
          <w:rFonts w:ascii="Times New Roman;sans-serif" w:hAnsi="Times New Roman;sans-serif"/>
          <w:b/>
          <w:color w:val="000000"/>
          <w:sz w:val="19"/>
        </w:rPr>
        <w:t>17.</w:t>
      </w:r>
      <w:r>
        <w:rPr>
          <w:rFonts w:ascii="Times New Roman;sans-serif" w:hAnsi="Times New Roman;sans-serif"/>
          <w:b/>
          <w:color w:val="000000"/>
          <w:sz w:val="22"/>
          <w:u w:val="single"/>
        </w:rPr>
        <w:t>Injunctive Relief</w:t>
      </w:r>
      <w:r>
        <w:rPr>
          <w:rFonts w:ascii="Times New Roman;sans-serif" w:hAnsi="Times New Roman;sans-serif"/>
          <w:b/>
          <w:color w:val="000000"/>
          <w:sz w:val="22"/>
        </w:rPr>
        <w:t xml:space="preserve">. </w:t>
      </w:r>
      <w:r>
        <w:rPr>
          <w:rFonts w:ascii="Times New Roman;sans-serif" w:hAnsi="Times New Roman;sans-serif"/>
          <w:b w:val="false"/>
          <w:color w:val="000000"/>
          <w:sz w:val="22"/>
        </w:rPr>
        <w:t>I understand that a breach or threatened breach of this Agreement by me may cause the Company to suffer irreparable harm, and that the Company will therefore be entitled to injunctive relief to enforce this Agreement.</w:t>
      </w:r>
    </w:p>
    <w:p>
      <w:pPr>
        <w:pStyle w:val="TextBody"/>
        <w:bidi w:val="0"/>
        <w:spacing w:before="4" w:after="283"/>
        <w:jc w:val="left"/>
        <w:rPr/>
      </w:pPr>
      <w:r>
        <w:rPr/>
      </w:r>
    </w:p>
    <w:p>
      <w:pPr>
        <w:pStyle w:val="TextBody"/>
        <w:bidi w:val="0"/>
        <w:spacing w:lineRule="auto" w:line="292" w:before="0" w:after="0"/>
        <w:ind w:left="0" w:right="0" w:firstLine="720"/>
        <w:jc w:val="both"/>
        <w:rPr/>
      </w:pPr>
      <w:r>
        <w:rPr>
          <w:rFonts w:ascii="Times New Roman;sans-serif" w:hAnsi="Times New Roman;sans-serif"/>
          <w:b/>
          <w:color w:val="000000"/>
          <w:sz w:val="19"/>
        </w:rPr>
        <w:t>18.</w:t>
      </w:r>
      <w:r>
        <w:rPr>
          <w:rFonts w:ascii="Times New Roman;sans-serif" w:hAnsi="Times New Roman;sans-serif"/>
          <w:b/>
          <w:color w:val="000000"/>
          <w:sz w:val="22"/>
          <w:u w:val="single"/>
        </w:rPr>
        <w:t>Governing Law; Severability</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is intended to supplement, and not to supersede, any rights the Company may have in law or equity with respect to the duties of its employees and the protection of its trade secrets. This Agreement will be governed by and construed in accordance with the laws of the state in which I am employed by the Company, or, if I am a remote employee, reside, without giving effect to any principles of conflict of laws that would lead to the application of the laws of another jurisdiction. If any provision of this Agreement is invalid, illegal or unenforceable in any respect, such provision will be enforced to the maximum extent possible, given the fundamental intentions of the parties when entering into this Agreement. To the extent such provision cannot be so enforced, it will be stricken from this Agreement and the remainder of this Agreement will be enforced as if such invalid, illegal or unenforceable provision had never been contained in this Agreement.</w:t>
      </w:r>
    </w:p>
    <w:p>
      <w:pPr>
        <w:pStyle w:val="TextBody"/>
        <w:bidi w:val="0"/>
        <w:spacing w:before="1" w:after="283"/>
        <w:jc w:val="left"/>
        <w:rPr/>
      </w:pPr>
      <w:r>
        <w:rPr/>
      </w:r>
    </w:p>
    <w:p>
      <w:pPr>
        <w:pStyle w:val="TextBody"/>
        <w:bidi w:val="0"/>
        <w:spacing w:lineRule="auto" w:line="292" w:before="0" w:after="0"/>
        <w:ind w:left="0" w:right="0" w:firstLine="720"/>
        <w:jc w:val="both"/>
        <w:rPr/>
      </w:pPr>
      <w:r>
        <w:rPr>
          <w:rFonts w:ascii="Times New Roman;sans-serif" w:hAnsi="Times New Roman;sans-serif"/>
          <w:b/>
          <w:color w:val="000000"/>
          <w:sz w:val="19"/>
        </w:rPr>
        <w:t>19.</w:t>
      </w:r>
      <w:r>
        <w:rPr>
          <w:rFonts w:ascii="Times New Roman;sans-serif" w:hAnsi="Times New Roman;sans-serif"/>
          <w:b/>
          <w:color w:val="000000"/>
          <w:sz w:val="22"/>
          <w:u w:val="single"/>
        </w:rPr>
        <w:t>Counterparts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may be executed in any number of counterparts, each of which when so executed and delivered will be deemed an original, and all of which together shall constitute one and the same agreement.</w:t>
      </w:r>
    </w:p>
    <w:p>
      <w:pPr>
        <w:pStyle w:val="TextBody"/>
        <w:bidi w:val="0"/>
        <w:spacing w:before="2" w:after="283"/>
        <w:jc w:val="left"/>
        <w:rPr/>
      </w:pPr>
      <w:r>
        <w:rPr/>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88">
                <wp:simplePos x="0" y="0"/>
                <wp:positionH relativeFrom="character">
                  <wp:align>left</wp:align>
                </wp:positionH>
                <wp:positionV relativeFrom="line">
                  <wp:posOffset>635</wp:posOffset>
                </wp:positionV>
                <wp:extent cx="6480175" cy="526415"/>
                <wp:effectExtent l="0" t="0" r="0" b="0"/>
                <wp:wrapNone/>
                <wp:docPr id="87" name="Frame80"/>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4</w:t>
                            </w:r>
                            <w:r>
                              <w:br w:type="page"/>
                            </w:r>
                          </w:p>
                          <w:p>
                            <w:pPr>
                              <w:pStyle w:val="TextBody"/>
                              <w:bidi w:val="0"/>
                              <w:spacing w:before="0" w:after="0"/>
                              <w:ind w:left="0" w:right="0" w:hanging="2"/>
                              <w:jc w:val="left"/>
                              <w:rPr/>
                            </w:pPr>
                            <w:r>
                              <w:rPr/>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4</w:t>
                      </w:r>
                    </w:p>
                    <w:p>
                      <w:pPr>
                        <w:pStyle w:val="TextBody"/>
                        <w:bidi w:val="0"/>
                        <w:spacing w:before="0" w:after="0"/>
                        <w:ind w:left="0" w:right="0" w:hanging="2"/>
                        <w:jc w:val="left"/>
                        <w:rPr/>
                      </w:pPr>
                      <w:r>
                        <w:rPr/>
                      </w:r>
                    </w:p>
                    <w:p>
                      <w:pPr>
                        <w:pStyle w:val="TextBody"/>
                        <w:bidi w:val="0"/>
                        <w:spacing w:before="0" w:after="0"/>
                        <w:ind w:left="0" w:right="0" w:hanging="2"/>
                        <w:jc w:val="left"/>
                        <w:rPr/>
                      </w:pPr>
                      <w:r>
                        <w:rPr/>
                      </w:r>
                    </w:p>
                  </w:txbxContent>
                </v:textbox>
                <w10:wrap type="none"/>
              </v:rect>
            </w:pict>
          </mc:Fallback>
        </mc:AlternateConten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lineRule="auto" w:line="292" w:before="0" w:after="0"/>
        <w:ind w:left="0" w:right="0" w:firstLine="720"/>
        <w:jc w:val="both"/>
        <w:rPr/>
      </w:pPr>
      <w:r>
        <w:rPr>
          <w:rFonts w:ascii="Times New Roman;sans-serif" w:hAnsi="Times New Roman;sans-serif"/>
          <w:b/>
          <w:color w:val="000000"/>
          <w:sz w:val="19"/>
        </w:rPr>
        <w:t>20.</w:t>
      </w:r>
      <w:r>
        <w:rPr>
          <w:rFonts w:ascii="Times New Roman;sans-serif" w:hAnsi="Times New Roman;sans-serif"/>
          <w:b/>
          <w:color w:val="000000"/>
          <w:sz w:val="22"/>
          <w:u w:val="single"/>
        </w:rPr>
        <w:t>Entire Agreement</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and the documents referred to herein constitute the entire agreement and understanding of the parties with respect to the subject matter of this Agreement, and supersede all prior understandings and agreements, whether oral or written, between or among the parties hereto with respect to the specific subject matter hereof.</w:t>
      </w:r>
    </w:p>
    <w:p>
      <w:pPr>
        <w:pStyle w:val="TextBody"/>
        <w:bidi w:val="0"/>
        <w:spacing w:before="2" w:after="283"/>
        <w:jc w:val="left"/>
        <w:rPr/>
      </w:pPr>
      <w:r>
        <w:rPr/>
      </w:r>
    </w:p>
    <w:p>
      <w:pPr>
        <w:pStyle w:val="TextBody"/>
        <w:bidi w:val="0"/>
        <w:spacing w:lineRule="auto" w:line="292" w:before="0" w:after="0"/>
        <w:ind w:left="0" w:right="0" w:firstLine="720"/>
        <w:jc w:val="both"/>
        <w:rPr/>
      </w:pPr>
      <w:r>
        <w:rPr>
          <w:rFonts w:ascii="Times New Roman;sans-serif" w:hAnsi="Times New Roman;sans-serif"/>
          <w:b/>
          <w:color w:val="000000"/>
          <w:sz w:val="19"/>
        </w:rPr>
        <w:t>21.</w:t>
      </w:r>
      <w:r>
        <w:rPr>
          <w:rFonts w:ascii="Times New Roman;sans-serif" w:hAnsi="Times New Roman;sans-serif"/>
          <w:b/>
          <w:color w:val="000000"/>
          <w:sz w:val="22"/>
          <w:u w:val="single"/>
        </w:rPr>
        <w:t>Amendment and Waivers</w:t>
      </w:r>
      <w:r>
        <w:rPr>
          <w:rFonts w:ascii="Times New Roman;sans-serif" w:hAnsi="Times New Roman;sans-serif"/>
          <w:b/>
          <w:color w:val="000000"/>
          <w:sz w:val="22"/>
        </w:rPr>
        <w:t xml:space="preserve">. </w:t>
      </w:r>
      <w:r>
        <w:rPr>
          <w:rFonts w:ascii="Times New Roman;sans-serif" w:hAnsi="Times New Roman;sans-serif"/>
          <w:b w:val="false"/>
          <w:color w:val="000000"/>
          <w:sz w:val="22"/>
        </w:rPr>
        <w:t>This Agreement may be amended only by a written agreement executed by each of the parties hereto. No amendment or waiver of, or modification of any obligation under, this Agreement will be enforceable unless specifically set forth in a writing signed by the party against which enforcement is sought. Any amendment effected in accordance with this Section 21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pStyle w:val="TextBody"/>
        <w:bidi w:val="0"/>
        <w:spacing w:before="1" w:after="283"/>
        <w:jc w:val="left"/>
        <w:rPr/>
      </w:pPr>
      <w:r>
        <w:rPr/>
      </w:r>
    </w:p>
    <w:p>
      <w:pPr>
        <w:pStyle w:val="TextBody"/>
        <w:bidi w:val="0"/>
        <w:spacing w:lineRule="auto" w:line="297" w:before="0" w:after="0"/>
        <w:ind w:left="0" w:right="0" w:firstLine="720"/>
        <w:jc w:val="both"/>
        <w:rPr/>
      </w:pPr>
      <w:r>
        <w:rPr>
          <w:rFonts w:ascii="Times New Roman;sans-serif" w:hAnsi="Times New Roman;sans-serif"/>
          <w:b/>
          <w:color w:val="000000"/>
          <w:sz w:val="19"/>
        </w:rPr>
        <w:t>22.</w:t>
      </w:r>
      <w:r>
        <w:rPr>
          <w:rFonts w:ascii="Times New Roman;sans-serif" w:hAnsi="Times New Roman;sans-serif"/>
          <w:b/>
          <w:color w:val="000000"/>
          <w:sz w:val="22"/>
          <w:u w:val="single"/>
        </w:rPr>
        <w:t>Successors and Assigns; Assignment</w:t>
      </w:r>
      <w:r>
        <w:rPr>
          <w:rFonts w:ascii="Times New Roman;sans-serif" w:hAnsi="Times New Roman;sans-serif"/>
          <w:b/>
          <w:color w:val="000000"/>
          <w:sz w:val="22"/>
        </w:rPr>
        <w:t xml:space="preserve">. </w:t>
      </w:r>
      <w:r>
        <w:rPr>
          <w:rFonts w:ascii="Times New Roman;sans-serif" w:hAnsi="Times New Roman;sans-serif"/>
          <w:b w:val="false"/>
          <w:color w:val="000000"/>
          <w:sz w:val="22"/>
        </w:rPr>
        <w:t>Except as otherwise provided in this Agreement, this Agreement, and the rights and obligations of the parties 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pStyle w:val="TextBody"/>
        <w:bidi w:val="0"/>
        <w:spacing w:before="1" w:after="283"/>
        <w:jc w:val="left"/>
        <w:rPr/>
      </w:pPr>
      <w:r>
        <w:rPr/>
      </w:r>
    </w:p>
    <w:p>
      <w:pPr>
        <w:pStyle w:val="TextBody"/>
        <w:bidi w:val="0"/>
        <w:spacing w:lineRule="auto" w:line="292" w:before="1" w:after="283"/>
        <w:ind w:left="0" w:right="0" w:firstLine="720"/>
        <w:jc w:val="both"/>
        <w:rPr/>
      </w:pPr>
      <w:r>
        <w:rPr>
          <w:rFonts w:ascii="Times New Roman;sans-serif" w:hAnsi="Times New Roman;sans-serif"/>
          <w:b/>
          <w:color w:val="000000"/>
          <w:sz w:val="19"/>
        </w:rPr>
        <w:t>23.</w:t>
      </w:r>
      <w:r>
        <w:rPr>
          <w:rFonts w:ascii="Times New Roman;sans-serif" w:hAnsi="Times New Roman;sans-serif"/>
          <w:b/>
          <w:color w:val="000000"/>
          <w:sz w:val="22"/>
          <w:u w:val="single"/>
        </w:rPr>
        <w:t>Further Assurances</w:t>
      </w:r>
      <w:r>
        <w:rPr>
          <w:rFonts w:ascii="Times New Roman;sans-serif" w:hAnsi="Times New Roman;sans-serif"/>
          <w:b/>
          <w:color w:val="000000"/>
          <w:sz w:val="22"/>
        </w:rPr>
        <w:t xml:space="preserve">. </w:t>
      </w:r>
      <w:r>
        <w:rPr>
          <w:rFonts w:ascii="Times New Roman;sans-serif" w:hAnsi="Times New Roman;sans-serif"/>
          <w:b w:val="false"/>
          <w:color w:val="000000"/>
          <w:sz w:val="22"/>
        </w:rPr>
        <w:t>The parties will execute such further documents and instruments and take such further actions as may be reasonably necessary to carry out the purposes and intent of this Agreement. Upon termination of my employment with the Company, I will execute and deliver a document or documents in a form reasonably requested by the Company confirming my agreement to comply with the post-employment obligations contained in this Agreement.</w:t>
      </w:r>
    </w:p>
    <w:p>
      <w:pPr>
        <w:pStyle w:val="TextBody"/>
        <w:bidi w:val="0"/>
        <w:spacing w:before="1" w:after="283"/>
        <w:jc w:val="left"/>
        <w:rPr/>
      </w:pPr>
      <w:r>
        <w:rPr/>
      </w:r>
    </w:p>
    <w:p>
      <w:pPr>
        <w:pStyle w:val="TextBody"/>
        <w:bidi w:val="0"/>
        <w:spacing w:lineRule="auto" w:line="292" w:before="0" w:after="0"/>
        <w:ind w:left="0" w:right="0" w:firstLine="720"/>
        <w:jc w:val="both"/>
        <w:rPr/>
      </w:pPr>
      <w:r>
        <w:rPr>
          <w:rFonts w:ascii="Times New Roman;sans-serif" w:hAnsi="Times New Roman;sans-serif"/>
          <w:b/>
          <w:color w:val="000000"/>
          <w:sz w:val="19"/>
        </w:rPr>
        <w:t>24.</w:t>
      </w:r>
      <w:r>
        <w:rPr>
          <w:color w:val="000000"/>
          <w:u w:val="single"/>
        </w:rPr>
        <w:t>“</w:t>
      </w:r>
      <w:r>
        <w:rPr>
          <w:rFonts w:ascii="Times New Roman;sans-serif" w:hAnsi="Times New Roman;sans-serif"/>
          <w:b/>
          <w:color w:val="000000"/>
          <w:sz w:val="22"/>
          <w:u w:val="single"/>
        </w:rPr>
        <w:t>At Will” Employment</w:t>
      </w:r>
      <w:r>
        <w:rPr>
          <w:rFonts w:ascii="Times New Roman;sans-serif" w:hAnsi="Times New Roman;sans-serif"/>
          <w:b/>
          <w:color w:val="000000"/>
          <w:sz w:val="22"/>
        </w:rPr>
        <w:t xml:space="preserve">. </w:t>
      </w:r>
      <w:r>
        <w:rPr>
          <w:rFonts w:ascii="Times New Roman;sans-serif" w:hAnsi="Times New Roman;sans-serif"/>
          <w:b w:val="false"/>
          <w:color w:val="000000"/>
          <w:sz w:val="22"/>
        </w:rPr>
        <w:t>I understand that this Agreement does not constitute a contract of employment or obligate the Company to employ me for any stated period of time. I understand that I am an “at will” employee of the Company and that my employment can be terminated at any time, with or without notice and with or without cause, for any reason or for no reason, by either the Company or myself. I acknowledge that any statements or representations to the contrary are ineffective, unless put into a writing signed by the Company. I further acknowledge that my participation in any stock option or benefit program is not to be construed as any assurance of continuing employment for any particular period of time.</w:t>
      </w:r>
    </w:p>
    <w:p>
      <w:pPr>
        <w:pStyle w:val="TextBody"/>
        <w:bidi w:val="0"/>
        <w:spacing w:before="0" w:after="0"/>
        <w:jc w:val="both"/>
        <w:rPr/>
      </w:pPr>
      <w:r>
        <w:rPr/>
      </w:r>
    </w:p>
    <w:p>
      <w:pPr>
        <w:pStyle w:val="TextBody"/>
        <w:bidi w:val="0"/>
        <w:spacing w:lineRule="auto" w:line="292" w:before="0" w:after="0"/>
        <w:ind w:left="0" w:right="0" w:firstLine="720"/>
        <w:jc w:val="both"/>
        <w:rPr/>
      </w:pPr>
      <w:r>
        <w:rPr>
          <w:rFonts w:ascii="Times New Roman;sans-serif" w:hAnsi="Times New Roman;sans-serif"/>
          <w:b/>
          <w:color w:val="000000"/>
          <w:sz w:val="19"/>
        </w:rPr>
        <w:t>25.</w:t>
      </w:r>
      <w:r>
        <w:rPr>
          <w:rFonts w:ascii="Times New Roman;sans-serif" w:hAnsi="Times New Roman;sans-serif"/>
          <w:b/>
          <w:color w:val="000000"/>
          <w:sz w:val="22"/>
          <w:u w:val="single"/>
        </w:rPr>
        <w:t>Acknowledgment</w:t>
      </w:r>
      <w:r>
        <w:rPr>
          <w:rFonts w:ascii="Times New Roman;sans-serif" w:hAnsi="Times New Roman;sans-serif"/>
          <w:b w:val="false"/>
          <w:color w:val="000000"/>
          <w:sz w:val="22"/>
        </w:rPr>
        <w:t>. I certify and acknowledge that I have carefully read all of the provisions of this Agreement and that I understand and will fully and faithfully comply with this Agreement.</w:t>
      </w:r>
    </w:p>
    <w:p>
      <w:pPr>
        <w:pStyle w:val="TextBody"/>
        <w:bidi w:val="0"/>
        <w:spacing w:before="0" w:after="0"/>
        <w:jc w:val="left"/>
        <w:rPr/>
      </w:pPr>
      <w:r>
        <w:rPr/>
      </w:r>
    </w:p>
    <w:p>
      <w:pPr>
        <w:pStyle w:val="TextBody"/>
        <w:bidi w:val="0"/>
        <w:spacing w:lineRule="auto" w:line="292" w:before="0" w:after="0"/>
        <w:ind w:left="0" w:right="0" w:firstLine="720"/>
        <w:jc w:val="both"/>
        <w:rPr/>
      </w:pPr>
      <w:r>
        <w:rPr>
          <w:rFonts w:ascii="Times New Roman;sans-serif" w:hAnsi="Times New Roman;sans-serif"/>
          <w:b/>
          <w:color w:val="000000"/>
          <w:sz w:val="19"/>
        </w:rPr>
        <w:t>26.</w:t>
      </w:r>
      <w:r>
        <w:rPr>
          <w:rFonts w:ascii="Times New Roman;sans-serif" w:hAnsi="Times New Roman;sans-serif"/>
          <w:b/>
          <w:color w:val="000000"/>
          <w:sz w:val="22"/>
          <w:u w:val="single"/>
        </w:rPr>
        <w:t>Effective Date of Agreement</w:t>
      </w:r>
      <w:r>
        <w:rPr>
          <w:rFonts w:ascii="Times New Roman;sans-serif" w:hAnsi="Times New Roman;sans-serif"/>
          <w:b w:val="false"/>
          <w:color w:val="000000"/>
          <w:sz w:val="22"/>
        </w:rPr>
        <w:t>. This Employee Invention Assignment and Confidentiality Agreement shall be effective as of the first day of my employment by the Company, which is December 3, 2018 (the “</w:t>
      </w:r>
      <w:r>
        <w:rPr>
          <w:rFonts w:ascii="Times New Roman;sans-serif" w:hAnsi="Times New Roman;sans-serif"/>
          <w:b/>
          <w:i/>
          <w:color w:val="000000"/>
          <w:sz w:val="22"/>
        </w:rPr>
        <w:t>Effective Date</w:t>
      </w:r>
      <w:r>
        <w:rPr>
          <w:color w:val="000000"/>
        </w:rPr>
        <w:t>”</w:t>
      </w:r>
      <w:r>
        <w:rPr>
          <w:rFonts w:ascii="Times New Roman;sans-serif" w:hAnsi="Times New Roman;sans-serif"/>
          <w:b w:val="false"/>
          <w:color w:val="000000"/>
          <w:sz w:val="22"/>
        </w:rPr>
        <w:t>).</w:t>
      </w:r>
    </w:p>
    <w:p>
      <w:pPr>
        <w:pStyle w:val="TextBody"/>
        <w:bidi w:val="0"/>
        <w:spacing w:before="0" w:after="283"/>
        <w:jc w:val="left"/>
        <w:rPr/>
      </w:pPr>
      <w:r>
        <w:rPr/>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89">
                <wp:simplePos x="0" y="0"/>
                <wp:positionH relativeFrom="character">
                  <wp:align>left</wp:align>
                </wp:positionH>
                <wp:positionV relativeFrom="line">
                  <wp:posOffset>635</wp:posOffset>
                </wp:positionV>
                <wp:extent cx="6480175" cy="526415"/>
                <wp:effectExtent l="0" t="0" r="0" b="0"/>
                <wp:wrapNone/>
                <wp:docPr id="88" name="Frame81"/>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5</w:t>
                            </w:r>
                            <w:r>
                              <w:br w:type="page"/>
                            </w:r>
                          </w:p>
                          <w:p>
                            <w:pPr>
                              <w:pStyle w:val="TextBody"/>
                              <w:bidi w:val="0"/>
                              <w:spacing w:before="0" w:after="0"/>
                              <w:ind w:left="0" w:right="0" w:hanging="2"/>
                              <w:jc w:val="left"/>
                              <w:rPr/>
                            </w:pPr>
                            <w:r>
                              <w:rPr/>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5</w:t>
                      </w:r>
                    </w:p>
                    <w:p>
                      <w:pPr>
                        <w:pStyle w:val="TextBody"/>
                        <w:bidi w:val="0"/>
                        <w:spacing w:before="0" w:after="0"/>
                        <w:ind w:left="0" w:right="0" w:hanging="2"/>
                        <w:jc w:val="left"/>
                        <w:rPr/>
                      </w:pPr>
                      <w:r>
                        <w:rPr/>
                      </w:r>
                    </w:p>
                    <w:p>
                      <w:pPr>
                        <w:pStyle w:val="TextBody"/>
                        <w:bidi w:val="0"/>
                        <w:spacing w:before="0" w:after="0"/>
                        <w:ind w:left="0" w:right="0" w:hanging="2"/>
                        <w:jc w:val="left"/>
                        <w:rPr/>
                      </w:pPr>
                      <w:r>
                        <w:rPr/>
                      </w:r>
                    </w:p>
                  </w:txbxContent>
                </v:textbox>
                <w10:wrap type="none"/>
              </v:rect>
            </w:pict>
          </mc:Fallback>
        </mc:AlternateConten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tbl>
      <w:tblPr>
        <w:tblW w:w="9405" w:type="dxa"/>
        <w:jc w:val="left"/>
        <w:tblInd w:w="0" w:type="dxa"/>
        <w:tblLayout w:type="fixed"/>
        <w:tblCellMar>
          <w:top w:w="28" w:type="dxa"/>
          <w:left w:w="28" w:type="dxa"/>
          <w:bottom w:w="28" w:type="dxa"/>
          <w:right w:w="28" w:type="dxa"/>
        </w:tblCellMar>
      </w:tblPr>
      <w:tblGrid>
        <w:gridCol w:w="1591"/>
        <w:gridCol w:w="1399"/>
        <w:gridCol w:w="1405"/>
        <w:gridCol w:w="879"/>
        <w:gridCol w:w="879"/>
        <w:gridCol w:w="3252"/>
      </w:tblGrid>
      <w:tr>
        <w:trPr/>
        <w:tc>
          <w:tcPr>
            <w:tcW w:w="1591" w:type="dxa"/>
            <w:tcBorders/>
            <w:vAlign w:val="center"/>
          </w:tcPr>
          <w:p>
            <w:pPr>
              <w:pStyle w:val="TableContents"/>
              <w:bidi w:val="0"/>
              <w:spacing w:before="0" w:after="283"/>
              <w:jc w:val="left"/>
              <w:rPr>
                <w:sz w:val="4"/>
                <w:szCs w:val="4"/>
              </w:rPr>
            </w:pPr>
            <w:r>
              <w:rPr>
                <w:sz w:val="4"/>
                <w:szCs w:val="4"/>
              </w:rPr>
            </w:r>
          </w:p>
        </w:tc>
        <w:tc>
          <w:tcPr>
            <w:tcW w:w="1399" w:type="dxa"/>
            <w:tcBorders/>
            <w:vAlign w:val="center"/>
          </w:tcPr>
          <w:p>
            <w:pPr>
              <w:pStyle w:val="TableContents"/>
              <w:bidi w:val="0"/>
              <w:spacing w:before="0" w:after="283"/>
              <w:jc w:val="left"/>
              <w:rPr>
                <w:sz w:val="4"/>
                <w:szCs w:val="4"/>
              </w:rPr>
            </w:pPr>
            <w:r>
              <w:rPr>
                <w:sz w:val="4"/>
                <w:szCs w:val="4"/>
              </w:rPr>
            </w:r>
          </w:p>
        </w:tc>
        <w:tc>
          <w:tcPr>
            <w:tcW w:w="1405"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879" w:type="dxa"/>
            <w:tcBorders/>
            <w:vAlign w:val="center"/>
          </w:tcPr>
          <w:p>
            <w:pPr>
              <w:pStyle w:val="TableContents"/>
              <w:bidi w:val="0"/>
              <w:spacing w:before="0" w:after="283"/>
              <w:jc w:val="left"/>
              <w:rPr>
                <w:sz w:val="4"/>
                <w:szCs w:val="4"/>
              </w:rPr>
            </w:pPr>
            <w:r>
              <w:rPr>
                <w:sz w:val="4"/>
                <w:szCs w:val="4"/>
              </w:rPr>
            </w:r>
          </w:p>
        </w:tc>
        <w:tc>
          <w:tcPr>
            <w:tcW w:w="3252" w:type="dxa"/>
            <w:tcBorders/>
            <w:vAlign w:val="center"/>
          </w:tcPr>
          <w:p>
            <w:pPr>
              <w:pStyle w:val="TableContents"/>
              <w:bidi w:val="0"/>
              <w:spacing w:before="0" w:after="283"/>
              <w:ind w:left="0" w:right="0" w:firstLine="270"/>
              <w:jc w:val="left"/>
              <w:rPr>
                <w:sz w:val="4"/>
                <w:szCs w:val="4"/>
              </w:rPr>
            </w:pPr>
            <w:r>
              <w:rPr>
                <w:sz w:val="4"/>
                <w:szCs w:val="4"/>
              </w:rPr>
            </w:r>
          </w:p>
        </w:tc>
      </w:tr>
      <w:tr>
        <w:trPr/>
        <w:tc>
          <w:tcPr>
            <w:tcW w:w="439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COMPANY:</w:t>
            </w:r>
          </w:p>
        </w:tc>
        <w:tc>
          <w:tcPr>
            <w:tcW w:w="501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u w:val="single"/>
              </w:rPr>
            </w:pPr>
            <w:r>
              <w:rPr>
                <w:rFonts w:ascii="Times New Roman;sans-serif" w:hAnsi="Times New Roman;sans-serif"/>
                <w:b/>
                <w:color w:val="000000"/>
                <w:sz w:val="22"/>
                <w:u w:val="single"/>
              </w:rPr>
              <w:t>EMPLOYEE:</w:t>
            </w:r>
          </w:p>
        </w:tc>
      </w:tr>
      <w:tr>
        <w:trPr/>
        <w:tc>
          <w:tcPr>
            <w:tcW w:w="4395" w:type="dxa"/>
            <w:gridSpan w:val="3"/>
            <w:tcBorders/>
            <w:tcMar>
              <w:top w:w="0" w:type="dxa"/>
              <w:left w:w="0" w:type="dxa"/>
              <w:bottom w:w="0" w:type="dxa"/>
              <w:right w:w="0" w:type="dxa"/>
            </w:tcMar>
            <w:vAlign w:val="center"/>
          </w:tcPr>
          <w:p>
            <w:pPr>
              <w:pStyle w:val="TableContents"/>
              <w:bidi w:val="0"/>
              <w:spacing w:lineRule="auto" w:line="276" w:before="240" w:after="60"/>
              <w:ind w:left="0" w:right="0" w:firstLine="360"/>
              <w:jc w:val="left"/>
              <w:rPr>
                <w:rFonts w:ascii="Times New Roman;sans-serif" w:hAnsi="Times New Roman;sans-serif"/>
                <w:b/>
                <w:color w:val="000000"/>
                <w:sz w:val="22"/>
              </w:rPr>
            </w:pPr>
            <w:r>
              <w:rPr>
                <w:rFonts w:ascii="Times New Roman;sans-serif" w:hAnsi="Times New Roman;sans-serif"/>
                <w:b/>
                <w:color w:val="000000"/>
                <w:sz w:val="22"/>
              </w:rPr>
              <w:t>NEXTDOOR.COM, INC.</w:t>
            </w:r>
          </w:p>
          <w:p>
            <w:pPr>
              <w:pStyle w:val="TableContents"/>
              <w:bidi w:val="0"/>
              <w:spacing w:before="240" w:after="60"/>
              <w:ind w:left="0" w:right="0" w:firstLine="360"/>
              <w:jc w:val="left"/>
              <w:rPr/>
            </w:pPr>
            <w:r>
              <w:rPr/>
            </w:r>
          </w:p>
          <w:p>
            <w:pPr>
              <w:pStyle w:val="TableContents"/>
              <w:bidi w:val="0"/>
              <w:spacing w:before="240" w:after="60"/>
              <w:ind w:left="0" w:right="0" w:firstLine="360"/>
              <w:jc w:val="left"/>
              <w:rPr/>
            </w:pPr>
            <w:r>
              <w:rPr/>
            </w:r>
          </w:p>
          <w:p>
            <w:pPr>
              <w:pStyle w:val="TableContents"/>
              <w:bidi w:val="0"/>
              <w:spacing w:lineRule="auto" w:line="276" w:before="240" w:after="60"/>
              <w:ind w:left="0" w:right="0" w:firstLine="360"/>
              <w:jc w:val="left"/>
              <w:rPr/>
            </w:pPr>
            <w:r>
              <w:rPr>
                <w:rFonts w:ascii="Times New Roman;sans-serif" w:hAnsi="Times New Roman;sans-serif"/>
                <w:b w:val="false"/>
                <w:color w:val="000000"/>
                <w:sz w:val="22"/>
              </w:rPr>
              <w:t xml:space="preserve">By: </w:t>
            </w:r>
            <w:r>
              <w:rPr>
                <w:rFonts w:ascii="Times New Roman;sans-serif" w:hAnsi="Times New Roman;sans-serif"/>
                <w:b w:val="false"/>
                <w:color w:val="000000"/>
                <w:sz w:val="22"/>
                <w:u w:val="single"/>
              </w:rPr>
              <w:t>/s/John Orta</w:t>
            </w:r>
            <w:r>
              <w:rPr>
                <w:rFonts w:ascii="Times New Roman;sans-serif" w:hAnsi="Times New Roman;sans-serif"/>
                <w:b w:val="false"/>
                <w:color w:val="000000"/>
                <w:sz w:val="22"/>
              </w:rPr>
              <w:t>____________________</w:t>
            </w:r>
          </w:p>
          <w:p>
            <w:pPr>
              <w:pStyle w:val="TableContents"/>
              <w:bidi w:val="0"/>
              <w:spacing w:lineRule="auto" w:line="276" w:before="240" w:after="6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Name: John Orta</w:t>
            </w:r>
          </w:p>
          <w:p>
            <w:pPr>
              <w:pStyle w:val="TableContents"/>
              <w:bidi w:val="0"/>
              <w:spacing w:lineRule="auto" w:line="276" w:before="240" w:after="60"/>
              <w:ind w:left="0" w:right="0" w:firstLine="360"/>
              <w:jc w:val="left"/>
              <w:rPr>
                <w:rFonts w:ascii="Times New Roman;sans-serif" w:hAnsi="Times New Roman;sans-serif"/>
                <w:b w:val="false"/>
                <w:color w:val="000000"/>
                <w:sz w:val="22"/>
              </w:rPr>
            </w:pPr>
            <w:r>
              <w:rPr>
                <w:rFonts w:ascii="Times New Roman;sans-serif" w:hAnsi="Times New Roman;sans-serif"/>
                <w:b w:val="false"/>
                <w:color w:val="000000"/>
                <w:sz w:val="22"/>
              </w:rPr>
              <w:t>Title: Chief Legal Officer</w:t>
            </w:r>
          </w:p>
        </w:tc>
        <w:tc>
          <w:tcPr>
            <w:tcW w:w="5010" w:type="dxa"/>
            <w:gridSpan w:val="3"/>
            <w:tcBorders/>
            <w:tcMar>
              <w:top w:w="0" w:type="dxa"/>
              <w:left w:w="0" w:type="dxa"/>
              <w:bottom w:w="0" w:type="dxa"/>
              <w:right w:w="0" w:type="dxa"/>
            </w:tcMar>
            <w:vAlign w:val="center"/>
          </w:tcPr>
          <w:p>
            <w:pPr>
              <w:pStyle w:val="TableContents"/>
              <w:bidi w:val="0"/>
              <w:spacing w:lineRule="auto" w:line="192" w:before="240" w:after="60"/>
              <w:ind w:left="0" w:right="0" w:firstLine="90"/>
              <w:jc w:val="left"/>
              <w:rPr/>
            </w:pPr>
            <w:r>
              <w:rPr>
                <w:rFonts w:ascii="Times New Roman;sans-serif" w:hAnsi="Times New Roman;sans-serif"/>
                <w:b w:val="false"/>
                <w:color w:val="000000"/>
                <w:sz w:val="22"/>
                <w:u w:val="single"/>
              </w:rPr>
              <w:t>/s/ Sarah Friar</w:t>
            </w:r>
            <w:r>
              <w:rPr>
                <w:rFonts w:ascii="Times New Roman;sans-serif" w:hAnsi="Times New Roman;sans-serif"/>
                <w:b w:val="false"/>
                <w:color w:val="000000"/>
                <w:sz w:val="22"/>
              </w:rPr>
              <w:t>_____________________________</w:t>
            </w:r>
          </w:p>
        </w:tc>
      </w:tr>
    </w:tbl>
    <w:p>
      <w:pPr>
        <w:pStyle w:val="TextBody"/>
        <w:bidi w:val="0"/>
        <w:spacing w:before="240" w:after="60"/>
        <w:ind w:left="0" w:right="0" w:firstLine="360"/>
        <w:jc w:val="left"/>
        <w:rPr/>
      </w:pPr>
      <w:r>
        <w:rPr/>
      </w:r>
    </w:p>
    <w:p>
      <w:pPr>
        <w:pStyle w:val="TextBody"/>
        <w:bidi w:val="0"/>
        <w:spacing w:before="101" w:after="283"/>
        <w:jc w:val="left"/>
        <w:rPr/>
      </w:pPr>
      <w:r>
        <w:rPr/>
      </w:r>
    </w:p>
    <w:p>
      <w:pPr>
        <w:pStyle w:val="TextBody"/>
        <w:bidi w:val="0"/>
        <w:spacing w:before="0" w:after="0"/>
        <w:jc w:val="center"/>
        <w:rPr/>
      </w:pPr>
      <w:r>
        <w:rPr/>
      </w:r>
    </w:p>
    <w:p>
      <w:pPr>
        <w:pStyle w:val="TextBody"/>
        <w:bidi w:val="0"/>
        <w:spacing w:before="0" w:after="283"/>
        <w:jc w:val="left"/>
        <w:rPr/>
      </w:pPr>
      <w:r>
        <w:rPr/>
      </w:r>
    </w:p>
    <w:p>
      <w:pPr>
        <w:pStyle w:val="TextBody"/>
        <w:bidi w:val="0"/>
        <w:spacing w:before="0" w:after="0"/>
        <w:ind w:left="0" w:right="0" w:hanging="2"/>
        <w:jc w:val="left"/>
        <w:rPr/>
      </w:pPr>
      <w:r>
        <w:rPr/>
      </w:r>
      <w:r>
        <mc:AlternateContent>
          <mc:Choice Requires="wps">
            <w:drawing>
              <wp:anchor behindDoc="0" distT="0" distB="0" distL="0" distR="0" simplePos="0" locked="0" layoutInCell="1" allowOverlap="1" relativeHeight="90">
                <wp:simplePos x="0" y="0"/>
                <wp:positionH relativeFrom="character">
                  <wp:align>left</wp:align>
                </wp:positionH>
                <wp:positionV relativeFrom="line">
                  <wp:posOffset>635</wp:posOffset>
                </wp:positionV>
                <wp:extent cx="6480175" cy="526415"/>
                <wp:effectExtent l="0" t="0" r="0" b="0"/>
                <wp:wrapNone/>
                <wp:docPr id="89" name="Frame82"/>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6</w:t>
                            </w:r>
                            <w:r>
                              <w:br w:type="page"/>
                            </w:r>
                          </w:p>
                          <w:p>
                            <w:pPr>
                              <w:pStyle w:val="TextBody"/>
                              <w:bidi w:val="0"/>
                              <w:spacing w:before="0" w:after="0"/>
                              <w:ind w:left="0" w:right="0" w:hanging="2"/>
                              <w:jc w:val="left"/>
                              <w:rPr/>
                            </w:pPr>
                            <w:r>
                              <w:rPr/>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6</w:t>
                      </w:r>
                    </w:p>
                    <w:p>
                      <w:pPr>
                        <w:pStyle w:val="TextBody"/>
                        <w:bidi w:val="0"/>
                        <w:spacing w:before="0" w:after="0"/>
                        <w:ind w:left="0" w:right="0" w:hanging="2"/>
                        <w:jc w:val="left"/>
                        <w:rPr/>
                      </w:pPr>
                      <w:r>
                        <w:rPr/>
                      </w:r>
                    </w:p>
                    <w:p>
                      <w:pPr>
                        <w:pStyle w:val="TextBody"/>
                        <w:bidi w:val="0"/>
                        <w:spacing w:before="0" w:after="0"/>
                        <w:ind w:left="0" w:right="0" w:hanging="2"/>
                        <w:jc w:val="left"/>
                        <w:rPr/>
                      </w:pPr>
                      <w:r>
                        <w:rPr/>
                      </w:r>
                    </w:p>
                  </w:txbxContent>
                </v:textbox>
                <w10:wrap type="none"/>
              </v:rect>
            </w:pict>
          </mc:Fallback>
        </mc:AlternateContent>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ind w:left="0" w:right="0" w:hanging="2"/>
        <w:jc w:val="left"/>
        <w:rPr/>
      </w:pPr>
      <w:r>
        <w:rPr/>
      </w:r>
    </w:p>
    <w:p>
      <w:pPr>
        <w:pStyle w:val="TextBody"/>
        <w:bidi w:val="0"/>
        <w:spacing w:before="0" w:after="0"/>
        <w:jc w:val="left"/>
        <w:rPr/>
      </w:pPr>
      <w:r>
        <w:rPr/>
      </w:r>
    </w:p>
    <w:p>
      <w:pPr>
        <w:pStyle w:val="TextBody"/>
        <w:bidi w:val="0"/>
        <w:spacing w:lineRule="auto" w:line="288" w:before="0" w:after="0"/>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EXHIBIT C</w:t>
      </w:r>
    </w:p>
    <w:p>
      <w:pPr>
        <w:pStyle w:val="TextBody"/>
        <w:bidi w:val="0"/>
        <w:spacing w:before="0" w:after="0"/>
        <w:ind w:left="0" w:right="0" w:hanging="2"/>
        <w:jc w:val="center"/>
        <w:rPr/>
      </w:pPr>
      <w:r>
        <w:rPr/>
      </w:r>
    </w:p>
    <w:p>
      <w:pPr>
        <w:pStyle w:val="TextBody"/>
        <w:bidi w:val="0"/>
        <w:spacing w:lineRule="auto" w:line="288" w:before="0" w:after="0"/>
        <w:ind w:left="0" w:right="0" w:hanging="2"/>
        <w:jc w:val="center"/>
        <w:rPr>
          <w:rFonts w:ascii="Times New Roman;sans-serif" w:hAnsi="Times New Roman;sans-serif"/>
          <w:b/>
          <w:color w:val="000000"/>
          <w:sz w:val="24"/>
        </w:rPr>
      </w:pPr>
      <w:r>
        <w:rPr>
          <w:rFonts w:ascii="Times New Roman;sans-serif" w:hAnsi="Times New Roman;sans-serif"/>
          <w:b/>
          <w:color w:val="000000"/>
          <w:sz w:val="24"/>
        </w:rPr>
        <w:t>OPTIONS AND RSUS</w:t>
      </w:r>
    </w:p>
    <w:p>
      <w:pPr>
        <w:pStyle w:val="TextBody"/>
        <w:bidi w:val="0"/>
        <w:spacing w:before="0" w:after="0"/>
        <w:ind w:left="0" w:right="0" w:hanging="2"/>
        <w:jc w:val="center"/>
        <w:rPr/>
      </w:pPr>
      <w:r>
        <w:rPr/>
      </w:r>
    </w:p>
    <w:p>
      <w:pPr>
        <w:pStyle w:val="TextBody"/>
        <w:bidi w:val="0"/>
        <w:ind w:left="0" w:right="0" w:hanging="2"/>
        <w:jc w:val="center"/>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91">
                <wp:simplePos x="0" y="0"/>
                <wp:positionH relativeFrom="character">
                  <wp:align>left</wp:align>
                </wp:positionH>
                <wp:positionV relativeFrom="line">
                  <wp:posOffset>635</wp:posOffset>
                </wp:positionV>
                <wp:extent cx="6480175" cy="526415"/>
                <wp:effectExtent l="0" t="0" r="0" b="0"/>
                <wp:wrapNone/>
                <wp:docPr id="90" name="Frame83"/>
                <a:graphic xmlns:a="http://schemas.openxmlformats.org/drawingml/2006/main">
                  <a:graphicData uri="http://schemas.microsoft.com/office/word/2010/wordprocessingShape">
                    <wps:wsp>
                      <wps:cNvSpPr txBox="1"/>
                      <wps:spPr>
                        <a:xfrm>
                          <a:off x="0" y="0"/>
                          <a:ext cx="6480175" cy="526415"/>
                        </a:xfrm>
                        <a:prstGeom prst="rect"/>
                        <a:solidFill>
                          <a:srgbClr val="FFFFFF"/>
                        </a:solidFill>
                      </wps:spPr>
                      <wps:txb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ind w:left="0" w:right="0" w:hanging="2"/>
                              <w:jc w:val="left"/>
                              <w:rPr/>
                            </w:pPr>
                            <w:r>
                              <w:rPr/>
                            </w:r>
                          </w:p>
                          <w:p>
                            <w:pPr>
                              <w:pStyle w:val="TextBody"/>
                              <w:bidi w:val="0"/>
                              <w:spacing w:before="0" w:after="0"/>
                              <w:ind w:left="0" w:right="0" w:hanging="2"/>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41.45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0"/>
                        <w:ind w:left="0" w:right="0" w:hanging="2"/>
                        <w:jc w:val="center"/>
                        <w:rPr>
                          <w:rFonts w:ascii="Times New Roman;sans-serif" w:hAnsi="Times New Roman;sans-serif"/>
                          <w:b w:val="false"/>
                          <w:color w:val="000000"/>
                          <w:sz w:val="20"/>
                        </w:rPr>
                      </w:pPr>
                      <w:r>
                        <w:rPr>
                          <w:rFonts w:ascii="Times New Roman;sans-serif" w:hAnsi="Times New Roman;sans-serif"/>
                          <w:b w:val="false"/>
                          <w:color w:val="000000"/>
                          <w:sz w:val="20"/>
                        </w:rPr>
                        <w:t>7</w:t>
                      </w:r>
                    </w:p>
                    <w:p>
                      <w:pPr>
                        <w:pStyle w:val="TextBody"/>
                        <w:bidi w:val="0"/>
                        <w:spacing w:before="0" w:after="0"/>
                        <w:ind w:left="0" w:right="0" w:hanging="2"/>
                        <w:jc w:val="left"/>
                        <w:rPr/>
                      </w:pPr>
                      <w:r>
                        <w:rPr/>
                      </w:r>
                    </w:p>
                    <w:p>
                      <w:pPr>
                        <w:pStyle w:val="TextBody"/>
                        <w:bidi w:val="0"/>
                        <w:spacing w:before="0" w:after="0"/>
                        <w:ind w:left="0" w:right="0" w:hanging="2"/>
                        <w:jc w:val="left"/>
                        <w:rPr/>
                      </w:pPr>
                      <w:r>
                        <w:rPr/>
                      </w:r>
                    </w:p>
                  </w:txbxContent>
                </v:textbox>
                <w10:wrap type="none"/>
              </v:rect>
            </w:pict>
          </mc:Fallback>
        </mc:AlternateConten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February 26, 2024</w:t>
      </w:r>
    </w:p>
    <w:p>
      <w:pPr>
        <w:pStyle w:val="TextBody"/>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Nirav Tolia</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Dear Nirav: </w:t>
      </w:r>
    </w:p>
    <w:p>
      <w:pPr>
        <w:pStyle w:val="TextBody"/>
        <w:bidi w:val="0"/>
        <w:spacing w:lineRule="auto" w:line="288" w:before="0" w:after="240"/>
        <w:ind w:left="0" w:right="0" w:firstLine="360"/>
        <w:jc w:val="both"/>
        <w:rPr/>
      </w:pPr>
      <w:r>
        <w:rPr>
          <w:rFonts w:ascii="Times New Roman;sans-serif" w:hAnsi="Times New Roman;sans-serif"/>
          <w:b w:val="false"/>
          <w:color w:val="000000"/>
          <w:sz w:val="22"/>
        </w:rPr>
        <w:t>This letter agreement confirms our offer to you for the role of Chief Executive Officer and President (the “</w:t>
      </w:r>
      <w:r>
        <w:rPr>
          <w:rFonts w:ascii="Times New Roman;sans-serif" w:hAnsi="Times New Roman;sans-serif"/>
          <w:b/>
          <w:color w:val="000000"/>
          <w:sz w:val="22"/>
        </w:rPr>
        <w:t>position</w:t>
      </w:r>
      <w:r>
        <w:rPr>
          <w:color w:val="000000"/>
        </w:rPr>
        <w:t>”</w:t>
      </w:r>
      <w:r>
        <w:rPr>
          <w:rFonts w:ascii="Times New Roman;sans-serif" w:hAnsi="Times New Roman;sans-serif"/>
          <w:b w:val="false"/>
          <w:color w:val="000000"/>
          <w:sz w:val="22"/>
        </w:rPr>
        <w:t>) of Nextdoor, Inc. (the “</w:t>
      </w:r>
      <w:r>
        <w:rPr>
          <w:rFonts w:ascii="Times New Roman;sans-serif" w:hAnsi="Times New Roman;sans-serif"/>
          <w:b/>
          <w:color w:val="000000"/>
          <w:sz w:val="22"/>
        </w:rPr>
        <w:t>Company</w:t>
      </w:r>
      <w:r>
        <w:rPr>
          <w:color w:val="000000"/>
        </w:rPr>
        <w:t>”</w:t>
      </w:r>
      <w:r>
        <w:rPr>
          <w:rFonts w:ascii="Times New Roman;sans-serif" w:hAnsi="Times New Roman;sans-serif"/>
          <w:b w:val="false"/>
          <w:color w:val="000000"/>
          <w:sz w:val="22"/>
        </w:rPr>
        <w:t>)</w:t>
      </w:r>
      <w:r>
        <w:rPr>
          <w:rFonts w:ascii="Times New Roman;sans-serif" w:hAnsi="Times New Roman;sans-serif"/>
          <w:b w:val="false"/>
          <w:color w:val="000000"/>
          <w:sz w:val="14"/>
        </w:rPr>
        <w:t>1</w:t>
      </w:r>
      <w:r>
        <w:rPr>
          <w:color w:val="000000"/>
        </w:rPr>
        <w:t xml:space="preserve"> </w:t>
      </w:r>
      <w:r>
        <w:rPr>
          <w:rFonts w:ascii="Times New Roman;sans-serif" w:hAnsi="Times New Roman;sans-serif"/>
          <w:b w:val="false"/>
          <w:color w:val="000000"/>
          <w:sz w:val="22"/>
          <w:shd w:fill="FFFFFF" w:val="clear"/>
        </w:rPr>
        <w:t>effective May 8, 2024</w:t>
      </w:r>
      <w:r>
        <w:rPr>
          <w:rFonts w:ascii="Times New Roman;sans-serif" w:hAnsi="Times New Roman;sans-serif"/>
          <w:b w:val="false"/>
          <w:color w:val="000000"/>
          <w:sz w:val="22"/>
        </w:rPr>
        <w:t>. In your role as Chief Executive Officer and President of the Company you will report to the Company’s Board of Directors (the “</w:t>
      </w:r>
      <w:r>
        <w:rPr>
          <w:rFonts w:ascii="Times New Roman;sans-serif" w:hAnsi="Times New Roman;sans-serif"/>
          <w:b/>
          <w:color w:val="000000"/>
          <w:sz w:val="22"/>
        </w:rPr>
        <w:t>Board</w:t>
      </w:r>
      <w:r>
        <w:rPr>
          <w:color w:val="000000"/>
        </w:rPr>
        <w:t>”</w:t>
      </w:r>
      <w:r>
        <w:rPr>
          <w:rFonts w:ascii="Times New Roman;sans-serif" w:hAnsi="Times New Roman;sans-serif"/>
          <w:b w:val="false"/>
          <w:color w:val="000000"/>
          <w:sz w:val="22"/>
        </w:rPr>
        <w:t>). You will initially also serve as Executive Chair of the Board effective March 18, 2024.</w:t>
      </w:r>
    </w:p>
    <w:p>
      <w:pPr>
        <w:pStyle w:val="TextBody"/>
        <w:bidi w:val="0"/>
        <w:spacing w:lineRule="auto" w:line="288" w:before="0" w:after="240"/>
        <w:ind w:left="0" w:right="0" w:firstLine="360"/>
        <w:jc w:val="both"/>
        <w:rPr/>
      </w:pPr>
      <w:r>
        <w:rPr>
          <w:rFonts w:ascii="Times New Roman;sans-serif" w:hAnsi="Times New Roman;sans-serif"/>
          <w:b/>
          <w:color w:val="010000"/>
          <w:sz w:val="22"/>
        </w:rPr>
        <w:t>1.</w:t>
      </w:r>
      <w:r>
        <w:rPr>
          <w:rFonts w:ascii="Times New Roman;sans-serif" w:hAnsi="Times New Roman;sans-serif"/>
          <w:b/>
          <w:color w:val="000000"/>
          <w:sz w:val="22"/>
          <w:u w:val="single"/>
        </w:rPr>
        <w:t>Cash Compensation</w:t>
      </w:r>
      <w:r>
        <w:rPr>
          <w:rFonts w:ascii="Times New Roman;sans-serif" w:hAnsi="Times New Roman;sans-serif"/>
          <w:b w:val="false"/>
          <w:color w:val="000000"/>
          <w:sz w:val="22"/>
        </w:rPr>
        <w:t>. In this position, the Company will pay you an annual base salary of $500,000, subject to all applicable taxes and withholdings, payable in accordance with the Company’s standard payroll schedule. In addition, you will have an annual bonus target of 100% of your target salary, which will be prorated for your first year of employment with the Company and will be subject to certain corporate and individual performance criteria (as agreed by you and the Board). Your pay will be periodically reviewed as a part of the Company’s regular reviews of compensation.</w:t>
      </w:r>
    </w:p>
    <w:p>
      <w:pPr>
        <w:pStyle w:val="TextBody"/>
        <w:bidi w:val="0"/>
        <w:spacing w:lineRule="auto" w:line="288" w:before="0" w:after="240"/>
        <w:ind w:left="0" w:right="0" w:firstLine="360"/>
        <w:jc w:val="both"/>
        <w:rPr/>
      </w:pPr>
      <w:r>
        <w:rPr>
          <w:rFonts w:ascii="Times New Roman;sans-serif" w:hAnsi="Times New Roman;sans-serif"/>
          <w:b/>
          <w:color w:val="010000"/>
          <w:sz w:val="22"/>
        </w:rPr>
        <w:t>2.</w:t>
      </w:r>
      <w:r>
        <w:rPr>
          <w:rFonts w:ascii="Times New Roman;sans-serif" w:hAnsi="Times New Roman;sans-serif"/>
          <w:b/>
          <w:color w:val="000000"/>
          <w:sz w:val="22"/>
          <w:u w:val="single"/>
        </w:rPr>
        <w:t>Equity Awards</w:t>
      </w:r>
      <w:r>
        <w:rPr>
          <w:rFonts w:ascii="Times New Roman;sans-serif" w:hAnsi="Times New Roman;sans-serif"/>
          <w:b w:val="false"/>
          <w:color w:val="000000"/>
          <w:sz w:val="22"/>
        </w:rPr>
        <w:t>. In connection with your appointment, you will be granted the following equity awards following your commencement of employment:</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a.</w:t>
      </w:r>
      <w:r>
        <w:rPr>
          <w:rFonts w:ascii="Times New Roman;sans-serif" w:hAnsi="Times New Roman;sans-serif"/>
          <w:b/>
          <w:color w:val="000000"/>
          <w:sz w:val="22"/>
        </w:rPr>
        <w:t>RSU Award</w:t>
      </w:r>
      <w:r>
        <w:rPr>
          <w:rFonts w:ascii="Times New Roman;sans-serif" w:hAnsi="Times New Roman;sans-serif"/>
          <w:b w:val="false"/>
          <w:color w:val="000000"/>
          <w:sz w:val="22"/>
        </w:rPr>
        <w:t>. You will be granted an award of restricted stock units with an aggregate value of $10,000,000 (the “</w:t>
      </w:r>
      <w:r>
        <w:rPr>
          <w:rFonts w:ascii="Times New Roman;sans-serif" w:hAnsi="Times New Roman;sans-serif"/>
          <w:b/>
          <w:color w:val="000000"/>
          <w:sz w:val="22"/>
        </w:rPr>
        <w:t>RSU Award</w:t>
      </w:r>
      <w:r>
        <w:rPr>
          <w:color w:val="000000"/>
        </w:rPr>
        <w:t>”</w:t>
      </w:r>
      <w:r>
        <w:rPr>
          <w:rFonts w:ascii="Times New Roman;sans-serif" w:hAnsi="Times New Roman;sans-serif"/>
          <w:b w:val="false"/>
          <w:color w:val="000000"/>
          <w:sz w:val="22"/>
        </w:rPr>
        <w:t>) under the Company’s 2021 Equity Incentive Plan (the “</w:t>
      </w:r>
      <w:r>
        <w:rPr>
          <w:rFonts w:ascii="Times New Roman;sans-serif" w:hAnsi="Times New Roman;sans-serif"/>
          <w:b/>
          <w:color w:val="000000"/>
          <w:sz w:val="22"/>
        </w:rPr>
        <w:t>Plan</w:t>
      </w:r>
      <w:r>
        <w:rPr>
          <w:color w:val="000000"/>
        </w:rPr>
        <w:t>”</w:t>
      </w:r>
      <w:r>
        <w:rPr>
          <w:rFonts w:ascii="Times New Roman;sans-serif" w:hAnsi="Times New Roman;sans-serif"/>
          <w:b w:val="false"/>
          <w:color w:val="000000"/>
          <w:sz w:val="22"/>
        </w:rPr>
        <w:t>) and the Company’s standard form of RSU award agreement. The RSU Award will vest pursuant to the following schedule: (i) 1/16th of the RSU Award will vest on the first Quarterly Vesting Date (as defined below) that is on or after the first quarterly anniversary of your start date with the Company and (ii) an additional 1/16th of the RSU Award will vest on each Quarterly Vesting Date thereafter, in each case subject to your continued service with the Company, such that the entire RSU Award will be fully vested approximately 4 years after your start date with the Company. “</w:t>
      </w:r>
      <w:r>
        <w:rPr>
          <w:rFonts w:ascii="Times New Roman;sans-serif" w:hAnsi="Times New Roman;sans-serif"/>
          <w:b/>
          <w:color w:val="000000"/>
          <w:sz w:val="22"/>
        </w:rPr>
        <w:t>Quarterly Vesting Date</w:t>
      </w:r>
      <w:r>
        <w:rPr>
          <w:color w:val="000000"/>
        </w:rPr>
        <w:t xml:space="preserve">” </w:t>
      </w:r>
      <w:r>
        <w:rPr>
          <w:rFonts w:ascii="Times New Roman;sans-serif" w:hAnsi="Times New Roman;sans-serif"/>
          <w:b w:val="false"/>
          <w:color w:val="000000"/>
          <w:sz w:val="22"/>
        </w:rPr>
        <w:t>means each of January 15, April 15, July 15, and October 15 of any given calendar year.</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b.</w:t>
      </w:r>
      <w:r>
        <w:rPr>
          <w:rFonts w:ascii="Times New Roman;sans-serif" w:hAnsi="Times New Roman;sans-serif"/>
          <w:b/>
          <w:color w:val="000000"/>
          <w:sz w:val="22"/>
        </w:rPr>
        <w:t>PSU Award</w:t>
      </w:r>
      <w:r>
        <w:rPr>
          <w:rFonts w:ascii="Times New Roman;sans-serif" w:hAnsi="Times New Roman;sans-serif"/>
          <w:b w:val="false"/>
          <w:color w:val="000000"/>
          <w:sz w:val="22"/>
        </w:rPr>
        <w:t>. You will also be granted an award of performance stock units with an aggregate value of $10,000,000 (the “</w:t>
      </w:r>
      <w:r>
        <w:rPr>
          <w:rFonts w:ascii="Times New Roman;sans-serif" w:hAnsi="Times New Roman;sans-serif"/>
          <w:b/>
          <w:color w:val="000000"/>
          <w:sz w:val="22"/>
        </w:rPr>
        <w:t>PSU Award</w:t>
      </w:r>
      <w:r>
        <w:rPr>
          <w:color w:val="000000"/>
        </w:rPr>
        <w:t>”</w:t>
      </w:r>
      <w:r>
        <w:rPr>
          <w:rFonts w:ascii="Times New Roman;sans-serif" w:hAnsi="Times New Roman;sans-serif"/>
          <w:b w:val="false"/>
          <w:color w:val="000000"/>
          <w:sz w:val="22"/>
        </w:rPr>
        <w:t xml:space="preserve">) under the Plan and the Company’s standard form of PSU award agreement. The PSU Award will be subject to performance-based vesting pursuant to terms set forth on </w:t>
      </w:r>
      <w:r>
        <w:rPr>
          <w:rFonts w:ascii="Times New Roman;sans-serif" w:hAnsi="Times New Roman;sans-serif"/>
          <w:b/>
          <w:color w:val="000000"/>
          <w:sz w:val="22"/>
        </w:rPr>
        <w:t>Exhibit A</w:t>
      </w:r>
      <w:r>
        <w:rPr>
          <w:color w:val="000000"/>
        </w:rPr>
        <w:t xml:space="preserve"> </w:t>
      </w:r>
      <w:r>
        <w:rPr>
          <w:rFonts w:ascii="Times New Roman;sans-serif" w:hAnsi="Times New Roman;sans-serif"/>
          <w:b w:val="false"/>
          <w:color w:val="000000"/>
          <w:sz w:val="22"/>
        </w:rPr>
        <w:t xml:space="preserve">hereto. </w:t>
      </w:r>
    </w:p>
    <w:p>
      <w:pPr>
        <w:pStyle w:val="TextBody"/>
        <w:bidi w:val="0"/>
        <w:spacing w:lineRule="auto" w:line="288" w:before="0" w:after="240"/>
        <w:ind w:left="0" w:right="0" w:firstLine="720"/>
        <w:jc w:val="both"/>
        <w:rPr/>
      </w:pPr>
      <w:r>
        <w:rPr>
          <w:rFonts w:ascii="Times New Roman;sans-serif" w:hAnsi="Times New Roman;sans-serif"/>
          <w:b w:val="false"/>
          <w:color w:val="010000"/>
          <w:sz w:val="24"/>
        </w:rPr>
        <w:t>c.</w:t>
      </w:r>
      <w:r>
        <w:rPr>
          <w:rFonts w:ascii="Times New Roman;sans-serif" w:hAnsi="Times New Roman;sans-serif"/>
          <w:b/>
          <w:color w:val="000000"/>
          <w:sz w:val="22"/>
        </w:rPr>
        <w:t>Subsequent Awards</w:t>
      </w:r>
      <w:r>
        <w:rPr>
          <w:rFonts w:ascii="Times New Roman;sans-serif" w:hAnsi="Times New Roman;sans-serif"/>
          <w:b w:val="false"/>
          <w:color w:val="000000"/>
          <w:sz w:val="22"/>
        </w:rPr>
        <w:t>. You will be eligible to receive additional equity awards on or after the first anniversary of your employment with the Company (with any subsequent awards determined by the Board in its sole discretion based on your performance).</w:t>
      </w:r>
    </w:p>
    <w:p>
      <w:pPr>
        <w:pStyle w:val="TextBody"/>
        <w:bidi w:val="0"/>
        <w:spacing w:lineRule="auto" w:line="288" w:before="0" w:after="240"/>
        <w:ind w:left="0" w:right="0" w:firstLine="360"/>
        <w:jc w:val="both"/>
        <w:rPr/>
      </w:pPr>
      <w:r>
        <w:rPr>
          <w:rFonts w:ascii="Times New Roman;sans-serif" w:hAnsi="Times New Roman;sans-serif"/>
          <w:b/>
          <w:color w:val="010000"/>
          <w:sz w:val="22"/>
        </w:rPr>
        <w:t>3.</w:t>
      </w:r>
      <w:r>
        <w:rPr>
          <w:rFonts w:ascii="Times New Roman;sans-serif" w:hAnsi="Times New Roman;sans-serif"/>
          <w:b/>
          <w:color w:val="000000"/>
          <w:sz w:val="22"/>
          <w:u w:val="single"/>
        </w:rPr>
        <w:t>Employee Benefits</w:t>
      </w:r>
      <w:r>
        <w:rPr>
          <w:rFonts w:ascii="Times New Roman;sans-serif" w:hAnsi="Times New Roman;sans-serif"/>
          <w:b w:val="false"/>
          <w:color w:val="000000"/>
          <w:sz w:val="22"/>
        </w:rPr>
        <w:t xml:space="preserve">. You will be eligible to participate in a number of Company-sponsored benefits to the extent that you comply with the eligibility requirements of each such benefit plan. The Company, in its sole discretion, may amend, suspend or terminate its employee benefits at any time, with </w:t>
      </w:r>
    </w:p>
    <w:p>
      <w:pPr>
        <w:pStyle w:val="TextBody"/>
        <w:bidi w:val="0"/>
        <w:spacing w:lineRule="auto" w:line="288"/>
        <w:jc w:val="left"/>
        <w:rPr/>
      </w:pPr>
      <w:r>
        <w:rPr>
          <w:rFonts w:ascii="Times New Roman;sans-serif" w:hAnsi="Times New Roman;sans-serif"/>
          <w:b w:val="false"/>
          <w:color w:val="000000"/>
          <w:sz w:val="13"/>
        </w:rPr>
        <w:t>1</w:t>
      </w:r>
      <w:r>
        <w:rPr>
          <w:color w:val="000000"/>
        </w:rPr>
        <w:t xml:space="preserve"> </w:t>
      </w:r>
      <w:r>
        <w:rPr>
          <w:rFonts w:ascii="Times New Roman;sans-serif" w:hAnsi="Times New Roman;sans-serif"/>
          <w:b w:val="false"/>
          <w:color w:val="000000"/>
          <w:sz w:val="20"/>
        </w:rPr>
        <w:t>Any reference to the Company will be understood to include any parent of the Company that employs you, including Nextdoor Holdings, Inc.</w:t>
      </w:r>
    </w:p>
    <w:p>
      <w:pPr>
        <w:pStyle w:val="TextBody"/>
        <w:bidi w:val="0"/>
        <w:spacing w:before="0" w:after="240"/>
        <w:jc w:val="center"/>
        <w:rPr/>
      </w:pPr>
      <w:r>
        <w:rPr/>
      </w:r>
      <w:r>
        <mc:AlternateContent>
          <mc:Choice Requires="wps">
            <w:drawing>
              <wp:anchor behindDoc="0" distT="0" distB="0" distL="0" distR="0" simplePos="0" locked="0" layoutInCell="1" allowOverlap="1" relativeHeight="92">
                <wp:simplePos x="0" y="0"/>
                <wp:positionH relativeFrom="character">
                  <wp:align>left</wp:align>
                </wp:positionH>
                <wp:positionV relativeFrom="line">
                  <wp:posOffset>635</wp:posOffset>
                </wp:positionV>
                <wp:extent cx="6480175" cy="175260"/>
                <wp:effectExtent l="0" t="0" r="0" b="0"/>
                <wp:wrapNone/>
                <wp:docPr id="91" name="Frame8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pPr>
                            <w:r>
                              <w:rPr>
                                <w:color w:val="000000"/>
                              </w:rPr>
                              <w:t>        </w:t>
                            </w:r>
                            <w:r>
                              <w:rPr>
                                <w:rFonts w:ascii="Times New Roman;sans-serif" w:hAnsi="Times New Roman;sans-serif"/>
                                <w:b w:val="false"/>
                                <w:color w:val="000000"/>
                                <w:sz w:val="16"/>
                              </w:rPr>
                              <w:t>25328/00018/FW/11157148.2</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pPr>
                      <w:r>
                        <w:rPr>
                          <w:color w:val="000000"/>
                        </w:rPr>
                        <w:t>        </w:t>
                      </w:r>
                      <w:r>
                        <w:rPr>
                          <w:rFonts w:ascii="Times New Roman;sans-serif" w:hAnsi="Times New Roman;sans-serif"/>
                          <w:b w:val="false"/>
                          <w:color w:val="000000"/>
                          <w:sz w:val="16"/>
                        </w:rPr>
                        <w:t>25328/00018/FW/11157148.2</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or without notice. In addition, you will be entitled to paid vacation in accordance with the Company’s vacation policy, as in effect from time to time.</w:t>
      </w:r>
    </w:p>
    <w:p>
      <w:pPr>
        <w:pStyle w:val="TextBody"/>
        <w:bidi w:val="0"/>
        <w:spacing w:lineRule="auto" w:line="288" w:before="0" w:after="240"/>
        <w:ind w:left="0" w:right="0" w:firstLine="360"/>
        <w:jc w:val="both"/>
        <w:rPr/>
      </w:pPr>
      <w:r>
        <w:rPr>
          <w:rFonts w:ascii="Times New Roman;sans-serif" w:hAnsi="Times New Roman;sans-serif"/>
          <w:b/>
          <w:color w:val="010000"/>
          <w:sz w:val="22"/>
        </w:rPr>
        <w:t>4.</w:t>
      </w:r>
      <w:r>
        <w:rPr>
          <w:rFonts w:ascii="Times New Roman;sans-serif" w:hAnsi="Times New Roman;sans-serif"/>
          <w:b/>
          <w:color w:val="000000"/>
          <w:sz w:val="22"/>
          <w:u w:val="single"/>
        </w:rPr>
        <w:t>Termination Benefits</w:t>
      </w:r>
      <w:r>
        <w:rPr>
          <w:rFonts w:ascii="Times New Roman;sans-serif" w:hAnsi="Times New Roman;sans-serif"/>
          <w:b w:val="false"/>
          <w:color w:val="000000"/>
          <w:sz w:val="22"/>
        </w:rPr>
        <w:t>. In connection with your position, you will be eligible to receive certain change in control and severance payments and benefits pursuant to a Change in Control and Severance Agreement (the “</w:t>
      </w:r>
      <w:r>
        <w:rPr>
          <w:rFonts w:ascii="Times New Roman;sans-serif" w:hAnsi="Times New Roman;sans-serif"/>
          <w:b/>
          <w:color w:val="000000"/>
          <w:sz w:val="22"/>
        </w:rPr>
        <w:t>Severance Agreement</w:t>
      </w:r>
      <w:r>
        <w:rPr>
          <w:color w:val="000000"/>
        </w:rPr>
        <w:t>”</w:t>
      </w:r>
      <w:r>
        <w:rPr>
          <w:rFonts w:ascii="Times New Roman;sans-serif" w:hAnsi="Times New Roman;sans-serif"/>
          <w:b w:val="false"/>
          <w:color w:val="000000"/>
          <w:sz w:val="22"/>
        </w:rPr>
        <w:t xml:space="preserve">) to be entered into between you and the Company at substantially the same time as the date of this offer letter, pursuant to the form attached to this offer letter as </w:t>
      </w:r>
      <w:r>
        <w:rPr>
          <w:rFonts w:ascii="Times New Roman;sans-serif" w:hAnsi="Times New Roman;sans-serif"/>
          <w:b/>
          <w:color w:val="000000"/>
          <w:sz w:val="22"/>
        </w:rPr>
        <w:t>Exhibit B</w:t>
      </w:r>
      <w:r>
        <w:rPr>
          <w:rFonts w:ascii="Times New Roman;sans-serif" w:hAnsi="Times New Roman;sans-serif"/>
          <w:b w:val="false"/>
          <w:color w:val="000000"/>
          <w:sz w:val="22"/>
        </w:rPr>
        <w:t>.</w:t>
      </w:r>
    </w:p>
    <w:p>
      <w:pPr>
        <w:pStyle w:val="TextBody"/>
        <w:bidi w:val="0"/>
        <w:spacing w:lineRule="auto" w:line="288" w:before="0" w:after="240"/>
        <w:ind w:left="0" w:right="0" w:firstLine="360"/>
        <w:jc w:val="both"/>
        <w:rPr/>
      </w:pPr>
      <w:r>
        <w:rPr>
          <w:rFonts w:ascii="Times New Roman;sans-serif" w:hAnsi="Times New Roman;sans-serif"/>
          <w:b/>
          <w:color w:val="010000"/>
          <w:sz w:val="22"/>
        </w:rPr>
        <w:t>5.</w:t>
      </w:r>
      <w:r>
        <w:rPr>
          <w:rFonts w:ascii="Times New Roman;sans-serif" w:hAnsi="Times New Roman;sans-serif"/>
          <w:b/>
          <w:color w:val="000000"/>
          <w:sz w:val="22"/>
          <w:u w:val="single"/>
        </w:rPr>
        <w:t>Confidentiality Agreement</w:t>
      </w:r>
      <w:r>
        <w:rPr>
          <w:rFonts w:ascii="Times New Roman;sans-serif" w:hAnsi="Times New Roman;sans-serif"/>
          <w:b w:val="false"/>
          <w:color w:val="000000"/>
          <w:sz w:val="22"/>
        </w:rPr>
        <w:t xml:space="preserve">. As an employee of the Company, you will have access to certain confidential information of the Company and you may, during the course of your employment, develop certain information or inventions that will be the property of the Company. To protect the Company’s interests, as a condition of employment, you must sign the Employee Invention Assignment and Confidentiality Agreement attached hereto as </w:t>
      </w:r>
      <w:r>
        <w:rPr>
          <w:rFonts w:ascii="Times New Roman;sans-serif" w:hAnsi="Times New Roman;sans-serif"/>
          <w:b/>
          <w:color w:val="000000"/>
          <w:sz w:val="22"/>
        </w:rPr>
        <w:t>Exhibit C</w:t>
      </w:r>
      <w:r>
        <w:rPr>
          <w:rFonts w:ascii="Times New Roman;sans-serif" w:hAnsi="Times New Roman;sans-serif"/>
          <w:b w:val="false"/>
          <w:color w:val="000000"/>
          <w:sz w:val="22"/>
        </w:rPr>
        <w:t xml:space="preserve">. </w:t>
      </w:r>
    </w:p>
    <w:p>
      <w:pPr>
        <w:pStyle w:val="TextBody"/>
        <w:bidi w:val="0"/>
        <w:spacing w:lineRule="auto" w:line="288" w:before="0" w:after="240"/>
        <w:ind w:left="0" w:right="0" w:firstLine="360"/>
        <w:jc w:val="left"/>
        <w:rPr/>
      </w:pPr>
      <w:r>
        <w:rPr>
          <w:rFonts w:ascii="Times New Roman;sans-serif" w:hAnsi="Times New Roman;sans-serif"/>
          <w:b/>
          <w:color w:val="010000"/>
          <w:sz w:val="22"/>
        </w:rPr>
        <w:t>6.</w:t>
      </w:r>
      <w:r>
        <w:rPr>
          <w:rFonts w:ascii="Times New Roman;sans-serif" w:hAnsi="Times New Roman;sans-serif"/>
          <w:b/>
          <w:color w:val="000000"/>
          <w:sz w:val="22"/>
          <w:u w:val="single"/>
        </w:rPr>
        <w:t>Arbitration Agreement</w:t>
      </w:r>
      <w:r>
        <w:rPr>
          <w:rFonts w:ascii="Times New Roman;sans-serif" w:hAnsi="Times New Roman;sans-serif"/>
          <w:b w:val="false"/>
          <w:color w:val="000000"/>
          <w:sz w:val="22"/>
        </w:rPr>
        <w:t xml:space="preserve">. You and the Company agree that, to the fullest extent permitted under applicable law, any disputes arising with respect to your employment with the Company shall be resolved by final and binding arbitration in accordance with the arbitration procedures described in the Arbitration Agreement, which is attached hereto as </w:t>
      </w:r>
      <w:r>
        <w:rPr>
          <w:rFonts w:ascii="Times New Roman;sans-serif" w:hAnsi="Times New Roman;sans-serif"/>
          <w:b/>
          <w:color w:val="000000"/>
          <w:sz w:val="22"/>
        </w:rPr>
        <w:t>Exhibit D</w:t>
      </w:r>
      <w:r>
        <w:rPr>
          <w:rFonts w:ascii="Times New Roman;sans-serif" w:hAnsi="Times New Roman;sans-serif"/>
          <w:b w:val="false"/>
          <w:color w:val="000000"/>
          <w:sz w:val="22"/>
        </w:rPr>
        <w:t>, and which you are required to sign as a condition of employment.</w:t>
      </w:r>
    </w:p>
    <w:p>
      <w:pPr>
        <w:pStyle w:val="TextBody"/>
        <w:bidi w:val="0"/>
        <w:spacing w:lineRule="auto" w:line="288" w:before="0" w:after="240"/>
        <w:ind w:left="0" w:right="0" w:firstLine="360"/>
        <w:jc w:val="both"/>
        <w:rPr/>
      </w:pPr>
      <w:r>
        <w:rPr>
          <w:rFonts w:ascii="Times New Roman;sans-serif" w:hAnsi="Times New Roman;sans-serif"/>
          <w:b/>
          <w:color w:val="010000"/>
          <w:sz w:val="22"/>
        </w:rPr>
        <w:t>7.</w:t>
      </w:r>
      <w:r>
        <w:rPr>
          <w:rFonts w:ascii="Times New Roman;sans-serif" w:hAnsi="Times New Roman;sans-serif"/>
          <w:b/>
          <w:color w:val="000000"/>
          <w:sz w:val="22"/>
          <w:u w:val="single"/>
        </w:rPr>
        <w:t>No Conflicting Obligations</w:t>
      </w:r>
      <w:r>
        <w:rPr>
          <w:rFonts w:ascii="Times New Roman;sans-serif" w:hAnsi="Times New Roman;sans-serif"/>
          <w:b w:val="false"/>
          <w:color w:val="000000"/>
          <w:sz w:val="22"/>
        </w:rPr>
        <w:t xml:space="preserve">. You understand and agree that by signing this letter agreement, you represent to the Company that your performance will not breach any other agreement to which you are a party and that you have not, and will not during the term of your employment with the Company, enter into any oral or written agreement in conflict with any of the provisions of this letter or the Company’s policies. You are not to bring with you to the Company or use or disclose to any person associated with the Company, any confidential or proprietary information belonging to any former employer or other person or entity with respect to which you owe an obligation of confidentiality under any agreement or otherwise. The Company does not need and will not use such information and we will assist you in any way possible to preserve and protect the confidentiality of proprietary information belonging to third parties. Also, we expect you to abide by any obligations to refrain from soliciting any person employed by or otherwise associated with any former employer and suggest that you refrain from having any contact with such persons until such time as any non-solicitation obligation expires. </w:t>
      </w:r>
    </w:p>
    <w:p>
      <w:pPr>
        <w:pStyle w:val="TextBody"/>
        <w:bidi w:val="0"/>
        <w:spacing w:lineRule="auto" w:line="288" w:before="0" w:after="240"/>
        <w:ind w:left="0" w:right="0" w:firstLine="360"/>
        <w:jc w:val="both"/>
        <w:rPr/>
      </w:pPr>
      <w:r>
        <w:rPr>
          <w:rFonts w:ascii="Times New Roman;sans-serif" w:hAnsi="Times New Roman;sans-serif"/>
          <w:b/>
          <w:color w:val="010000"/>
          <w:sz w:val="22"/>
        </w:rPr>
        <w:t>8.</w:t>
      </w:r>
      <w:r>
        <w:rPr>
          <w:rFonts w:ascii="Times New Roman;sans-serif" w:hAnsi="Times New Roman;sans-serif"/>
          <w:b/>
          <w:color w:val="000000"/>
          <w:sz w:val="22"/>
          <w:u w:val="single"/>
        </w:rPr>
        <w:t>Outside Activities</w:t>
      </w:r>
      <w:r>
        <w:rPr>
          <w:rFonts w:ascii="Times New Roman;sans-serif" w:hAnsi="Times New Roman;sans-serif"/>
          <w:b w:val="false"/>
          <w:color w:val="000000"/>
          <w:sz w:val="22"/>
        </w:rPr>
        <w:t xml:space="preserve">. While you render services to the Company, you agree that you will not engage in any other employment, consulting or other business activity without the written consent of the Company. In addition, while you render services to the Company, you will not assist any person or entity in competing with the Company, in preparing to compete with the Company or in hiring any employees or consultants of the Company. </w:t>
      </w:r>
    </w:p>
    <w:p>
      <w:pPr>
        <w:pStyle w:val="TextBody"/>
        <w:bidi w:val="0"/>
        <w:spacing w:lineRule="auto" w:line="288" w:before="0" w:after="240"/>
        <w:ind w:left="0" w:right="0" w:firstLine="360"/>
        <w:jc w:val="both"/>
        <w:rPr/>
      </w:pPr>
      <w:r>
        <w:rPr>
          <w:rFonts w:ascii="Times New Roman;sans-serif" w:hAnsi="Times New Roman;sans-serif"/>
          <w:b/>
          <w:color w:val="010000"/>
          <w:sz w:val="22"/>
        </w:rPr>
        <w:t>9.</w:t>
      </w:r>
      <w:r>
        <w:rPr>
          <w:rFonts w:ascii="Times New Roman;sans-serif" w:hAnsi="Times New Roman;sans-serif"/>
          <w:b/>
          <w:color w:val="000000"/>
          <w:sz w:val="22"/>
          <w:u w:val="single"/>
        </w:rPr>
        <w:t>Equal Employment Opportunity</w:t>
      </w:r>
      <w:r>
        <w:rPr>
          <w:rFonts w:ascii="Times New Roman;sans-serif" w:hAnsi="Times New Roman;sans-serif"/>
          <w:b w:val="false"/>
          <w:color w:val="000000"/>
          <w:sz w:val="22"/>
        </w:rPr>
        <w:t>. The Company is an equal opportunity employer and conducts its employment practices based on business needs and in a manner that treats employees and applicants on the basis of merit and experience. The Company prohibits unlawful discrimination on the basis of race, color, religion, sex, pregnancy, national origin, citizenship, ancestry, age, physical or mental disability, veteran status, marital status, domestic partner status, sexual orientation, or any other consideration made unlawful by federal, state or local laws.</w:t>
      </w:r>
      <w:r>
        <w:rPr>
          <w:color w:val="000000"/>
          <w:u w:val="single"/>
        </w:rPr>
        <w:t xml:space="preserve"> </w:t>
      </w:r>
    </w:p>
    <w:p>
      <w:pPr>
        <w:pStyle w:val="TextBody"/>
        <w:bidi w:val="0"/>
        <w:spacing w:lineRule="auto" w:line="288" w:before="0" w:after="240"/>
        <w:ind w:left="0" w:right="0" w:firstLine="360"/>
        <w:jc w:val="both"/>
        <w:rPr/>
      </w:pPr>
      <w:r>
        <w:rPr>
          <w:rFonts w:ascii="Times New Roman;sans-serif" w:hAnsi="Times New Roman;sans-serif"/>
          <w:b/>
          <w:color w:val="010000"/>
          <w:sz w:val="22"/>
        </w:rPr>
        <w:t>10.</w:t>
      </w:r>
      <w:r>
        <w:rPr>
          <w:rFonts w:ascii="Times New Roman;sans-serif" w:hAnsi="Times New Roman;sans-serif"/>
          <w:b/>
          <w:color w:val="000000"/>
          <w:sz w:val="22"/>
          <w:u w:val="single"/>
        </w:rPr>
        <w:t>General Obligations</w:t>
      </w:r>
      <w:r>
        <w:rPr>
          <w:rFonts w:ascii="Times New Roman;sans-serif" w:hAnsi="Times New Roman;sans-serif"/>
          <w:b w:val="false"/>
          <w:color w:val="000000"/>
          <w:sz w:val="22"/>
        </w:rPr>
        <w:t xml:space="preserve">. As an employee, you will be expected to adhere to the Company’s standards of professionalism, loyalty, integrity, honesty, reliability and respect for all. You will also be </w:t>
      </w:r>
    </w:p>
    <w:p>
      <w:pPr>
        <w:pStyle w:val="TextBody"/>
        <w:bidi w:val="0"/>
        <w:spacing w:before="0" w:after="240"/>
        <w:jc w:val="center"/>
        <w:rPr/>
      </w:pPr>
      <w:r>
        <w:rPr/>
      </w:r>
      <w:r>
        <mc:AlternateContent>
          <mc:Choice Requires="wps">
            <w:drawing>
              <wp:anchor behindDoc="0" distT="0" distB="0" distL="0" distR="0" simplePos="0" locked="0" layoutInCell="1" allowOverlap="1" relativeHeight="93">
                <wp:simplePos x="0" y="0"/>
                <wp:positionH relativeFrom="character">
                  <wp:align>left</wp:align>
                </wp:positionH>
                <wp:positionV relativeFrom="line">
                  <wp:posOffset>635</wp:posOffset>
                </wp:positionV>
                <wp:extent cx="6480175" cy="175260"/>
                <wp:effectExtent l="0" t="0" r="0" b="0"/>
                <wp:wrapNone/>
                <wp:docPr id="92" name="Frame8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expected to comply with the Company’s policies and procedures. The Company is an equal opportunity employer. </w:t>
      </w:r>
    </w:p>
    <w:p>
      <w:pPr>
        <w:pStyle w:val="TextBody"/>
        <w:bidi w:val="0"/>
        <w:spacing w:lineRule="auto" w:line="288" w:before="0" w:after="240"/>
        <w:ind w:left="0" w:right="0" w:firstLine="360"/>
        <w:jc w:val="both"/>
        <w:rPr/>
      </w:pPr>
      <w:r>
        <w:rPr>
          <w:rFonts w:ascii="Times New Roman;sans-serif" w:hAnsi="Times New Roman;sans-serif"/>
          <w:b/>
          <w:color w:val="010000"/>
          <w:sz w:val="22"/>
        </w:rPr>
        <w:t>11.</w:t>
      </w:r>
      <w:r>
        <w:rPr>
          <w:rFonts w:ascii="Times New Roman;sans-serif" w:hAnsi="Times New Roman;sans-serif"/>
          <w:b/>
          <w:color w:val="000000"/>
          <w:sz w:val="22"/>
          <w:u w:val="single"/>
        </w:rPr>
        <w:t>At-Will Employment</w:t>
      </w:r>
      <w:r>
        <w:rPr>
          <w:rFonts w:ascii="Times New Roman;sans-serif" w:hAnsi="Times New Roman;sans-serif"/>
          <w:b w:val="false"/>
          <w:color w:val="000000"/>
          <w:sz w:val="22"/>
        </w:rPr>
        <w:t xml:space="preserve">. Your employment with the Company will be for no specific period of time. Your employment with the Company will be on an “at will” basis, meaning that either you or the Company may terminate your employment at any time for any reason or no reason. The Company also reserves the right to modify or amend the terms of your employment at any time for any reason. Any contrary representations which may have been made to you are superseded by this letter agreement. This is the full and complete agreement between you and the Company on this term. Although your job duties, title, compensation and benefits, as well as the Company’s personnel policies and procedures, may change from time to time, the “at will” nature of your employment may only be changed in an express written agreement signed by you and the Company’s Board of Directors. </w:t>
      </w:r>
    </w:p>
    <w:p>
      <w:pPr>
        <w:pStyle w:val="TextBody"/>
        <w:bidi w:val="0"/>
        <w:spacing w:lineRule="auto" w:line="288" w:before="0" w:after="240"/>
        <w:ind w:left="0" w:right="0" w:firstLine="360"/>
        <w:jc w:val="both"/>
        <w:rPr/>
      </w:pPr>
      <w:r>
        <w:rPr>
          <w:rFonts w:ascii="Times New Roman;sans-serif" w:hAnsi="Times New Roman;sans-serif"/>
          <w:b/>
          <w:color w:val="010000"/>
          <w:sz w:val="22"/>
        </w:rPr>
        <w:t>12.</w:t>
      </w:r>
      <w:r>
        <w:rPr>
          <w:rFonts w:ascii="Times New Roman;sans-serif" w:hAnsi="Times New Roman;sans-serif"/>
          <w:b/>
          <w:color w:val="000000"/>
          <w:sz w:val="22"/>
          <w:u w:val="single"/>
        </w:rPr>
        <w:t>Withholdings</w:t>
      </w:r>
      <w:r>
        <w:rPr>
          <w:rFonts w:ascii="Times New Roman;sans-serif" w:hAnsi="Times New Roman;sans-serif"/>
          <w:b w:val="false"/>
          <w:color w:val="000000"/>
          <w:sz w:val="22"/>
        </w:rPr>
        <w:t xml:space="preserve">. All forms of compensation paid to you as an employee of the Company shall be less all applicable withholdings. </w:t>
      </w:r>
    </w:p>
    <w:p>
      <w:pPr>
        <w:pStyle w:val="TextBody"/>
        <w:bidi w:val="0"/>
        <w:spacing w:lineRule="auto" w:line="288" w:before="0" w:after="240"/>
        <w:jc w:val="center"/>
        <w:rPr>
          <w:rFonts w:ascii="Times New Roman;sans-serif" w:hAnsi="Times New Roman;sans-serif"/>
          <w:b w:val="false"/>
          <w:color w:val="000000"/>
          <w:sz w:val="22"/>
        </w:rPr>
      </w:pPr>
      <w:r>
        <w:rPr>
          <w:rFonts w:ascii="Times New Roman;sans-serif" w:hAnsi="Times New Roman;sans-serif"/>
          <w:b w:val="false"/>
          <w:color w:val="000000"/>
          <w:sz w:val="22"/>
        </w:rPr>
        <w:t>[Signature Page Follows]</w:t>
      </w:r>
    </w:p>
    <w:p>
      <w:pPr>
        <w:pStyle w:val="TextBody"/>
        <w:bidi w:val="0"/>
        <w:jc w:val="both"/>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94">
                <wp:simplePos x="0" y="0"/>
                <wp:positionH relativeFrom="character">
                  <wp:align>left</wp:align>
                </wp:positionH>
                <wp:positionV relativeFrom="line">
                  <wp:posOffset>635</wp:posOffset>
                </wp:positionV>
                <wp:extent cx="6480175" cy="175260"/>
                <wp:effectExtent l="0" t="0" r="0" b="0"/>
                <wp:wrapNone/>
                <wp:docPr id="93" name="Frame8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ind w:left="0" w:right="0" w:firstLine="36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This letter agreement supersedes and replaces any prior understandings or agreements, whether oral, written or implied, between you and the Company regarding the matters described in this letter (other than the Severance Agreement). This letter will be governed by the laws of California, without regard to its conflict of laws provisions.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 xml:space="preserve">Very truly yours, </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 xml:space="preserve">NEXTDOOR, INC. </w:t>
      </w:r>
    </w:p>
    <w:p>
      <w:pPr>
        <w:pStyle w:val="TextBody"/>
        <w:bidi w:val="0"/>
        <w:spacing w:lineRule="auto" w:line="288" w:before="0" w:after="0"/>
        <w:jc w:val="both"/>
        <w:rPr/>
      </w:pPr>
      <w:r>
        <w:rPr>
          <w:rFonts w:ascii="Times New Roman;sans-serif" w:hAnsi="Times New Roman;sans-serif"/>
          <w:b w:val="false"/>
          <w:color w:val="000000"/>
          <w:sz w:val="22"/>
          <w:u w:val="single"/>
        </w:rPr>
        <w:t>/s/ Jason Pressman    </w:t>
        <w:br/>
      </w:r>
      <w:r>
        <w:rPr>
          <w:rFonts w:ascii="Times New Roman;sans-serif" w:hAnsi="Times New Roman;sans-serif"/>
          <w:b w:val="false"/>
          <w:color w:val="000000"/>
          <w:sz w:val="22"/>
        </w:rPr>
        <w:t>By: Jason Pressman</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Board Member</w:t>
      </w:r>
    </w:p>
    <w:p>
      <w:pPr>
        <w:pStyle w:val="TextBody"/>
        <w:bidi w:val="0"/>
        <w:spacing w:lineRule="auto" w:line="288" w:before="0" w:after="240"/>
        <w:jc w:val="both"/>
        <w:rPr>
          <w:rFonts w:ascii="Times New Roman;sans-serif" w:hAnsi="Times New Roman;sans-serif"/>
          <w:b/>
          <w:color w:val="000000"/>
          <w:sz w:val="22"/>
        </w:rPr>
      </w:pPr>
      <w:r>
        <w:rPr>
          <w:rFonts w:ascii="Times New Roman;sans-serif" w:hAnsi="Times New Roman;sans-serif"/>
          <w:b/>
          <w:color w:val="000000"/>
          <w:sz w:val="22"/>
        </w:rPr>
        <w:t xml:space="preserve">ACCEPTED AND AGREED: </w:t>
      </w:r>
    </w:p>
    <w:p>
      <w:pPr>
        <w:pStyle w:val="TextBody"/>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Nirav Tolia</w:t>
      </w:r>
    </w:p>
    <w:p>
      <w:pPr>
        <w:pStyle w:val="TextBody"/>
        <w:bidi w:val="0"/>
        <w:spacing w:lineRule="auto" w:line="288" w:before="0" w:after="240"/>
        <w:jc w:val="both"/>
        <w:rPr/>
      </w:pPr>
      <w:r>
        <w:rPr>
          <w:rFonts w:ascii="Times New Roman;sans-serif" w:hAnsi="Times New Roman;sans-serif"/>
          <w:b w:val="false"/>
          <w:color w:val="000000"/>
          <w:sz w:val="22"/>
          <w:u w:val="single"/>
        </w:rPr>
        <w:t>/s/ Nirav Tolia    </w:t>
      </w:r>
      <w:r>
        <w:rPr>
          <w:rFonts w:ascii="Times New Roman;sans-serif" w:hAnsi="Times New Roman;sans-serif"/>
          <w:b w:val="false"/>
          <w:color w:val="000000"/>
          <w:sz w:val="22"/>
        </w:rPr>
        <w:br/>
        <w:t xml:space="preserve">Signature </w:t>
      </w:r>
    </w:p>
    <w:p>
      <w:pPr>
        <w:pStyle w:val="TextBody"/>
        <w:bidi w:val="0"/>
        <w:spacing w:lineRule="auto" w:line="288" w:before="0" w:after="240"/>
        <w:jc w:val="both"/>
        <w:rPr/>
      </w:pPr>
      <w:r>
        <w:rPr>
          <w:rFonts w:ascii="Times New Roman;sans-serif" w:hAnsi="Times New Roman;sans-serif"/>
          <w:b w:val="false"/>
          <w:color w:val="000000"/>
          <w:sz w:val="22"/>
          <w:u w:val="single"/>
        </w:rPr>
        <w:t>2/26/2024    </w:t>
      </w:r>
      <w:r>
        <w:rPr>
          <w:rFonts w:ascii="Times New Roman;sans-serif" w:hAnsi="Times New Roman;sans-serif"/>
          <w:b w:val="false"/>
          <w:color w:val="000000"/>
          <w:sz w:val="22"/>
        </w:rPr>
        <w:br/>
        <w:t>Date</w:t>
      </w:r>
    </w:p>
    <w:p>
      <w:pPr>
        <w:pStyle w:val="TextBody"/>
        <w:bidi w:val="0"/>
        <w:spacing w:before="0" w:after="240"/>
        <w:jc w:val="center"/>
        <w:rPr/>
      </w:pPr>
      <w:r>
        <w:rPr/>
      </w:r>
    </w:p>
    <w:p>
      <w:pPr>
        <w:pStyle w:val="TextBody"/>
        <w:bidi w:val="0"/>
        <w:spacing w:lineRule="auto" w:line="288" w:before="0" w:after="240"/>
        <w:jc w:val="center"/>
        <w:rPr>
          <w:rFonts w:ascii="Times New Roman;sans-serif" w:hAnsi="Times New Roman;sans-serif"/>
          <w:b w:val="false"/>
          <w:color w:val="000000"/>
          <w:sz w:val="20"/>
        </w:rPr>
      </w:pPr>
      <w:r>
        <w:rPr>
          <w:rFonts w:ascii="Times New Roman;sans-serif" w:hAnsi="Times New Roman;sans-serif"/>
          <w:b w:val="false"/>
          <w:color w:val="000000"/>
          <w:sz w:val="20"/>
        </w:rPr>
        <w:t>[Signature Page to Offer Letter]</w:t>
      </w:r>
    </w:p>
    <w:p>
      <w:pPr>
        <w:pStyle w:val="TextBody"/>
        <w:bidi w:val="0"/>
        <w:spacing w:before="0" w:after="24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95">
                <wp:simplePos x="0" y="0"/>
                <wp:positionH relativeFrom="character">
                  <wp:align>left</wp:align>
                </wp:positionH>
                <wp:positionV relativeFrom="line">
                  <wp:posOffset>635</wp:posOffset>
                </wp:positionV>
                <wp:extent cx="6480175" cy="175260"/>
                <wp:effectExtent l="0" t="0" r="0" b="0"/>
                <wp:wrapNone/>
                <wp:docPr id="94" name="Frame8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A</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PSU Award Vesting Terms</w:t>
      </w:r>
    </w:p>
    <w:tbl>
      <w:tblPr>
        <w:tblW w:w="10205" w:type="dxa"/>
        <w:jc w:val="left"/>
        <w:tblInd w:w="0" w:type="dxa"/>
        <w:tblLayout w:type="fixed"/>
        <w:tblCellMar>
          <w:top w:w="28" w:type="dxa"/>
          <w:left w:w="28" w:type="dxa"/>
          <w:bottom w:w="28" w:type="dxa"/>
          <w:right w:w="28" w:type="dxa"/>
        </w:tblCellMar>
      </w:tblPr>
      <w:tblGrid>
        <w:gridCol w:w="378"/>
        <w:gridCol w:w="333"/>
        <w:gridCol w:w="335"/>
        <w:gridCol w:w="2683"/>
        <w:gridCol w:w="2683"/>
        <w:gridCol w:w="3793"/>
      </w:tblGrid>
      <w:tr>
        <w:trPr/>
        <w:tc>
          <w:tcPr>
            <w:tcW w:w="378" w:type="dxa"/>
            <w:tcBorders/>
            <w:vAlign w:val="center"/>
          </w:tcPr>
          <w:p>
            <w:pPr>
              <w:pStyle w:val="TableContents"/>
              <w:bidi w:val="0"/>
              <w:spacing w:before="0" w:after="283"/>
              <w:jc w:val="left"/>
              <w:rPr>
                <w:sz w:val="4"/>
                <w:szCs w:val="4"/>
              </w:rPr>
            </w:pPr>
            <w:r>
              <w:rPr>
                <w:sz w:val="4"/>
                <w:szCs w:val="4"/>
              </w:rPr>
            </w:r>
          </w:p>
        </w:tc>
        <w:tc>
          <w:tcPr>
            <w:tcW w:w="333" w:type="dxa"/>
            <w:tcBorders/>
            <w:vAlign w:val="center"/>
          </w:tcPr>
          <w:p>
            <w:pPr>
              <w:pStyle w:val="TableContents"/>
              <w:bidi w:val="0"/>
              <w:spacing w:before="0" w:after="283"/>
              <w:jc w:val="left"/>
              <w:rPr>
                <w:sz w:val="4"/>
                <w:szCs w:val="4"/>
              </w:rPr>
            </w:pPr>
            <w:r>
              <w:rPr>
                <w:sz w:val="4"/>
                <w:szCs w:val="4"/>
              </w:rPr>
            </w:r>
          </w:p>
        </w:tc>
        <w:tc>
          <w:tcPr>
            <w:tcW w:w="335"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2683" w:type="dxa"/>
            <w:tcBorders/>
            <w:vAlign w:val="center"/>
          </w:tcPr>
          <w:p>
            <w:pPr>
              <w:pStyle w:val="TableContents"/>
              <w:bidi w:val="0"/>
              <w:spacing w:before="0" w:after="283"/>
              <w:jc w:val="left"/>
              <w:rPr>
                <w:sz w:val="4"/>
                <w:szCs w:val="4"/>
              </w:rPr>
            </w:pPr>
            <w:r>
              <w:rPr>
                <w:sz w:val="4"/>
                <w:szCs w:val="4"/>
              </w:rPr>
            </w:r>
          </w:p>
        </w:tc>
        <w:tc>
          <w:tcPr>
            <w:tcW w:w="3793" w:type="dxa"/>
            <w:tcBorders/>
            <w:vAlign w:val="center"/>
          </w:tcPr>
          <w:p>
            <w:pPr>
              <w:pStyle w:val="TableContents"/>
              <w:bidi w:val="0"/>
              <w:spacing w:before="0" w:after="283"/>
              <w:jc w:val="left"/>
              <w:rPr>
                <w:sz w:val="4"/>
                <w:szCs w:val="4"/>
              </w:rPr>
            </w:pPr>
            <w:r>
              <w:rPr>
                <w:sz w:val="4"/>
                <w:szCs w:val="4"/>
              </w:rPr>
            </w:r>
          </w:p>
        </w:tc>
      </w:tr>
      <w:tr>
        <w:trPr/>
        <w:tc>
          <w:tcPr>
            <w:tcW w:w="10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Tranche 1</w:t>
            </w:r>
          </w:p>
        </w:tc>
        <w:tc>
          <w:tcPr>
            <w:tcW w:w="91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pPr>
            <w:r>
              <w:rPr>
                <w:rFonts w:ascii="Times New Roman;sans-serif" w:hAnsi="Times New Roman;sans-serif"/>
                <w:b/>
                <w:i/>
                <w:color w:val="000000"/>
                <w:sz w:val="22"/>
              </w:rPr>
              <w:t>Size</w:t>
            </w:r>
            <w:r>
              <w:rPr>
                <w:rFonts w:ascii="Times New Roman;sans-serif" w:hAnsi="Times New Roman;sans-serif"/>
                <w:b w:val="false"/>
                <w:color w:val="000000"/>
                <w:sz w:val="22"/>
              </w:rPr>
              <w:t>: 25% of PSU</w:t>
            </w:r>
          </w:p>
          <w:p>
            <w:pPr>
              <w:pStyle w:val="TableContents"/>
              <w:bidi w:val="0"/>
              <w:spacing w:lineRule="auto" w:line="288" w:before="0" w:after="240"/>
              <w:jc w:val="both"/>
              <w:rPr/>
            </w:pPr>
            <w:r>
              <w:rPr>
                <w:rFonts w:ascii="Times New Roman;sans-serif" w:hAnsi="Times New Roman;sans-serif"/>
                <w:b/>
                <w:i/>
                <w:color w:val="000000"/>
                <w:sz w:val="22"/>
              </w:rPr>
              <w:t>Earliest Vest Date</w:t>
            </w:r>
            <w:r>
              <w:rPr>
                <w:rFonts w:ascii="Times New Roman;sans-serif" w:hAnsi="Times New Roman;sans-serif"/>
                <w:b w:val="false"/>
                <w:color w:val="000000"/>
                <w:sz w:val="22"/>
              </w:rPr>
              <w:t>: 1-year anniversary of employment start date</w:t>
            </w:r>
          </w:p>
          <w:p>
            <w:pPr>
              <w:pStyle w:val="TableContents"/>
              <w:bidi w:val="0"/>
              <w:spacing w:lineRule="auto" w:line="288" w:before="0" w:after="240"/>
              <w:jc w:val="both"/>
              <w:rPr/>
            </w:pPr>
            <w:r>
              <w:rPr>
                <w:rFonts w:ascii="Times New Roman;sans-serif" w:hAnsi="Times New Roman;sans-serif"/>
                <w:b/>
                <w:i/>
                <w:color w:val="000000"/>
                <w:sz w:val="22"/>
              </w:rPr>
              <w:t>Price Target</w:t>
            </w:r>
            <w:r>
              <w:rPr>
                <w:rFonts w:ascii="Times New Roman;sans-serif" w:hAnsi="Times New Roman;sans-serif"/>
                <w:b w:val="false"/>
                <w:color w:val="000000"/>
                <w:sz w:val="22"/>
              </w:rPr>
              <w:t>: 30% increase in closing selling price per share of Company Class A common stock over closing price per share on employment start date</w:t>
            </w:r>
          </w:p>
          <w:p>
            <w:pPr>
              <w:pStyle w:val="TableContents"/>
              <w:bidi w:val="0"/>
              <w:spacing w:lineRule="auto" w:line="288" w:before="0" w:after="240"/>
              <w:jc w:val="both"/>
              <w:rPr/>
            </w:pPr>
            <w:r>
              <w:rPr>
                <w:rFonts w:ascii="Times New Roman;sans-serif" w:hAnsi="Times New Roman;sans-serif"/>
                <w:b/>
                <w:i/>
                <w:color w:val="000000"/>
                <w:sz w:val="22"/>
              </w:rPr>
              <w:t>Performance Period</w:t>
            </w:r>
            <w:r>
              <w:rPr>
                <w:rFonts w:ascii="Times New Roman;sans-serif" w:hAnsi="Times New Roman;sans-serif"/>
                <w:b w:val="false"/>
                <w:color w:val="000000"/>
                <w:sz w:val="22"/>
              </w:rPr>
              <w:t xml:space="preserve">: From 1-year anniversary of employment start date through 5-year anniversary of employment start date </w:t>
            </w:r>
          </w:p>
        </w:tc>
      </w:tr>
      <w:tr>
        <w:trPr/>
        <w:tc>
          <w:tcPr>
            <w:tcW w:w="10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Tranche 2</w:t>
            </w:r>
          </w:p>
        </w:tc>
        <w:tc>
          <w:tcPr>
            <w:tcW w:w="91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pPr>
            <w:r>
              <w:rPr>
                <w:rFonts w:ascii="Times New Roman;sans-serif" w:hAnsi="Times New Roman;sans-serif"/>
                <w:b/>
                <w:i/>
                <w:color w:val="000000"/>
                <w:sz w:val="22"/>
              </w:rPr>
              <w:t>Size</w:t>
            </w:r>
            <w:r>
              <w:rPr>
                <w:rFonts w:ascii="Times New Roman;sans-serif" w:hAnsi="Times New Roman;sans-serif"/>
                <w:b w:val="false"/>
                <w:color w:val="000000"/>
                <w:sz w:val="22"/>
              </w:rPr>
              <w:t>: 25% of PSU</w:t>
            </w:r>
          </w:p>
          <w:p>
            <w:pPr>
              <w:pStyle w:val="TableContents"/>
              <w:bidi w:val="0"/>
              <w:spacing w:lineRule="auto" w:line="288" w:before="0" w:after="240"/>
              <w:jc w:val="both"/>
              <w:rPr/>
            </w:pPr>
            <w:r>
              <w:rPr>
                <w:rFonts w:ascii="Times New Roman;sans-serif" w:hAnsi="Times New Roman;sans-serif"/>
                <w:b/>
                <w:i/>
                <w:color w:val="000000"/>
                <w:sz w:val="22"/>
              </w:rPr>
              <w:t>Earliest Vest Date</w:t>
            </w:r>
            <w:r>
              <w:rPr>
                <w:rFonts w:ascii="Times New Roman;sans-serif" w:hAnsi="Times New Roman;sans-serif"/>
                <w:b w:val="false"/>
                <w:color w:val="000000"/>
                <w:sz w:val="22"/>
              </w:rPr>
              <w:t>: 2-year anniversary of employment start date</w:t>
            </w:r>
          </w:p>
          <w:p>
            <w:pPr>
              <w:pStyle w:val="TableContents"/>
              <w:bidi w:val="0"/>
              <w:spacing w:lineRule="auto" w:line="288" w:before="0" w:after="240"/>
              <w:jc w:val="both"/>
              <w:rPr/>
            </w:pPr>
            <w:r>
              <w:rPr>
                <w:rFonts w:ascii="Times New Roman;sans-serif" w:hAnsi="Times New Roman;sans-serif"/>
                <w:b/>
                <w:i/>
                <w:color w:val="000000"/>
                <w:sz w:val="22"/>
              </w:rPr>
              <w:t>Price Target</w:t>
            </w:r>
            <w:r>
              <w:rPr>
                <w:rFonts w:ascii="Times New Roman;sans-serif" w:hAnsi="Times New Roman;sans-serif"/>
                <w:b w:val="false"/>
                <w:color w:val="000000"/>
                <w:sz w:val="22"/>
              </w:rPr>
              <w:t>: 50% increase in closing selling price per share of Company Class A common stock over closing selling price per share on employment start date</w:t>
            </w:r>
          </w:p>
          <w:p>
            <w:pPr>
              <w:pStyle w:val="TableContents"/>
              <w:bidi w:val="0"/>
              <w:spacing w:lineRule="auto" w:line="288" w:before="0" w:after="240"/>
              <w:jc w:val="both"/>
              <w:rPr/>
            </w:pPr>
            <w:r>
              <w:rPr>
                <w:rFonts w:ascii="Times New Roman;sans-serif" w:hAnsi="Times New Roman;sans-serif"/>
                <w:b/>
                <w:i/>
                <w:color w:val="000000"/>
                <w:sz w:val="22"/>
              </w:rPr>
              <w:t>Performance Period</w:t>
            </w:r>
            <w:r>
              <w:rPr>
                <w:rFonts w:ascii="Times New Roman;sans-serif" w:hAnsi="Times New Roman;sans-serif"/>
                <w:b w:val="false"/>
                <w:color w:val="000000"/>
                <w:sz w:val="22"/>
              </w:rPr>
              <w:t>: From 2-year anniversary of employment start date through 5-year anniversary of employment start date</w:t>
            </w:r>
          </w:p>
        </w:tc>
      </w:tr>
      <w:tr>
        <w:trPr/>
        <w:tc>
          <w:tcPr>
            <w:tcW w:w="1046"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Tranche 3</w:t>
            </w:r>
          </w:p>
        </w:tc>
        <w:tc>
          <w:tcPr>
            <w:tcW w:w="9159"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pPr>
            <w:r>
              <w:rPr>
                <w:rFonts w:ascii="Times New Roman;sans-serif" w:hAnsi="Times New Roman;sans-serif"/>
                <w:b/>
                <w:i/>
                <w:color w:val="000000"/>
                <w:sz w:val="22"/>
              </w:rPr>
              <w:t>Size</w:t>
            </w:r>
            <w:r>
              <w:rPr>
                <w:rFonts w:ascii="Times New Roman;sans-serif" w:hAnsi="Times New Roman;sans-serif"/>
                <w:b w:val="false"/>
                <w:color w:val="000000"/>
                <w:sz w:val="22"/>
              </w:rPr>
              <w:t>: 25% of PSU</w:t>
            </w:r>
          </w:p>
          <w:p>
            <w:pPr>
              <w:pStyle w:val="TableContents"/>
              <w:bidi w:val="0"/>
              <w:spacing w:lineRule="auto" w:line="288" w:before="0" w:after="240"/>
              <w:jc w:val="both"/>
              <w:rPr/>
            </w:pPr>
            <w:r>
              <w:rPr>
                <w:rFonts w:ascii="Times New Roman;sans-serif" w:hAnsi="Times New Roman;sans-serif"/>
                <w:b/>
                <w:i/>
                <w:color w:val="000000"/>
                <w:sz w:val="22"/>
              </w:rPr>
              <w:t>Earliest Vest Date</w:t>
            </w:r>
            <w:r>
              <w:rPr>
                <w:rFonts w:ascii="Times New Roman;sans-serif" w:hAnsi="Times New Roman;sans-serif"/>
                <w:b w:val="false"/>
                <w:color w:val="000000"/>
                <w:sz w:val="22"/>
              </w:rPr>
              <w:t xml:space="preserve">: 3-year anniversary of employment start date </w:t>
            </w:r>
          </w:p>
          <w:p>
            <w:pPr>
              <w:pStyle w:val="TableContents"/>
              <w:bidi w:val="0"/>
              <w:spacing w:lineRule="auto" w:line="288" w:before="0" w:after="240"/>
              <w:jc w:val="both"/>
              <w:rPr/>
            </w:pPr>
            <w:r>
              <w:rPr>
                <w:rFonts w:ascii="Times New Roman;sans-serif" w:hAnsi="Times New Roman;sans-serif"/>
                <w:b/>
                <w:i/>
                <w:color w:val="000000"/>
                <w:sz w:val="22"/>
              </w:rPr>
              <w:t>Price Target</w:t>
            </w:r>
            <w:r>
              <w:rPr>
                <w:rFonts w:ascii="Times New Roman;sans-serif" w:hAnsi="Times New Roman;sans-serif"/>
                <w:b w:val="false"/>
                <w:color w:val="000000"/>
                <w:sz w:val="22"/>
              </w:rPr>
              <w:t>: 75% increase in closing selling price per share of Company Class A common stock over closing selling price per share on employment start date</w:t>
            </w:r>
          </w:p>
          <w:p>
            <w:pPr>
              <w:pStyle w:val="TableContents"/>
              <w:bidi w:val="0"/>
              <w:spacing w:lineRule="auto" w:line="288" w:before="0" w:after="240"/>
              <w:jc w:val="both"/>
              <w:rPr/>
            </w:pPr>
            <w:r>
              <w:rPr>
                <w:rFonts w:ascii="Times New Roman;sans-serif" w:hAnsi="Times New Roman;sans-serif"/>
                <w:b/>
                <w:i/>
                <w:color w:val="000000"/>
                <w:sz w:val="22"/>
              </w:rPr>
              <w:t>Performance Period</w:t>
            </w:r>
            <w:r>
              <w:rPr>
                <w:rFonts w:ascii="Times New Roman;sans-serif" w:hAnsi="Times New Roman;sans-serif"/>
                <w:b w:val="false"/>
                <w:color w:val="000000"/>
                <w:sz w:val="22"/>
              </w:rPr>
              <w:t>: From 3-year anniversary of employment start date through 5-year anniversary of employment start date</w:t>
            </w:r>
          </w:p>
        </w:tc>
      </w:tr>
      <w:tr>
        <w:trPr/>
        <w:tc>
          <w:tcPr>
            <w:tcW w:w="1046"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Tranche 4</w:t>
            </w:r>
          </w:p>
        </w:tc>
        <w:tc>
          <w:tcPr>
            <w:tcW w:w="9159"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both"/>
              <w:rPr/>
            </w:pPr>
            <w:r>
              <w:rPr>
                <w:rFonts w:ascii="Times New Roman;sans-serif" w:hAnsi="Times New Roman;sans-serif"/>
                <w:b/>
                <w:i/>
                <w:color w:val="000000"/>
                <w:sz w:val="22"/>
              </w:rPr>
              <w:t>Size</w:t>
            </w:r>
            <w:r>
              <w:rPr>
                <w:rFonts w:ascii="Times New Roman;sans-serif" w:hAnsi="Times New Roman;sans-serif"/>
                <w:b w:val="false"/>
                <w:color w:val="000000"/>
                <w:sz w:val="22"/>
              </w:rPr>
              <w:t>: 25% of PSU</w:t>
            </w:r>
          </w:p>
          <w:p>
            <w:pPr>
              <w:pStyle w:val="TableContents"/>
              <w:bidi w:val="0"/>
              <w:spacing w:lineRule="auto" w:line="288" w:before="0" w:after="240"/>
              <w:jc w:val="both"/>
              <w:rPr/>
            </w:pPr>
            <w:r>
              <w:rPr>
                <w:rFonts w:ascii="Times New Roman;sans-serif" w:hAnsi="Times New Roman;sans-serif"/>
                <w:b/>
                <w:i/>
                <w:color w:val="000000"/>
                <w:sz w:val="22"/>
              </w:rPr>
              <w:t>Earliest Vest Date</w:t>
            </w:r>
            <w:r>
              <w:rPr>
                <w:rFonts w:ascii="Times New Roman;sans-serif" w:hAnsi="Times New Roman;sans-serif"/>
                <w:b w:val="false"/>
                <w:color w:val="000000"/>
                <w:sz w:val="22"/>
              </w:rPr>
              <w:t>: 4-year anniversary of employment start date</w:t>
            </w:r>
          </w:p>
          <w:p>
            <w:pPr>
              <w:pStyle w:val="TableContents"/>
              <w:bidi w:val="0"/>
              <w:spacing w:lineRule="auto" w:line="288" w:before="0" w:after="240"/>
              <w:jc w:val="both"/>
              <w:rPr/>
            </w:pPr>
            <w:r>
              <w:rPr>
                <w:rFonts w:ascii="Times New Roman;sans-serif" w:hAnsi="Times New Roman;sans-serif"/>
                <w:b/>
                <w:i/>
                <w:color w:val="000000"/>
                <w:sz w:val="22"/>
              </w:rPr>
              <w:t>Price Target</w:t>
            </w:r>
            <w:r>
              <w:rPr>
                <w:rFonts w:ascii="Times New Roman;sans-serif" w:hAnsi="Times New Roman;sans-serif"/>
                <w:b w:val="false"/>
                <w:color w:val="000000"/>
                <w:sz w:val="22"/>
              </w:rPr>
              <w:t>: 100% increase in closing selling price per share of Company Class A common stock over closing selling price per share on employment start date</w:t>
            </w:r>
          </w:p>
          <w:p>
            <w:pPr>
              <w:pStyle w:val="TableContents"/>
              <w:bidi w:val="0"/>
              <w:spacing w:lineRule="auto" w:line="288" w:before="0" w:after="240"/>
              <w:jc w:val="both"/>
              <w:rPr/>
            </w:pPr>
            <w:r>
              <w:rPr>
                <w:rFonts w:ascii="Times New Roman;sans-serif" w:hAnsi="Times New Roman;sans-serif"/>
                <w:b/>
                <w:i/>
                <w:color w:val="000000"/>
                <w:sz w:val="22"/>
              </w:rPr>
              <w:t>Performance Period</w:t>
            </w:r>
            <w:r>
              <w:rPr>
                <w:rFonts w:ascii="Times New Roman;sans-serif" w:hAnsi="Times New Roman;sans-serif"/>
                <w:b w:val="false"/>
                <w:color w:val="000000"/>
                <w:sz w:val="22"/>
              </w:rPr>
              <w:t>: From 4-year anniversary of employment start date through 5-year anniversary of employment start date</w:t>
            </w:r>
          </w:p>
        </w:tc>
      </w:tr>
    </w:tbl>
    <w:p>
      <w:pPr>
        <w:pStyle w:val="TextBody"/>
        <w:bidi w:val="0"/>
        <w:spacing w:before="0" w:after="240"/>
        <w:jc w:val="center"/>
        <w:rPr/>
      </w:pPr>
      <w:r>
        <w:rPr/>
      </w:r>
      <w:r>
        <mc:AlternateContent>
          <mc:Choice Requires="wps">
            <w:drawing>
              <wp:anchor behindDoc="0" distT="0" distB="0" distL="0" distR="0" simplePos="0" locked="0" layoutInCell="1" allowOverlap="1" relativeHeight="96">
                <wp:simplePos x="0" y="0"/>
                <wp:positionH relativeFrom="character">
                  <wp:align>left</wp:align>
                </wp:positionH>
                <wp:positionV relativeFrom="line">
                  <wp:posOffset>635</wp:posOffset>
                </wp:positionV>
                <wp:extent cx="6480175" cy="175260"/>
                <wp:effectExtent l="0" t="0" r="0" b="0"/>
                <wp:wrapNone/>
                <wp:docPr id="95" name="Frame8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tbl>
      <w:tblPr>
        <w:tblW w:w="10205" w:type="dxa"/>
        <w:jc w:val="left"/>
        <w:tblInd w:w="0" w:type="dxa"/>
        <w:tblLayout w:type="fixed"/>
        <w:tblCellMar>
          <w:top w:w="28" w:type="dxa"/>
          <w:left w:w="28" w:type="dxa"/>
          <w:bottom w:w="28" w:type="dxa"/>
          <w:right w:w="28" w:type="dxa"/>
        </w:tblCellMar>
      </w:tblPr>
      <w:tblGrid>
        <w:gridCol w:w="711"/>
        <w:gridCol w:w="502"/>
        <w:gridCol w:w="508"/>
        <w:gridCol w:w="2834"/>
        <w:gridCol w:w="2336"/>
        <w:gridCol w:w="3314"/>
      </w:tblGrid>
      <w:tr>
        <w:trPr/>
        <w:tc>
          <w:tcPr>
            <w:tcW w:w="711" w:type="dxa"/>
            <w:tcBorders/>
            <w:vAlign w:val="center"/>
          </w:tcPr>
          <w:p>
            <w:pPr>
              <w:pStyle w:val="TableContents"/>
              <w:bidi w:val="0"/>
              <w:spacing w:before="0" w:after="283"/>
              <w:jc w:val="left"/>
              <w:rPr>
                <w:sz w:val="4"/>
                <w:szCs w:val="4"/>
              </w:rPr>
            </w:pPr>
            <w:r>
              <w:rPr>
                <w:sz w:val="4"/>
                <w:szCs w:val="4"/>
              </w:rPr>
            </w:r>
          </w:p>
        </w:tc>
        <w:tc>
          <w:tcPr>
            <w:tcW w:w="502" w:type="dxa"/>
            <w:tcBorders/>
            <w:vAlign w:val="center"/>
          </w:tcPr>
          <w:p>
            <w:pPr>
              <w:pStyle w:val="TableContents"/>
              <w:bidi w:val="0"/>
              <w:spacing w:before="0" w:after="283"/>
              <w:jc w:val="left"/>
              <w:rPr>
                <w:sz w:val="4"/>
                <w:szCs w:val="4"/>
              </w:rPr>
            </w:pPr>
            <w:r>
              <w:rPr>
                <w:sz w:val="4"/>
                <w:szCs w:val="4"/>
              </w:rPr>
            </w:r>
          </w:p>
        </w:tc>
        <w:tc>
          <w:tcPr>
            <w:tcW w:w="508" w:type="dxa"/>
            <w:tcBorders/>
            <w:vAlign w:val="center"/>
          </w:tcPr>
          <w:p>
            <w:pPr>
              <w:pStyle w:val="TableContents"/>
              <w:bidi w:val="0"/>
              <w:spacing w:before="0" w:after="283"/>
              <w:jc w:val="left"/>
              <w:rPr>
                <w:sz w:val="4"/>
                <w:szCs w:val="4"/>
              </w:rPr>
            </w:pPr>
            <w:r>
              <w:rPr>
                <w:sz w:val="4"/>
                <w:szCs w:val="4"/>
              </w:rPr>
            </w:r>
          </w:p>
        </w:tc>
        <w:tc>
          <w:tcPr>
            <w:tcW w:w="2834" w:type="dxa"/>
            <w:tcBorders/>
            <w:vAlign w:val="center"/>
          </w:tcPr>
          <w:p>
            <w:pPr>
              <w:pStyle w:val="TableContents"/>
              <w:bidi w:val="0"/>
              <w:spacing w:before="0" w:after="283"/>
              <w:jc w:val="left"/>
              <w:rPr>
                <w:sz w:val="4"/>
                <w:szCs w:val="4"/>
              </w:rPr>
            </w:pPr>
            <w:r>
              <w:rPr>
                <w:sz w:val="4"/>
                <w:szCs w:val="4"/>
              </w:rPr>
            </w:r>
          </w:p>
        </w:tc>
        <w:tc>
          <w:tcPr>
            <w:tcW w:w="2336" w:type="dxa"/>
            <w:tcBorders/>
            <w:vAlign w:val="center"/>
          </w:tcPr>
          <w:p>
            <w:pPr>
              <w:pStyle w:val="TableContents"/>
              <w:bidi w:val="0"/>
              <w:spacing w:before="0" w:after="283"/>
              <w:jc w:val="left"/>
              <w:rPr>
                <w:sz w:val="4"/>
                <w:szCs w:val="4"/>
              </w:rPr>
            </w:pPr>
            <w:r>
              <w:rPr>
                <w:sz w:val="4"/>
                <w:szCs w:val="4"/>
              </w:rPr>
            </w:r>
          </w:p>
        </w:tc>
        <w:tc>
          <w:tcPr>
            <w:tcW w:w="3314" w:type="dxa"/>
            <w:tcBorders/>
            <w:vAlign w:val="center"/>
          </w:tcPr>
          <w:p>
            <w:pPr>
              <w:pStyle w:val="TableContents"/>
              <w:bidi w:val="0"/>
              <w:spacing w:before="0" w:after="283"/>
              <w:jc w:val="left"/>
              <w:rPr>
                <w:sz w:val="4"/>
                <w:szCs w:val="4"/>
              </w:rPr>
            </w:pPr>
            <w:r>
              <w:rPr>
                <w:sz w:val="4"/>
                <w:szCs w:val="4"/>
              </w:rPr>
            </w:r>
          </w:p>
        </w:tc>
      </w:tr>
      <w:tr>
        <w:trPr/>
        <w:tc>
          <w:tcPr>
            <w:tcW w:w="172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General</w:t>
            </w:r>
          </w:p>
        </w:tc>
        <w:tc>
          <w:tcPr>
            <w:tcW w:w="84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PSUs that have not vested at the end of any Performance Period will be forfeited.</w:t>
            </w:r>
          </w:p>
          <w:p>
            <w:pPr>
              <w:pStyle w:val="TableContents"/>
              <w:bidi w:val="0"/>
              <w:spacing w:lineRule="auto" w:line="288" w:before="0" w:after="240"/>
              <w:jc w:val="both"/>
              <w:rPr/>
            </w:pPr>
            <w:r>
              <w:rPr>
                <w:rFonts w:ascii="Times New Roman;sans-serif" w:hAnsi="Times New Roman;sans-serif"/>
                <w:b w:val="false"/>
                <w:color w:val="000000"/>
                <w:sz w:val="22"/>
              </w:rPr>
              <w:t>Once the price target for vesting criteria is achieved, that price does not need to be maintained thereafter.</w:t>
            </w:r>
            <w:r>
              <w:rPr>
                <w:color w:val="000000"/>
              </w:rPr>
              <w:t xml:space="preserve"> </w:t>
            </w:r>
          </w:p>
          <w:p>
            <w:pPr>
              <w:pStyle w:val="TableContents"/>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All prices to be calculated based on the 30-trading day average closing selling price of the Company’s Class A Common Stock as of the applicable date</w:t>
            </w:r>
          </w:p>
          <w:p>
            <w:pPr>
              <w:pStyle w:val="TableContents"/>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Must be employed as Chief Executive Officer or Executive Chair on vest date</w:t>
            </w:r>
          </w:p>
        </w:tc>
      </w:tr>
      <w:tr>
        <w:trPr/>
        <w:tc>
          <w:tcPr>
            <w:tcW w:w="1721" w:type="dxa"/>
            <w:gridSpan w:val="3"/>
            <w:tcBorders>
              <w:top w:val="single" w:sz="4" w:space="0" w:color="000000"/>
              <w:left w:val="single" w:sz="4" w:space="0" w:color="000000"/>
            </w:tcBorders>
            <w:tcMar>
              <w:top w:w="30" w:type="dxa"/>
              <w:left w:w="82"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Change in Control Treatment</w:t>
            </w:r>
          </w:p>
        </w:tc>
        <w:tc>
          <w:tcPr>
            <w:tcW w:w="8484" w:type="dxa"/>
            <w:gridSpan w:val="3"/>
            <w:tcBorders>
              <w:top w:val="single" w:sz="4" w:space="0" w:color="000000"/>
              <w:left w:val="single" w:sz="4" w:space="0" w:color="000000"/>
              <w:right w:val="single" w:sz="4" w:space="0" w:color="000000"/>
            </w:tcBorders>
            <w:tcMar>
              <w:top w:w="30" w:type="dxa"/>
              <w:bottom w:w="0" w:type="dxa"/>
            </w:tcMar>
            <w:vAlign w:val="center"/>
          </w:tcPr>
          <w:p>
            <w:pPr>
              <w:pStyle w:val="TableContents"/>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 xml:space="preserve">Performance-Based Vesting will be determined based on the price per share payable in connection with the Change in Control, as determined by the Board in good faith, including any contingent consideration, escrow, and earn-out amounts which will be valued by the Board in its sole discretion. </w:t>
            </w:r>
          </w:p>
          <w:p>
            <w:pPr>
              <w:pStyle w:val="TableContents"/>
              <w:bidi w:val="0"/>
              <w:spacing w:lineRule="auto" w:line="288" w:before="0" w:after="240"/>
              <w:jc w:val="left"/>
              <w:rPr>
                <w:rFonts w:ascii="Times New Roman;sans-serif" w:hAnsi="Times New Roman;sans-serif"/>
                <w:b w:val="false"/>
                <w:color w:val="000000"/>
                <w:sz w:val="22"/>
              </w:rPr>
            </w:pPr>
            <w:r>
              <w:rPr>
                <w:rFonts w:ascii="Times New Roman;sans-serif" w:hAnsi="Times New Roman;sans-serif"/>
                <w:b w:val="false"/>
                <w:color w:val="000000"/>
                <w:sz w:val="22"/>
              </w:rPr>
              <w:t>Any portion of the PSUs for which the Performance-Based Vesting requirements are met based on the price per share in the transaction shall remain outstanding and eligible to vest post-Closing; any portion of the PSUs for which the Performance-Based Vesting requirements are not met will be forfeited for no consideration.</w:t>
            </w:r>
          </w:p>
        </w:tc>
      </w:tr>
      <w:tr>
        <w:trPr/>
        <w:tc>
          <w:tcPr>
            <w:tcW w:w="1721" w:type="dxa"/>
            <w:gridSpan w:val="3"/>
            <w:tcBorders>
              <w:top w:val="single" w:sz="4" w:space="0" w:color="000000"/>
              <w:left w:val="single" w:sz="4" w:space="0" w:color="000000"/>
              <w:bottom w:val="single" w:sz="4" w:space="0" w:color="000000"/>
            </w:tcBorders>
            <w:tcMar>
              <w:top w:w="30" w:type="dxa"/>
              <w:left w:w="82" w:type="dxa"/>
              <w:bottom w:w="30" w:type="dxa"/>
              <w:right w:w="0" w:type="dxa"/>
            </w:tcMar>
            <w:vAlign w:val="center"/>
          </w:tcPr>
          <w:p>
            <w:pPr>
              <w:pStyle w:val="TableContents"/>
              <w:bidi w:val="0"/>
              <w:spacing w:lineRule="auto" w:line="240" w:before="0" w:after="283"/>
              <w:jc w:val="left"/>
              <w:rPr>
                <w:rFonts w:ascii="Times New Roman;sans-serif" w:hAnsi="Times New Roman;sans-serif"/>
                <w:b/>
                <w:color w:val="000000"/>
                <w:sz w:val="22"/>
              </w:rPr>
            </w:pPr>
            <w:r>
              <w:rPr>
                <w:rFonts w:ascii="Times New Roman;sans-serif" w:hAnsi="Times New Roman;sans-serif"/>
                <w:b/>
                <w:color w:val="000000"/>
                <w:sz w:val="22"/>
              </w:rPr>
              <w:t>Termination Treatment</w:t>
            </w:r>
          </w:p>
        </w:tc>
        <w:tc>
          <w:tcPr>
            <w:tcW w:w="8484" w:type="dxa"/>
            <w:gridSpan w:val="3"/>
            <w:tcBorders>
              <w:top w:val="single" w:sz="4" w:space="0" w:color="000000"/>
              <w:left w:val="single" w:sz="4" w:space="0" w:color="000000"/>
              <w:bottom w:val="single" w:sz="4" w:space="0" w:color="000000"/>
              <w:right w:val="single" w:sz="4" w:space="0" w:color="000000"/>
            </w:tcBorders>
            <w:tcMar>
              <w:top w:w="30" w:type="dxa"/>
              <w:bottom w:w="30" w:type="dxa"/>
            </w:tcMar>
            <w:vAlign w:val="center"/>
          </w:tcPr>
          <w:p>
            <w:pPr>
              <w:pStyle w:val="TableContents"/>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In the event of a termination of employment for any reason other than a CIC Qualifying Termination (as defined in the Severance Agreement), any Tranche of the PSUs that has not met both the applicable Time-Based Vesting and Performance-Based Vesting requirements will be forfeited for no consideration.</w:t>
            </w:r>
          </w:p>
          <w:p>
            <w:pPr>
              <w:pStyle w:val="TableContents"/>
              <w:bidi w:val="0"/>
              <w:spacing w:lineRule="auto" w:line="288" w:before="0" w:after="240"/>
              <w:jc w:val="both"/>
              <w:rPr>
                <w:rFonts w:ascii="Times New Roman;sans-serif" w:hAnsi="Times New Roman;sans-serif"/>
                <w:b w:val="false"/>
                <w:color w:val="000000"/>
                <w:sz w:val="22"/>
              </w:rPr>
            </w:pPr>
            <w:r>
              <w:rPr>
                <w:rFonts w:ascii="Times New Roman;sans-serif" w:hAnsi="Times New Roman;sans-serif"/>
                <w:b w:val="false"/>
                <w:color w:val="000000"/>
                <w:sz w:val="22"/>
              </w:rPr>
              <w:t>Following determination of degree of Performance-Based Vesting in the Change in Control, Time-Based Vesting requirements are eligible for 100% double-trigger vesting acceleration on a CIC Qualifying Termination pursuant to the Severance Agreement.</w:t>
            </w:r>
          </w:p>
        </w:tc>
      </w:tr>
    </w:tbl>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97">
                <wp:simplePos x="0" y="0"/>
                <wp:positionH relativeFrom="character">
                  <wp:align>left</wp:align>
                </wp:positionH>
                <wp:positionV relativeFrom="line">
                  <wp:posOffset>635</wp:posOffset>
                </wp:positionV>
                <wp:extent cx="6480175" cy="175260"/>
                <wp:effectExtent l="0" t="0" r="0" b="0"/>
                <wp:wrapNone/>
                <wp:docPr id="96" name="Frame8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B</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 xml:space="preserve">Change in Control and Severance Agreement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This Change in Control and Severance Agreement (the “</w:t>
      </w:r>
      <w:r>
        <w:rPr>
          <w:rFonts w:ascii="Times New Roman;sans-serif" w:hAnsi="Times New Roman;sans-serif"/>
          <w:b/>
          <w:color w:val="000000"/>
          <w:sz w:val="20"/>
        </w:rPr>
        <w:t>Agreement</w:t>
      </w:r>
      <w:r>
        <w:rPr>
          <w:color w:val="000000"/>
        </w:rPr>
        <w:t>”</w:t>
      </w:r>
      <w:r>
        <w:rPr>
          <w:rFonts w:ascii="Times New Roman;sans-serif" w:hAnsi="Times New Roman;sans-serif"/>
          <w:b w:val="false"/>
          <w:color w:val="000000"/>
          <w:sz w:val="20"/>
        </w:rPr>
        <w:t>) is entered into by and between Nirav Tolia (the “</w:t>
      </w:r>
      <w:r>
        <w:rPr>
          <w:rFonts w:ascii="Times New Roman;sans-serif" w:hAnsi="Times New Roman;sans-serif"/>
          <w:b/>
          <w:color w:val="000000"/>
          <w:sz w:val="20"/>
        </w:rPr>
        <w:t>Executive</w:t>
      </w:r>
      <w:r>
        <w:rPr>
          <w:color w:val="000000"/>
        </w:rPr>
        <w:t>”</w:t>
      </w:r>
      <w:r>
        <w:rPr>
          <w:rFonts w:ascii="Times New Roman;sans-serif" w:hAnsi="Times New Roman;sans-serif"/>
          <w:b w:val="false"/>
          <w:color w:val="000000"/>
          <w:sz w:val="20"/>
        </w:rPr>
        <w:t>) and Nextdoor, Inc., a Delaware corporation (together with its parent, Nextdoor Holdings, Inc., the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effective as of May 8, 2024 (the “</w:t>
      </w:r>
      <w:r>
        <w:rPr>
          <w:rFonts w:ascii="Times New Roman;sans-serif" w:hAnsi="Times New Roman;sans-serif"/>
          <w:b/>
          <w:color w:val="000000"/>
          <w:sz w:val="20"/>
        </w:rPr>
        <w:t>Effective Date</w:t>
      </w:r>
      <w:r>
        <w:rPr>
          <w:color w:val="000000"/>
        </w:rPr>
        <w:t>”</w:t>
      </w:r>
      <w:r>
        <w:rPr>
          <w:rFonts w:ascii="Times New Roman;sans-serif" w:hAnsi="Times New Roman;sans-serif"/>
          <w:b w:val="false"/>
          <w:color w:val="000000"/>
          <w:sz w:val="20"/>
        </w:rPr>
        <w:t>).</w:t>
      </w:r>
    </w:p>
    <w:p>
      <w:pPr>
        <w:pStyle w:val="TextBody"/>
        <w:bidi w:val="0"/>
        <w:spacing w:lineRule="auto" w:line="288" w:before="0" w:after="240"/>
        <w:jc w:val="left"/>
        <w:rPr/>
      </w:pPr>
      <w:r>
        <w:rPr>
          <w:rFonts w:ascii="Times New Roman;sans-serif" w:hAnsi="Times New Roman;sans-serif"/>
          <w:b/>
          <w:color w:val="010000"/>
          <w:sz w:val="20"/>
        </w:rPr>
        <w:t>1.</w:t>
      </w:r>
      <w:r>
        <w:rPr>
          <w:rFonts w:ascii="Times New Roman;sans-serif" w:hAnsi="Times New Roman;sans-serif"/>
          <w:b/>
          <w:color w:val="000000"/>
          <w:sz w:val="20"/>
        </w:rPr>
        <w:t>Term of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This Agreement shall terminate the earlier of the third (3</w:t>
      </w:r>
      <w:r>
        <w:rPr>
          <w:rFonts w:ascii="Times New Roman;sans-serif" w:hAnsi="Times New Roman;sans-serif"/>
          <w:b w:val="false"/>
          <w:color w:val="000000"/>
          <w:sz w:val="13"/>
        </w:rPr>
        <w:t>rd</w:t>
      </w:r>
      <w:r>
        <w:rPr>
          <w:rFonts w:ascii="Times New Roman;sans-serif" w:hAnsi="Times New Roman;sans-serif"/>
          <w:b w:val="false"/>
          <w:color w:val="000000"/>
          <w:sz w:val="20"/>
        </w:rPr>
        <w:t>) anniversary of the Effective Date (the “</w:t>
      </w:r>
      <w:r>
        <w:rPr>
          <w:rFonts w:ascii="Times New Roman;sans-serif" w:hAnsi="Times New Roman;sans-serif"/>
          <w:b/>
          <w:color w:val="000000"/>
          <w:sz w:val="20"/>
        </w:rPr>
        <w:t>Expiration Date</w:t>
      </w:r>
      <w:r>
        <w:rPr>
          <w:color w:val="000000"/>
        </w:rPr>
        <w:t>”</w:t>
      </w:r>
      <w:r>
        <w:rPr>
          <w:rFonts w:ascii="Times New Roman;sans-serif" w:hAnsi="Times New Roman;sans-serif"/>
          <w:b w:val="false"/>
          <w:color w:val="000000"/>
          <w:sz w:val="20"/>
        </w:rPr>
        <w:t xml:space="preserve">) or the date the Executive’s employment with the Company terminates for a reason other than a Qualifying Termination or CIC Qualifying Termination;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xml:space="preserve">, if a definitive agreement relating to a Change in Control has been signed by the Company on or before the Expiration Date, then this Agreement shall remain in effect through the earlier of: </w:t>
      </w:r>
    </w:p>
    <w:p>
      <w:pPr>
        <w:pStyle w:val="TextBody"/>
        <w:bidi w:val="0"/>
        <w:spacing w:lineRule="auto" w:line="288" w:before="0" w:after="240"/>
        <w:ind w:left="0" w:right="0" w:firstLine="720"/>
        <w:jc w:val="both"/>
        <w:rPr/>
      </w:pPr>
      <w:r>
        <w:rPr>
          <w:rFonts w:ascii="Times New Roman;sans-serif" w:hAnsi="Times New Roman;sans-serif"/>
          <w:b/>
          <w:color w:val="010000"/>
          <w:sz w:val="20"/>
        </w:rPr>
        <w:t>(a)</w:t>
      </w:r>
      <w:r>
        <w:rPr>
          <w:rFonts w:ascii="Times New Roman;sans-serif" w:hAnsi="Times New Roman;sans-serif"/>
          <w:b w:val="false"/>
          <w:color w:val="000000"/>
          <w:sz w:val="20"/>
        </w:rPr>
        <w:t>The date the Executive’s employment with the Company terminates for a reason other than a Qualifying Termination or CIC Qualifying Termination, or</w:t>
      </w:r>
    </w:p>
    <w:p>
      <w:pPr>
        <w:pStyle w:val="TextBody"/>
        <w:bidi w:val="0"/>
        <w:spacing w:lineRule="auto" w:line="288" w:before="0" w:after="240"/>
        <w:ind w:left="0" w:right="0" w:firstLine="720"/>
        <w:jc w:val="both"/>
        <w:rPr/>
      </w:pPr>
      <w:r>
        <w:rPr>
          <w:rFonts w:ascii="Times New Roman;sans-serif" w:hAnsi="Times New Roman;sans-serif"/>
          <w:b/>
          <w:color w:val="010000"/>
          <w:sz w:val="20"/>
        </w:rPr>
        <w:t>(b)</w:t>
      </w:r>
      <w:r>
        <w:rPr>
          <w:rFonts w:ascii="Times New Roman;sans-serif" w:hAnsi="Times New Roman;sans-serif"/>
          <w:b w:val="false"/>
          <w:color w:val="000000"/>
          <w:sz w:val="20"/>
        </w:rPr>
        <w:t>The date the Company has met all of its obligations under this Agreement following a termination of the Executive’s employment with the Company due to a Qualifying Termination or CIC Qualifying Termination.</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This Agreement shall renew automatically and continue in effect for three (3) year periods measured from the initial Expiration Date, unless the Company provides Executive notice of non-renewal at least three (3) months prior to the date on which this Agreement would otherwise renew. For the avoidance of doubt, and notwithstanding anything to the contrary in Section 2 or 3 below, the Company’s non-renewal of this Agreement shall not constitute a Qualifying Termination or CIC Qualifying Termination, as applicable.</w:t>
      </w:r>
    </w:p>
    <w:p>
      <w:pPr>
        <w:pStyle w:val="TextBody"/>
        <w:bidi w:val="0"/>
        <w:spacing w:lineRule="auto" w:line="288" w:before="0" w:after="240"/>
        <w:jc w:val="left"/>
        <w:rPr/>
      </w:pPr>
      <w:r>
        <w:rPr>
          <w:rFonts w:ascii="Times New Roman;sans-serif" w:hAnsi="Times New Roman;sans-serif"/>
          <w:b/>
          <w:color w:val="010000"/>
          <w:sz w:val="20"/>
        </w:rPr>
        <w:t>2.</w:t>
      </w:r>
      <w:r>
        <w:rPr>
          <w:rFonts w:ascii="Times New Roman;sans-serif" w:hAnsi="Times New Roman;sans-serif"/>
          <w:b/>
          <w:color w:val="000000"/>
          <w:sz w:val="20"/>
        </w:rPr>
        <w:t>Qualifying Termination.</w:t>
      </w:r>
      <w:r>
        <w:rPr>
          <w:color w:val="000000"/>
        </w:rPr>
        <w:t xml:space="preserve"> </w:t>
      </w:r>
      <w:r>
        <w:rPr>
          <w:rFonts w:ascii="Times New Roman;sans-serif" w:hAnsi="Times New Roman;sans-serif"/>
          <w:b w:val="false"/>
          <w:color w:val="000000"/>
          <w:sz w:val="20"/>
        </w:rPr>
        <w:t>If the Executive is subject to a Qualifying Termination, then, subject to Sections 4, 8, and 9 below, Executive will be entitled to the following benefits:</w:t>
      </w:r>
    </w:p>
    <w:p>
      <w:pPr>
        <w:pStyle w:val="TextBody"/>
        <w:bidi w:val="0"/>
        <w:spacing w:lineRule="auto" w:line="288" w:before="0" w:after="240"/>
        <w:ind w:left="0" w:right="0" w:firstLine="720"/>
        <w:jc w:val="both"/>
        <w:rPr/>
      </w:pPr>
      <w:r>
        <w:rPr>
          <w:rFonts w:ascii="Times New Roman;sans-serif" w:hAnsi="Times New Roman;sans-serif"/>
          <w:b/>
          <w:color w:val="010000"/>
          <w:sz w:val="20"/>
        </w:rPr>
        <w:t>(a)</w:t>
      </w:r>
      <w:r>
        <w:rPr>
          <w:rFonts w:ascii="Times New Roman;sans-serif" w:hAnsi="Times New Roman;sans-serif"/>
          <w:b/>
          <w:color w:val="000000"/>
          <w:sz w:val="20"/>
        </w:rPr>
        <w:t>Severance Benefits.</w:t>
      </w:r>
      <w:r>
        <w:rPr>
          <w:color w:val="000000"/>
        </w:rPr>
        <w:t xml:space="preserve"> </w:t>
      </w:r>
      <w:r>
        <w:rPr>
          <w:rFonts w:ascii="Times New Roman;sans-serif" w:hAnsi="Times New Roman;sans-serif"/>
          <w:b w:val="false"/>
          <w:color w:val="000000"/>
          <w:sz w:val="20"/>
        </w:rPr>
        <w:t>The Company shall pay the Executive six (6) months of his/her monthly base salary (at the rate in effect immediately prior to the actions that resulted in the Qualifying Termination). The Executive will receive his or her severance payment in a cash lump-sum in accordance with the Company’s standard payroll procedures, which payment will be made no later than the first regular payroll date occurring after the sixtieth (60</w:t>
      </w:r>
      <w:r>
        <w:rPr>
          <w:rFonts w:ascii="Times New Roman;sans-serif" w:hAnsi="Times New Roman;sans-serif"/>
          <w:b w:val="false"/>
          <w:color w:val="000000"/>
          <w:sz w:val="13"/>
        </w:rPr>
        <w:t>th</w:t>
      </w:r>
      <w:r>
        <w:rPr>
          <w:rFonts w:ascii="Times New Roman;sans-serif" w:hAnsi="Times New Roman;sans-serif"/>
          <w:b w:val="false"/>
          <w:color w:val="000000"/>
          <w:sz w:val="20"/>
        </w:rPr>
        <w:t xml:space="preserve">) day following the Separation, </w:t>
      </w:r>
      <w:r>
        <w:rPr>
          <w:rFonts w:ascii="Times New Roman;sans-serif" w:hAnsi="Times New Roman;sans-serif"/>
          <w:b w:val="false"/>
          <w:i/>
          <w:color w:val="000000"/>
          <w:sz w:val="20"/>
        </w:rPr>
        <w:t>provided that</w:t>
      </w:r>
      <w:r>
        <w:rPr>
          <w:color w:val="000000"/>
        </w:rPr>
        <w:t xml:space="preserve"> </w:t>
      </w:r>
      <w:r>
        <w:rPr>
          <w:rFonts w:ascii="Times New Roman;sans-serif" w:hAnsi="Times New Roman;sans-serif"/>
          <w:b w:val="false"/>
          <w:color w:val="000000"/>
          <w:sz w:val="20"/>
        </w:rPr>
        <w:t>the Release Conditions have been satisfied.</w:t>
      </w:r>
    </w:p>
    <w:p>
      <w:pPr>
        <w:pStyle w:val="TextBody"/>
        <w:bidi w:val="0"/>
        <w:spacing w:lineRule="auto" w:line="288" w:before="0" w:after="240"/>
        <w:ind w:left="0" w:right="0" w:firstLine="720"/>
        <w:jc w:val="both"/>
        <w:rPr/>
      </w:pPr>
      <w:r>
        <w:rPr>
          <w:rFonts w:ascii="Times New Roman;sans-serif" w:hAnsi="Times New Roman;sans-serif"/>
          <w:b/>
          <w:color w:val="010000"/>
          <w:sz w:val="20"/>
        </w:rPr>
        <w:t>(b)</w:t>
      </w:r>
      <w:r>
        <w:rPr>
          <w:rFonts w:ascii="Times New Roman;sans-serif" w:hAnsi="Times New Roman;sans-serif"/>
          <w:b/>
          <w:color w:val="000000"/>
          <w:sz w:val="20"/>
        </w:rPr>
        <w:t>Continued Employee Benefits.</w:t>
      </w:r>
      <w:r>
        <w:rPr>
          <w:color w:val="000000"/>
        </w:rPr>
        <w:t xml:space="preserve"> </w:t>
      </w:r>
      <w:r>
        <w:rPr>
          <w:rFonts w:ascii="Times New Roman;sans-serif" w:hAnsi="Times New Roman;sans-serif"/>
          <w:b w:val="false"/>
          <w:color w:val="000000"/>
          <w:sz w:val="20"/>
        </w:rPr>
        <w:t>If Executive timely elects continued coverage under the Consolidated Omnibus Budget Reconciliation Act (“</w:t>
      </w:r>
      <w:r>
        <w:rPr>
          <w:rFonts w:ascii="Times New Roman;sans-serif" w:hAnsi="Times New Roman;sans-serif"/>
          <w:b/>
          <w:color w:val="000000"/>
          <w:sz w:val="20"/>
        </w:rPr>
        <w:t>COBRA</w:t>
      </w:r>
      <w:r>
        <w:rPr>
          <w:color w:val="000000"/>
        </w:rPr>
        <w:t>”</w:t>
      </w:r>
      <w:r>
        <w:rPr>
          <w:rFonts w:ascii="Times New Roman;sans-serif" w:hAnsi="Times New Roman;sans-serif"/>
          <w:b w:val="false"/>
          <w:color w:val="000000"/>
          <w:sz w:val="20"/>
        </w:rPr>
        <w:t xml:space="preserve">), the Company shall pay the full amount of Executive’s COBRA premiums on behalf of the Executive for the Executive’s continued coverage under the Company’s health, dental and vision plans, including coverage for the Executive’s eligible dependents, for a period of six (6) months following the Executive’s Separation or, if earlier, until Executive is eligible to be covered under another substantially equivalent medical insurance plan by a subsequent employer. Notwithstanding the foregoing, the Company may elect to provide Executive, in lieu of any portion of such continued coverage, taxable installment payments equal in amount to the applicable premiums in effect as of Executive’s Separation for the remainder of the COBRA continuation period; </w:t>
      </w:r>
      <w:r>
        <w:rPr>
          <w:rFonts w:ascii="Times New Roman;sans-serif" w:hAnsi="Times New Roman;sans-serif"/>
          <w:b w:val="false"/>
          <w:i/>
          <w:color w:val="000000"/>
          <w:sz w:val="20"/>
        </w:rPr>
        <w:t>provided that</w:t>
      </w:r>
      <w:r>
        <w:rPr>
          <w:rFonts w:ascii="Times New Roman;sans-serif" w:hAnsi="Times New Roman;sans-serif"/>
          <w:b w:val="false"/>
          <w:color w:val="000000"/>
          <w:sz w:val="20"/>
        </w:rPr>
        <w:t>, Executive shall have no right to an additional gross-up payment to account for the fact that such COBRA premium amounts are paid on an after-tax basis.</w:t>
      </w:r>
    </w:p>
    <w:p>
      <w:pPr>
        <w:pStyle w:val="TextBody"/>
        <w:bidi w:val="0"/>
        <w:spacing w:lineRule="auto" w:line="288" w:before="0" w:after="240"/>
        <w:jc w:val="both"/>
        <w:rPr/>
      </w:pPr>
      <w:r>
        <w:rPr>
          <w:rFonts w:ascii="Times New Roman;sans-serif" w:hAnsi="Times New Roman;sans-serif"/>
          <w:b/>
          <w:color w:val="010000"/>
          <w:sz w:val="20"/>
        </w:rPr>
        <w:t>3.</w:t>
      </w:r>
      <w:r>
        <w:rPr>
          <w:rFonts w:ascii="Times New Roman;sans-serif" w:hAnsi="Times New Roman;sans-serif"/>
          <w:b/>
          <w:color w:val="000000"/>
          <w:sz w:val="20"/>
        </w:rPr>
        <w:t>CIC Qualifying Termination.</w:t>
      </w:r>
      <w:r>
        <w:rPr>
          <w:color w:val="000000"/>
        </w:rPr>
        <w:t xml:space="preserve"> </w:t>
      </w:r>
      <w:r>
        <w:rPr>
          <w:rFonts w:ascii="Times New Roman;sans-serif" w:hAnsi="Times New Roman;sans-serif"/>
          <w:b w:val="false"/>
          <w:color w:val="000000"/>
          <w:sz w:val="20"/>
        </w:rPr>
        <w:t>If the Executive is subject to a CIC Qualifying Termination, then, subject to Sections 4, 8, and 9 below, Executive will be entitled to the following benefits:</w:t>
      </w:r>
    </w:p>
    <w:p>
      <w:pPr>
        <w:pStyle w:val="TextBody"/>
        <w:bidi w:val="0"/>
        <w:spacing w:lineRule="auto" w:line="288" w:before="0" w:after="240"/>
        <w:ind w:left="0" w:right="0" w:firstLine="720"/>
        <w:jc w:val="both"/>
        <w:rPr/>
      </w:pPr>
      <w:r>
        <w:rPr>
          <w:rFonts w:ascii="Times New Roman;sans-serif" w:hAnsi="Times New Roman;sans-serif"/>
          <w:b/>
          <w:color w:val="010000"/>
          <w:sz w:val="20"/>
        </w:rPr>
        <w:t>(a)</w:t>
      </w:r>
      <w:r>
        <w:rPr>
          <w:rFonts w:ascii="Times New Roman;sans-serif" w:hAnsi="Times New Roman;sans-serif"/>
          <w:b/>
          <w:color w:val="000000"/>
          <w:sz w:val="20"/>
        </w:rPr>
        <w:t>Severance Payments.</w:t>
      </w:r>
      <w:r>
        <w:rPr>
          <w:color w:val="000000"/>
        </w:rPr>
        <w:t xml:space="preserve"> </w:t>
      </w:r>
      <w:r>
        <w:rPr>
          <w:rFonts w:ascii="Times New Roman;sans-serif" w:hAnsi="Times New Roman;sans-serif"/>
          <w:b w:val="false"/>
          <w:color w:val="000000"/>
          <w:sz w:val="20"/>
        </w:rPr>
        <w:t xml:space="preserve">The Company or its successor shall pay the Executive twelve (12) months of his/her monthly base salary and an amount equal to his/her annual target bonus at 100% achievement of target, in </w:t>
      </w:r>
    </w:p>
    <w:p>
      <w:pPr>
        <w:pStyle w:val="TextBody"/>
        <w:bidi w:val="0"/>
        <w:spacing w:before="0" w:after="240"/>
        <w:jc w:val="center"/>
        <w:rPr/>
      </w:pPr>
      <w:r>
        <w:rPr/>
      </w:r>
      <w:r>
        <mc:AlternateContent>
          <mc:Choice Requires="wps">
            <w:drawing>
              <wp:anchor behindDoc="0" distT="0" distB="0" distL="0" distR="0" simplePos="0" locked="0" layoutInCell="1" allowOverlap="1" relativeHeight="98">
                <wp:simplePos x="0" y="0"/>
                <wp:positionH relativeFrom="character">
                  <wp:align>left</wp:align>
                </wp:positionH>
                <wp:positionV relativeFrom="line">
                  <wp:posOffset>635</wp:posOffset>
                </wp:positionV>
                <wp:extent cx="6480175" cy="175260"/>
                <wp:effectExtent l="0" t="0" r="0" b="0"/>
                <wp:wrapNone/>
                <wp:docPr id="97" name="Frame9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pPr>
      <w:r>
        <w:rPr>
          <w:rFonts w:ascii="Times New Roman;sans-serif" w:hAnsi="Times New Roman;sans-serif"/>
          <w:b w:val="false"/>
          <w:color w:val="000000"/>
          <w:sz w:val="20"/>
        </w:rPr>
        <w:t>each case, at the rate in effect immediately prior to the actions that resulted in the Separation. Such payment shall be paid in a cash lump sum in accordance with the Company’s standard payroll procedures, which payment will be made no later than the first regular payroll date occurring after the sixtieth (60</w:t>
      </w:r>
      <w:r>
        <w:rPr>
          <w:rFonts w:ascii="Times New Roman;sans-serif" w:hAnsi="Times New Roman;sans-serif"/>
          <w:b w:val="false"/>
          <w:color w:val="000000"/>
          <w:sz w:val="13"/>
        </w:rPr>
        <w:t>th</w:t>
      </w:r>
      <w:r>
        <w:rPr>
          <w:rFonts w:ascii="Times New Roman;sans-serif" w:hAnsi="Times New Roman;sans-serif"/>
          <w:b w:val="false"/>
          <w:color w:val="000000"/>
          <w:sz w:val="20"/>
        </w:rPr>
        <w:t xml:space="preserve">) day following the Separation, </w:t>
      </w:r>
      <w:r>
        <w:rPr>
          <w:rFonts w:ascii="Times New Roman;sans-serif" w:hAnsi="Times New Roman;sans-serif"/>
          <w:b w:val="false"/>
          <w:i/>
          <w:color w:val="000000"/>
          <w:sz w:val="20"/>
        </w:rPr>
        <w:t>provided that</w:t>
      </w:r>
      <w:r>
        <w:rPr>
          <w:color w:val="000000"/>
        </w:rPr>
        <w:t xml:space="preserve"> </w:t>
      </w:r>
      <w:r>
        <w:rPr>
          <w:rFonts w:ascii="Times New Roman;sans-serif" w:hAnsi="Times New Roman;sans-serif"/>
          <w:b w:val="false"/>
          <w:color w:val="000000"/>
          <w:sz w:val="20"/>
        </w:rPr>
        <w:t>the Release Conditions have been satisfied.</w:t>
      </w:r>
      <w:r>
        <w:rPr>
          <w:color w:val="000000"/>
        </w:rPr>
        <w:t xml:space="preserve"> </w:t>
      </w:r>
      <w:r>
        <w:rPr>
          <w:rFonts w:ascii="Times New Roman;sans-serif" w:hAnsi="Times New Roman;sans-serif"/>
          <w:b w:val="false"/>
          <w:color w:val="000000"/>
          <w:sz w:val="20"/>
        </w:rPr>
        <w:t>For the avoidance of doubt, in the event that a Change in Control occurs within three (3) months following a Qualifying Termination, then, provided that such Qualifying Termination followed a Potential Change in Control, then in addition to any prior payments under Section 2(a), Executive shall receive an additional payment in order to provide the benefits described in this Section 3(a).</w:t>
      </w:r>
    </w:p>
    <w:p>
      <w:pPr>
        <w:pStyle w:val="TextBody"/>
        <w:bidi w:val="0"/>
        <w:spacing w:lineRule="auto" w:line="288" w:before="0" w:after="240"/>
        <w:ind w:left="0" w:right="0" w:firstLine="720"/>
        <w:jc w:val="both"/>
        <w:rPr/>
      </w:pPr>
      <w:r>
        <w:rPr>
          <w:rFonts w:ascii="Times New Roman;sans-serif" w:hAnsi="Times New Roman;sans-serif"/>
          <w:b/>
          <w:color w:val="010000"/>
          <w:sz w:val="20"/>
        </w:rPr>
        <w:t>(b)</w:t>
      </w:r>
      <w:r>
        <w:rPr>
          <w:rFonts w:ascii="Times New Roman;sans-serif" w:hAnsi="Times New Roman;sans-serif"/>
          <w:b/>
          <w:color w:val="000000"/>
          <w:sz w:val="20"/>
        </w:rPr>
        <w:t xml:space="preserve">Equity. </w:t>
      </w:r>
      <w:r>
        <w:rPr>
          <w:rFonts w:ascii="Times New Roman;sans-serif" w:hAnsi="Times New Roman;sans-serif"/>
          <w:b w:val="false"/>
          <w:color w:val="000000"/>
          <w:sz w:val="20"/>
        </w:rPr>
        <w:t xml:space="preserve">Each of Executive’s then outstanding Equity Awards, other than awards that vest on the satisfaction of performance criteria, shall accelerate and become vested and exercisable as to 100% of the total shares underlying such Equity Awards. As to outstanding Equity Awards that would vest only upon satisfaction of performance criteria, such awards shall accelerate and become vested and exercisable as if such awards had been achieved at the greater of (x) actual achievement (if measurable on the date of Executive’s Separation) or (y) target levels; provided, however, that the Company may specify, in any individual Equity Award agreement, that the acceleration provisions of such award agreement shall specifically overwrite the acceleration provisions set forth herein. Subject to Section 4, the accelerated vesting described above shall be effective as of the Separation. For the avoidance of doubt, in order to give effect to the acceleration contemplated by this Section 3(b), each of Executive’s outstanding Equity Awards shall remain outstanding and eligible for the vesting acceleration contemplated by this Section 3(b) for a period of three (3) months following a Qualifying Termination. </w:t>
      </w:r>
    </w:p>
    <w:p>
      <w:pPr>
        <w:pStyle w:val="TextBody"/>
        <w:bidi w:val="0"/>
        <w:spacing w:lineRule="auto" w:line="288" w:before="0" w:after="240"/>
        <w:ind w:left="0" w:right="0" w:firstLine="720"/>
        <w:jc w:val="both"/>
        <w:rPr/>
      </w:pPr>
      <w:r>
        <w:rPr>
          <w:rFonts w:ascii="Times New Roman;sans-serif" w:hAnsi="Times New Roman;sans-serif"/>
          <w:b/>
          <w:color w:val="010000"/>
          <w:sz w:val="20"/>
        </w:rPr>
        <w:t>(c)</w:t>
      </w:r>
      <w:r>
        <w:rPr>
          <w:rFonts w:ascii="Times New Roman;sans-serif" w:hAnsi="Times New Roman;sans-serif"/>
          <w:b/>
          <w:color w:val="000000"/>
          <w:sz w:val="20"/>
        </w:rPr>
        <w:t>COBRA; Pay in Lieu of Continued Employee Benefits.</w:t>
      </w:r>
      <w:r>
        <w:rPr>
          <w:color w:val="000000"/>
        </w:rPr>
        <w:t xml:space="preserve"> </w:t>
      </w:r>
      <w:r>
        <w:rPr>
          <w:rFonts w:ascii="Times New Roman;sans-serif" w:hAnsi="Times New Roman;sans-serif"/>
          <w:b w:val="false"/>
          <w:color w:val="000000"/>
          <w:sz w:val="20"/>
        </w:rPr>
        <w:t>Continuation of COBRA or a cash benefit, in both cases on the same terms as set forth in Section 2(b) above, for a period of twelve (12) months following the Executive’s Separation or, if earlier, until Executive is eligible to be covered under another substantially equivalent medical insurance plan by a subsequent employer.</w:t>
      </w:r>
    </w:p>
    <w:p>
      <w:pPr>
        <w:pStyle w:val="TextBody"/>
        <w:bidi w:val="0"/>
        <w:spacing w:lineRule="auto" w:line="288" w:before="0" w:after="240"/>
        <w:jc w:val="both"/>
        <w:rPr/>
      </w:pPr>
      <w:r>
        <w:rPr>
          <w:rFonts w:ascii="Times New Roman;sans-serif" w:hAnsi="Times New Roman;sans-serif"/>
          <w:b/>
          <w:color w:val="010000"/>
          <w:sz w:val="20"/>
        </w:rPr>
        <w:t>4.</w:t>
      </w:r>
      <w:r>
        <w:rPr>
          <w:rFonts w:ascii="Times New Roman;sans-serif" w:hAnsi="Times New Roman;sans-serif"/>
          <w:b/>
          <w:color w:val="000000"/>
          <w:sz w:val="20"/>
        </w:rPr>
        <w:t>General Release.</w:t>
      </w:r>
      <w:r>
        <w:rPr>
          <w:color w:val="000000"/>
        </w:rPr>
        <w:t xml:space="preserve"> </w:t>
      </w:r>
      <w:r>
        <w:rPr>
          <w:rFonts w:ascii="Times New Roman;sans-serif" w:hAnsi="Times New Roman;sans-serif"/>
          <w:b w:val="false"/>
          <w:color w:val="000000"/>
          <w:sz w:val="20"/>
        </w:rPr>
        <w:t>Any other provision of this Agreement notwithstanding, the benefits under Section 2 and 3 shall not apply unless the Executive (i) has executed a general release of all known and unknown claims that he or she may then have against the Company or persons affiliated with the Company and such release has become effective and (ii) has agreed not to prosecute any legal action or other proceeding based upon any of such claims. The release must be in the form prescribed by the Company, without alterations (this document effecting the foregoing, the “</w:t>
      </w:r>
      <w:r>
        <w:rPr>
          <w:rFonts w:ascii="Times New Roman;sans-serif" w:hAnsi="Times New Roman;sans-serif"/>
          <w:b/>
          <w:color w:val="000000"/>
          <w:sz w:val="20"/>
        </w:rPr>
        <w:t>Release</w:t>
      </w:r>
      <w:r>
        <w:rPr>
          <w:color w:val="000000"/>
        </w:rPr>
        <w:t>”</w:t>
      </w:r>
      <w:r>
        <w:rPr>
          <w:rFonts w:ascii="Times New Roman;sans-serif" w:hAnsi="Times New Roman;sans-serif"/>
          <w:b w:val="false"/>
          <w:color w:val="000000"/>
          <w:sz w:val="20"/>
        </w:rPr>
        <w:t>). The Company will deliver the form of Release to the Executive within thirty (30) days after the Executive’s Separation. The Executive must execute and return the Release within the time period specified in the form and in any event no later than sixty (60) days following the date of Executive’s Separation.</w:t>
      </w:r>
    </w:p>
    <w:p>
      <w:pPr>
        <w:pStyle w:val="TextBody"/>
        <w:bidi w:val="0"/>
        <w:spacing w:lineRule="auto" w:line="288" w:before="0" w:after="240"/>
        <w:jc w:val="both"/>
        <w:rPr/>
      </w:pPr>
      <w:r>
        <w:rPr>
          <w:rFonts w:ascii="Times New Roman;sans-serif" w:hAnsi="Times New Roman;sans-serif"/>
          <w:b/>
          <w:color w:val="010000"/>
          <w:sz w:val="20"/>
        </w:rPr>
        <w:t>5.</w:t>
      </w:r>
      <w:r>
        <w:rPr>
          <w:rFonts w:ascii="Times New Roman;sans-serif" w:hAnsi="Times New Roman;sans-serif"/>
          <w:b/>
          <w:color w:val="000000"/>
          <w:sz w:val="20"/>
        </w:rPr>
        <w:t>Accrued Compensation and Benefits.</w:t>
      </w:r>
      <w:r>
        <w:rPr>
          <w:color w:val="000000"/>
        </w:rPr>
        <w:t xml:space="preserve"> </w:t>
      </w:r>
      <w:r>
        <w:rPr>
          <w:rFonts w:ascii="Times New Roman;sans-serif" w:hAnsi="Times New Roman;sans-serif"/>
          <w:b w:val="false"/>
          <w:color w:val="000000"/>
          <w:sz w:val="20"/>
        </w:rPr>
        <w:t>Notwithstanding anything to the contrary in Sections 2 and 3 above, in connection with any termination of employment (whether or not a Qualifying Termination or CIC Qualifying Termination), the Company shall pay Executive’s earned but unpaid base salary and other vested but unpaid cash entitlements for the period through and including the termination of employment, including unreimbursed documented business expenses incurred by Executive through and including the date of termination (collectively “</w:t>
      </w:r>
      <w:r>
        <w:rPr>
          <w:rFonts w:ascii="Times New Roman;sans-serif" w:hAnsi="Times New Roman;sans-serif"/>
          <w:b/>
          <w:color w:val="000000"/>
          <w:sz w:val="20"/>
        </w:rPr>
        <w:t>Accrued Compensation and Expenses</w:t>
      </w:r>
      <w:r>
        <w:rPr>
          <w:color w:val="000000"/>
        </w:rPr>
        <w:t>”</w:t>
      </w:r>
      <w:r>
        <w:rPr>
          <w:rFonts w:ascii="Times New Roman;sans-serif" w:hAnsi="Times New Roman;sans-serif"/>
          <w:b w:val="false"/>
          <w:color w:val="000000"/>
          <w:sz w:val="20"/>
        </w:rPr>
        <w:t>), as required by law and the applicable Company plan or policy. In addition, Executive shall be entitled to any other vested benefits earned by Executive for the period through and including the termination date of Executive’s employment under any other employee benefit plans and arrangements maintained by the Company, in accordance with the terms of such plans and arrangements, except as modified herein (collectively “</w:t>
      </w:r>
      <w:r>
        <w:rPr>
          <w:rFonts w:ascii="Times New Roman;sans-serif" w:hAnsi="Times New Roman;sans-serif"/>
          <w:b/>
          <w:color w:val="000000"/>
          <w:sz w:val="20"/>
        </w:rPr>
        <w:t>Accrued Benefits</w:t>
      </w:r>
      <w:r>
        <w:rPr>
          <w:color w:val="000000"/>
        </w:rPr>
        <w:t>”</w:t>
      </w:r>
      <w:r>
        <w:rPr>
          <w:rFonts w:ascii="Times New Roman;sans-serif" w:hAnsi="Times New Roman;sans-serif"/>
          <w:b w:val="false"/>
          <w:color w:val="000000"/>
          <w:sz w:val="20"/>
        </w:rPr>
        <w:t>). Any Accrued Compensation and Expenses to which the Executive is entitled shall be paid to the Executive in cash as soon as administratively practicable after the termination, and, in any event, no later than two and one-half (2-1/2) months after the end of the taxable year of the Executive in which the termination occurs. Any Accrued Benefits to which the Executive is entitled shall be paid to the Executive as provided in the relevant plans and arrangements.</w:t>
      </w:r>
    </w:p>
    <w:p>
      <w:pPr>
        <w:pStyle w:val="TextBody"/>
        <w:bidi w:val="0"/>
        <w:spacing w:lineRule="auto" w:line="288" w:before="0" w:after="240"/>
        <w:jc w:val="left"/>
        <w:rPr/>
      </w:pPr>
      <w:r>
        <w:rPr>
          <w:rFonts w:ascii="Times New Roman;sans-serif" w:hAnsi="Times New Roman;sans-serif"/>
          <w:b/>
          <w:color w:val="010000"/>
          <w:sz w:val="20"/>
        </w:rPr>
        <w:t>6.</w:t>
      </w:r>
      <w:r>
        <w:rPr>
          <w:rFonts w:ascii="Times New Roman;sans-serif" w:hAnsi="Times New Roman;sans-serif"/>
          <w:b/>
          <w:color w:val="000000"/>
          <w:sz w:val="20"/>
        </w:rPr>
        <w:t>Definitions.</w:t>
      </w:r>
    </w:p>
    <w:p>
      <w:pPr>
        <w:pStyle w:val="TextBody"/>
        <w:bidi w:val="0"/>
        <w:spacing w:lineRule="auto" w:line="288" w:before="0" w:after="240"/>
        <w:ind w:left="0" w:right="0" w:firstLine="720"/>
        <w:jc w:val="both"/>
        <w:rPr/>
      </w:pPr>
      <w:r>
        <w:rPr>
          <w:rFonts w:ascii="Times New Roman;sans-serif" w:hAnsi="Times New Roman;sans-serif"/>
          <w:b/>
          <w:color w:val="010000"/>
          <w:sz w:val="20"/>
        </w:rPr>
        <w:t>(a)</w:t>
      </w:r>
      <w:r>
        <w:rPr>
          <w:rFonts w:ascii="Times New Roman;sans-serif" w:hAnsi="Times New Roman;sans-serif"/>
          <w:b w:val="false"/>
          <w:color w:val="000000"/>
          <w:sz w:val="20"/>
        </w:rPr>
        <w:t>The term “</w:t>
      </w:r>
      <w:r>
        <w:rPr>
          <w:rFonts w:ascii="Times New Roman;sans-serif" w:hAnsi="Times New Roman;sans-serif"/>
          <w:b/>
          <w:color w:val="000000"/>
          <w:sz w:val="20"/>
        </w:rPr>
        <w:t>Cause</w:t>
      </w:r>
      <w:r>
        <w:rPr>
          <w:color w:val="000000"/>
        </w:rPr>
        <w:t xml:space="preserve">” </w:t>
      </w:r>
      <w:r>
        <w:rPr>
          <w:rFonts w:ascii="Times New Roman;sans-serif" w:hAnsi="Times New Roman;sans-serif"/>
          <w:b w:val="false"/>
          <w:color w:val="000000"/>
          <w:sz w:val="20"/>
        </w:rPr>
        <w:t>means the occurrence of any of the following events, as reasonably determined by the Company:</w:t>
      </w:r>
    </w:p>
    <w:p>
      <w:pPr>
        <w:pStyle w:val="TextBody"/>
        <w:bidi w:val="0"/>
        <w:spacing w:before="0" w:after="240"/>
        <w:jc w:val="center"/>
        <w:rPr/>
      </w:pPr>
      <w:r>
        <w:rPr/>
      </w:r>
      <w:r>
        <mc:AlternateContent>
          <mc:Choice Requires="wps">
            <w:drawing>
              <wp:anchor behindDoc="0" distT="0" distB="0" distL="0" distR="0" simplePos="0" locked="0" layoutInCell="1" allowOverlap="1" relativeHeight="99">
                <wp:simplePos x="0" y="0"/>
                <wp:positionH relativeFrom="character">
                  <wp:align>left</wp:align>
                </wp:positionH>
                <wp:positionV relativeFrom="line">
                  <wp:posOffset>635</wp:posOffset>
                </wp:positionV>
                <wp:extent cx="6480175" cy="175260"/>
                <wp:effectExtent l="0" t="0" r="0" b="0"/>
                <wp:wrapNone/>
                <wp:docPr id="98" name="Frame9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ind w:left="0" w:right="0" w:firstLine="1251"/>
        <w:jc w:val="both"/>
        <w:rPr/>
      </w:pPr>
      <w:r>
        <w:rPr>
          <w:rFonts w:ascii="Times New Roman;sans-serif" w:hAnsi="Times New Roman;sans-serif"/>
          <w:b w:val="false"/>
          <w:color w:val="010000"/>
          <w:sz w:val="20"/>
        </w:rPr>
        <w:t>(i)</w:t>
      </w:r>
      <w:r>
        <w:rPr>
          <w:rFonts w:ascii="Times New Roman;sans-serif" w:hAnsi="Times New Roman;sans-serif"/>
          <w:b w:val="false"/>
          <w:color w:val="000000"/>
          <w:sz w:val="20"/>
        </w:rPr>
        <w:t>any willful and material violation by Executive of any law or regulation applicable to the business of the Company or a parent or subsidiary of the Company;</w:t>
      </w:r>
    </w:p>
    <w:p>
      <w:pPr>
        <w:pStyle w:val="TextBody"/>
        <w:bidi w:val="0"/>
        <w:spacing w:lineRule="auto" w:line="288" w:before="0" w:after="240"/>
        <w:ind w:left="0" w:right="0" w:firstLine="1196"/>
        <w:jc w:val="both"/>
        <w:rPr/>
      </w:pPr>
      <w:r>
        <w:rPr>
          <w:rFonts w:ascii="Times New Roman;sans-serif" w:hAnsi="Times New Roman;sans-serif"/>
          <w:b w:val="false"/>
          <w:color w:val="010000"/>
          <w:sz w:val="20"/>
        </w:rPr>
        <w:t>(ii)</w:t>
      </w:r>
      <w:r>
        <w:rPr>
          <w:rFonts w:ascii="Times New Roman;sans-serif" w:hAnsi="Times New Roman;sans-serif"/>
          <w:b w:val="false"/>
          <w:color w:val="000000"/>
          <w:sz w:val="20"/>
        </w:rPr>
        <w:t>Executive’s conviction for, or guilty plea to, a felony or a crime involving moral turpitude or any willful perpetration by Executive of a common law fraud;</w:t>
      </w:r>
    </w:p>
    <w:p>
      <w:pPr>
        <w:pStyle w:val="TextBody"/>
        <w:bidi w:val="0"/>
        <w:spacing w:lineRule="auto" w:line="288" w:before="0" w:after="240"/>
        <w:ind w:left="0" w:right="0" w:firstLine="1141"/>
        <w:jc w:val="both"/>
        <w:rPr/>
      </w:pPr>
      <w:r>
        <w:rPr>
          <w:rFonts w:ascii="Times New Roman;sans-serif" w:hAnsi="Times New Roman;sans-serif"/>
          <w:b w:val="false"/>
          <w:color w:val="010000"/>
          <w:sz w:val="20"/>
        </w:rPr>
        <w:t>(iii)</w:t>
      </w:r>
      <w:r>
        <w:rPr>
          <w:rFonts w:ascii="Times New Roman;sans-serif" w:hAnsi="Times New Roman;sans-serif"/>
          <w:b w:val="false"/>
          <w:color w:val="000000"/>
          <w:sz w:val="20"/>
        </w:rPr>
        <w:t>Executive’s commission of an act of personal dishonesty which involves personal profit in connection with the Company or any other entity having a business relationship with the Company;</w:t>
      </w:r>
    </w:p>
    <w:p>
      <w:pPr>
        <w:pStyle w:val="TextBody"/>
        <w:bidi w:val="0"/>
        <w:spacing w:lineRule="auto" w:line="288" w:before="0" w:after="240"/>
        <w:ind w:left="0" w:right="0" w:firstLine="1151"/>
        <w:jc w:val="both"/>
        <w:rPr/>
      </w:pPr>
      <w:r>
        <w:rPr>
          <w:rFonts w:ascii="Times New Roman;sans-serif" w:hAnsi="Times New Roman;sans-serif"/>
          <w:b w:val="false"/>
          <w:color w:val="010000"/>
          <w:sz w:val="20"/>
        </w:rPr>
        <w:t>(iv)</w:t>
      </w:r>
      <w:r>
        <w:rPr>
          <w:rFonts w:ascii="Times New Roman;sans-serif" w:hAnsi="Times New Roman;sans-serif"/>
          <w:b w:val="false"/>
          <w:color w:val="000000"/>
          <w:sz w:val="20"/>
        </w:rPr>
        <w:t>any material breach by Executive of any provision of any agreement or understanding between the Company or any parent or subsidiary of the Company and Executive regarding the terms of Executive’s service as an employee to the Company or a parent or subsidiary of the Company, or any breach of any applicable invention assignment and confidentiality agreement or similar agreement between Executive and the Company;</w:t>
      </w:r>
    </w:p>
    <w:p>
      <w:pPr>
        <w:pStyle w:val="TextBody"/>
        <w:bidi w:val="0"/>
        <w:spacing w:lineRule="auto" w:line="288" w:before="0" w:after="240"/>
        <w:ind w:left="0" w:right="0" w:firstLine="1207"/>
        <w:jc w:val="both"/>
        <w:rPr/>
      </w:pPr>
      <w:r>
        <w:rPr>
          <w:rFonts w:ascii="Times New Roman;sans-serif" w:hAnsi="Times New Roman;sans-serif"/>
          <w:b w:val="false"/>
          <w:color w:val="010000"/>
          <w:sz w:val="20"/>
        </w:rPr>
        <w:t>(v)</w:t>
      </w:r>
      <w:r>
        <w:rPr>
          <w:rFonts w:ascii="Times New Roman;sans-serif" w:hAnsi="Times New Roman;sans-serif"/>
          <w:b w:val="false"/>
          <w:color w:val="000000"/>
          <w:sz w:val="20"/>
        </w:rPr>
        <w:t xml:space="preserve">Executive’s disregard of the policies or regulations of the Company or any parent or subsidiary of the Company so as to cause material loss, damage or injury to the property, reputation or employees of the Company or a parent or subsidiary of the Company; </w:t>
      </w:r>
    </w:p>
    <w:p>
      <w:pPr>
        <w:pStyle w:val="TextBody"/>
        <w:bidi w:val="0"/>
        <w:spacing w:lineRule="auto" w:line="288" w:before="0" w:after="240"/>
        <w:ind w:left="0" w:right="0" w:firstLine="1151"/>
        <w:jc w:val="both"/>
        <w:rPr/>
      </w:pPr>
      <w:r>
        <w:rPr>
          <w:rFonts w:ascii="Times New Roman;sans-serif" w:hAnsi="Times New Roman;sans-serif"/>
          <w:b w:val="false"/>
          <w:color w:val="010000"/>
          <w:sz w:val="20"/>
        </w:rPr>
        <w:t>(vi)</w:t>
      </w:r>
      <w:r>
        <w:rPr>
          <w:rFonts w:ascii="Times New Roman;sans-serif" w:hAnsi="Times New Roman;sans-serif"/>
          <w:b w:val="false"/>
          <w:color w:val="000000"/>
          <w:sz w:val="20"/>
        </w:rPr>
        <w:t>Executive’s failure to cooperate in good faith with a governmental or internal investigation of the Company or its directors, officers or employees, if the Company has requested Executive’s assistance; or</w:t>
      </w:r>
    </w:p>
    <w:p>
      <w:pPr>
        <w:pStyle w:val="TextBody"/>
        <w:bidi w:val="0"/>
        <w:spacing w:lineRule="auto" w:line="288" w:before="0" w:after="240"/>
        <w:ind w:left="0" w:right="0" w:firstLine="1096"/>
        <w:jc w:val="both"/>
        <w:rPr/>
      </w:pPr>
      <w:r>
        <w:rPr>
          <w:rFonts w:ascii="Times New Roman;sans-serif" w:hAnsi="Times New Roman;sans-serif"/>
          <w:b w:val="false"/>
          <w:color w:val="010000"/>
          <w:sz w:val="20"/>
        </w:rPr>
        <w:t>(vii)</w:t>
      </w:r>
      <w:r>
        <w:rPr>
          <w:rFonts w:ascii="Times New Roman;sans-serif" w:hAnsi="Times New Roman;sans-serif"/>
          <w:b w:val="false"/>
          <w:color w:val="000000"/>
          <w:sz w:val="20"/>
        </w:rPr>
        <w:t>Executive’s willful and continuing failure to perform assigned duties after receiving written notification of the failure from the Company’s Board of Directors.</w:t>
      </w:r>
      <w:r>
        <w:rPr>
          <w:color w:val="000000"/>
        </w:rPr>
        <w:t xml:space="preserve"> </w:t>
      </w:r>
    </w:p>
    <w:p>
      <w:pPr>
        <w:pStyle w:val="TextBody"/>
        <w:bidi w:val="0"/>
        <w:spacing w:lineRule="auto" w:line="288" w:before="0" w:after="240"/>
        <w:ind w:left="0" w:right="0" w:firstLine="720"/>
        <w:jc w:val="both"/>
        <w:rPr/>
      </w:pPr>
      <w:r>
        <w:rPr>
          <w:color w:val="000000"/>
        </w:rPr>
        <w:t>◦</w:t>
      </w:r>
      <w:r>
        <w:rPr>
          <w:rFonts w:ascii="Times New Roman;sans-serif" w:hAnsi="Times New Roman;sans-serif"/>
          <w:b w:val="false"/>
          <w:color w:val="000000"/>
          <w:sz w:val="20"/>
          <w:u w:val="single"/>
        </w:rPr>
        <w:t>provided</w:t>
      </w:r>
      <w:r>
        <w:rPr>
          <w:color w:val="000000"/>
        </w:rPr>
        <w:t xml:space="preserve"> </w:t>
      </w:r>
      <w:r>
        <w:rPr>
          <w:rFonts w:ascii="Times New Roman;sans-serif" w:hAnsi="Times New Roman;sans-serif"/>
          <w:b w:val="false"/>
          <w:color w:val="000000"/>
          <w:sz w:val="20"/>
        </w:rPr>
        <w:t xml:space="preserve">that the Company shall provide Executive with a written notice of the basis for a finding of Cause once known. Upon receiving such notice, Executive shall have a period of thirty (30) days to cure such Cause (if a cure is possible) to the satisfaction of the Company. </w:t>
      </w:r>
    </w:p>
    <w:p>
      <w:pPr>
        <w:pStyle w:val="TextBody"/>
        <w:bidi w:val="0"/>
        <w:spacing w:lineRule="auto" w:line="288" w:before="0" w:after="240"/>
        <w:ind w:left="0" w:right="0" w:firstLine="720"/>
        <w:jc w:val="both"/>
        <w:rPr/>
      </w:pPr>
      <w:r>
        <w:rPr>
          <w:rFonts w:ascii="Times New Roman;sans-serif" w:hAnsi="Times New Roman;sans-serif"/>
          <w:b/>
          <w:color w:val="010000"/>
          <w:sz w:val="20"/>
        </w:rPr>
        <w:t>(b)</w:t>
      </w:r>
      <w:r>
        <w:rPr>
          <w:color w:val="000000"/>
        </w:rPr>
        <w:t>“</w:t>
      </w:r>
      <w:r>
        <w:rPr>
          <w:rFonts w:ascii="Times New Roman;sans-serif" w:hAnsi="Times New Roman;sans-serif"/>
          <w:b/>
          <w:color w:val="000000"/>
          <w:sz w:val="20"/>
        </w:rPr>
        <w:t>Code</w:t>
      </w:r>
      <w:r>
        <w:rPr>
          <w:color w:val="000000"/>
        </w:rPr>
        <w:t xml:space="preserve">” </w:t>
      </w:r>
      <w:r>
        <w:rPr>
          <w:rFonts w:ascii="Times New Roman;sans-serif" w:hAnsi="Times New Roman;sans-serif"/>
          <w:b w:val="false"/>
          <w:color w:val="000000"/>
          <w:sz w:val="20"/>
        </w:rPr>
        <w:t>means the Internal Revenue Code of 1986, as amended.</w:t>
      </w:r>
    </w:p>
    <w:p>
      <w:pPr>
        <w:pStyle w:val="TextBody"/>
        <w:bidi w:val="0"/>
        <w:spacing w:lineRule="auto" w:line="288" w:before="0" w:after="240"/>
        <w:ind w:left="0" w:right="0" w:firstLine="720"/>
        <w:jc w:val="both"/>
        <w:rPr/>
      </w:pPr>
      <w:r>
        <w:rPr>
          <w:rFonts w:ascii="Times New Roman;sans-serif" w:hAnsi="Times New Roman;sans-serif"/>
          <w:b/>
          <w:color w:val="010000"/>
          <w:sz w:val="20"/>
        </w:rPr>
        <w:t>(c)</w:t>
      </w:r>
      <w:r>
        <w:rPr>
          <w:color w:val="000000"/>
        </w:rPr>
        <w:t>“</w:t>
      </w:r>
      <w:r>
        <w:rPr>
          <w:rFonts w:ascii="Times New Roman;sans-serif" w:hAnsi="Times New Roman;sans-serif"/>
          <w:b/>
          <w:color w:val="000000"/>
          <w:sz w:val="20"/>
        </w:rPr>
        <w:t>Change in Control</w:t>
      </w:r>
      <w:r>
        <w:rPr>
          <w:rFonts w:ascii="Times New Roman;sans-serif" w:hAnsi="Times New Roman;sans-serif"/>
          <w:b w:val="false"/>
          <w:color w:val="000000"/>
          <w:sz w:val="20"/>
        </w:rPr>
        <w:t xml:space="preserve">.” For all purposes under this Agreement, a Change in Control shall mean a “Corporate Transaction,” as such term is defined in the Plan, </w:t>
      </w:r>
      <w:r>
        <w:rPr>
          <w:rFonts w:ascii="Times New Roman;sans-serif" w:hAnsi="Times New Roman;sans-serif"/>
          <w:b w:val="false"/>
          <w:i/>
          <w:color w:val="000000"/>
          <w:sz w:val="20"/>
        </w:rPr>
        <w:t>provided that</w:t>
      </w:r>
      <w:r>
        <w:rPr>
          <w:color w:val="000000"/>
        </w:rPr>
        <w:t xml:space="preserve"> </w:t>
      </w:r>
      <w:r>
        <w:rPr>
          <w:rFonts w:ascii="Times New Roman;sans-serif" w:hAnsi="Times New Roman;sans-serif"/>
          <w:b w:val="false"/>
          <w:color w:val="000000"/>
          <w:sz w:val="20"/>
        </w:rPr>
        <w:t>the transaction (including any series of transactions) also qualifies as a change in control event under U.S. Treasury Regulation 1.409A-3(i)(5)(v) or (vii).</w:t>
      </w:r>
    </w:p>
    <w:p>
      <w:pPr>
        <w:pStyle w:val="TextBody"/>
        <w:bidi w:val="0"/>
        <w:spacing w:lineRule="auto" w:line="288" w:before="0" w:after="240"/>
        <w:ind w:left="0" w:right="0" w:firstLine="720"/>
        <w:jc w:val="both"/>
        <w:rPr/>
      </w:pPr>
      <w:r>
        <w:rPr>
          <w:rFonts w:ascii="Times New Roman;sans-serif" w:hAnsi="Times New Roman;sans-serif"/>
          <w:b/>
          <w:color w:val="010000"/>
          <w:sz w:val="20"/>
        </w:rPr>
        <w:t>(d)</w:t>
      </w:r>
      <w:r>
        <w:rPr>
          <w:color w:val="000000"/>
        </w:rPr>
        <w:t>“</w:t>
      </w:r>
      <w:r>
        <w:rPr>
          <w:rFonts w:ascii="Times New Roman;sans-serif" w:hAnsi="Times New Roman;sans-serif"/>
          <w:b/>
          <w:color w:val="000000"/>
          <w:sz w:val="20"/>
        </w:rPr>
        <w:t>CIC Qualifying Termination”</w:t>
      </w:r>
      <w:r>
        <w:rPr>
          <w:color w:val="000000"/>
        </w:rPr>
        <w:t xml:space="preserve"> </w:t>
      </w:r>
      <w:r>
        <w:rPr>
          <w:rFonts w:ascii="Times New Roman;sans-serif" w:hAnsi="Times New Roman;sans-serif"/>
          <w:b w:val="false"/>
          <w:color w:val="000000"/>
          <w:sz w:val="20"/>
        </w:rPr>
        <w:t>means a Separation (A) within twelve (12) months following a Change in Control or (B) within three (3) months preceding a Change in Control (but as to part (B), only if the Separation occurs after a Potential Change in Control) resulting, in either case (A) or (B), from (i) the Company terminating the Executive’s employment for any reason other than Cause or (ii) the Executive voluntarily resigning his or her employment for Good Reason. A termination or resignation due to the Executive’s death or disability shall not constitute a CIC Qualifying Termination. A “</w:t>
      </w:r>
      <w:r>
        <w:rPr>
          <w:rFonts w:ascii="Times New Roman;sans-serif" w:hAnsi="Times New Roman;sans-serif"/>
          <w:b/>
          <w:color w:val="000000"/>
          <w:sz w:val="20"/>
        </w:rPr>
        <w:t>Potential Change in Control</w:t>
      </w:r>
      <w:r>
        <w:rPr>
          <w:color w:val="000000"/>
        </w:rPr>
        <w:t xml:space="preserve">” </w:t>
      </w:r>
      <w:r>
        <w:rPr>
          <w:rFonts w:ascii="Times New Roman;sans-serif" w:hAnsi="Times New Roman;sans-serif"/>
          <w:b w:val="false"/>
          <w:color w:val="000000"/>
          <w:sz w:val="20"/>
        </w:rPr>
        <w:t>means the date of execution of a legally binding and definitive agreement for a corporate transaction which, if consummated, would constitute the applicable Change in Control (which for the avoidance of doubt, would include a merger agreement, but not a term sheet for a merger agreement). In the case of a termination following a Potential Change in Control and before a Change in Control, solely for purposes of benefits under this Agreement, the date of Separation will be deemed the date the Change in Control is consummated.</w:t>
      </w:r>
    </w:p>
    <w:p>
      <w:pPr>
        <w:pStyle w:val="TextBody"/>
        <w:bidi w:val="0"/>
        <w:spacing w:lineRule="auto" w:line="288" w:before="0" w:after="240"/>
        <w:ind w:left="0" w:right="0" w:firstLine="720"/>
        <w:jc w:val="both"/>
        <w:rPr/>
      </w:pPr>
      <w:r>
        <w:rPr>
          <w:rFonts w:ascii="Times New Roman;sans-serif" w:hAnsi="Times New Roman;sans-serif"/>
          <w:b/>
          <w:color w:val="010000"/>
          <w:sz w:val="20"/>
        </w:rPr>
        <w:t>(e)</w:t>
      </w:r>
      <w:r>
        <w:rPr>
          <w:color w:val="000000"/>
        </w:rPr>
        <w:t>“</w:t>
      </w:r>
      <w:r>
        <w:rPr>
          <w:rFonts w:ascii="Times New Roman;sans-serif" w:hAnsi="Times New Roman;sans-serif"/>
          <w:b/>
          <w:color w:val="000000"/>
          <w:sz w:val="20"/>
        </w:rPr>
        <w:t>Equity Awards</w:t>
      </w:r>
      <w:r>
        <w:rPr>
          <w:color w:val="000000"/>
        </w:rPr>
        <w:t xml:space="preserve">” </w:t>
      </w:r>
      <w:r>
        <w:rPr>
          <w:rFonts w:ascii="Times New Roman;sans-serif" w:hAnsi="Times New Roman;sans-serif"/>
          <w:b w:val="false"/>
          <w:color w:val="000000"/>
          <w:sz w:val="20"/>
        </w:rPr>
        <w:t>means all options to purchase shares of common stock of Nextdoor Holdings, Inc., as well as all other stock-based awards granted to the Executive, including, but not limited to, stock bonus awards, restricted stock, restricted stock units and stock appreciation rights.</w:t>
      </w:r>
    </w:p>
    <w:p>
      <w:pPr>
        <w:pStyle w:val="TextBody"/>
        <w:bidi w:val="0"/>
        <w:spacing w:lineRule="auto" w:line="288" w:before="0" w:after="240"/>
        <w:ind w:left="0" w:right="0" w:firstLine="720"/>
        <w:jc w:val="both"/>
        <w:rPr/>
      </w:pPr>
      <w:r>
        <w:rPr>
          <w:rFonts w:ascii="Times New Roman;sans-serif" w:hAnsi="Times New Roman;sans-serif"/>
          <w:b/>
          <w:color w:val="010000"/>
          <w:sz w:val="20"/>
        </w:rPr>
        <w:t>(f)</w:t>
      </w:r>
      <w:r>
        <w:rPr>
          <w:color w:val="000000"/>
        </w:rPr>
        <w:t>“</w:t>
      </w:r>
      <w:r>
        <w:rPr>
          <w:rFonts w:ascii="Times New Roman;sans-serif" w:hAnsi="Times New Roman;sans-serif"/>
          <w:b/>
          <w:color w:val="000000"/>
          <w:sz w:val="20"/>
        </w:rPr>
        <w:t>Good Reason</w:t>
      </w:r>
      <w:r>
        <w:rPr>
          <w:color w:val="000000"/>
        </w:rPr>
        <w:t xml:space="preserve">” </w:t>
      </w:r>
      <w:r>
        <w:rPr>
          <w:rFonts w:ascii="Times New Roman;sans-serif" w:hAnsi="Times New Roman;sans-serif"/>
          <w:b w:val="false"/>
          <w:color w:val="000000"/>
          <w:sz w:val="20"/>
        </w:rPr>
        <w:t xml:space="preserve">means, without the Executive’s written consent and provided (a) the Company receives, within thirty (30) days following the occurrence of any of the events set forth in clauses (i) through (iii) below, written notice from Executive indicating the specific basis for Executive’s belief that Executive is entitled to </w:t>
      </w:r>
    </w:p>
    <w:p>
      <w:pPr>
        <w:pStyle w:val="TextBody"/>
        <w:bidi w:val="0"/>
        <w:spacing w:before="0" w:after="240"/>
        <w:jc w:val="center"/>
        <w:rPr/>
      </w:pPr>
      <w:r>
        <w:rPr/>
      </w:r>
      <w:r>
        <mc:AlternateContent>
          <mc:Choice Requires="wps">
            <w:drawing>
              <wp:anchor behindDoc="0" distT="0" distB="0" distL="0" distR="0" simplePos="0" locked="0" layoutInCell="1" allowOverlap="1" relativeHeight="100">
                <wp:simplePos x="0" y="0"/>
                <wp:positionH relativeFrom="character">
                  <wp:align>left</wp:align>
                </wp:positionH>
                <wp:positionV relativeFrom="line">
                  <wp:posOffset>635</wp:posOffset>
                </wp:positionV>
                <wp:extent cx="6480175" cy="175260"/>
                <wp:effectExtent l="0" t="0" r="0" b="0"/>
                <wp:wrapNone/>
                <wp:docPr id="99" name="Frame9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terminate employment for Good Reason, (b) the Company fails to cure the event constituting Good Reason within thirty (30) days after receipt of such written notice thereof, and (c) Executive terminates employment within ten (10) days following expiration of such cure period or receipt from the Company of notice that it will not seek to cure: (i) a material decrease in Executive’s annual base compensation, other than in connection with a general decrease applied to similarly-ranked executives of the Company; (ii) receipt of notice of any change in Executive’s principal worksite that results in Executive’s daily commute increasing by twenty-five (25) miles or more; or (iii) a material diminution in Executive’s authority, duties, or responsibilities (provided, however, that having a similar position, authority, duties or responsibilities after a Change in Control with respect to a division or line of business, rather than a substantially comparable position, authority, reporting structure, duties or responsibilities with respect to the Company’s successor or acquiror, as a whole, shall not alone be considered such a diminution and that a mere change in title, a change in the person or office to which you report shall not constitute “Good Reason”).</w:t>
      </w:r>
    </w:p>
    <w:p>
      <w:pPr>
        <w:pStyle w:val="TextBody"/>
        <w:bidi w:val="0"/>
        <w:spacing w:lineRule="auto" w:line="288" w:before="0" w:after="240"/>
        <w:ind w:left="0" w:right="0" w:firstLine="720"/>
        <w:jc w:val="both"/>
        <w:rPr/>
      </w:pPr>
      <w:r>
        <w:rPr>
          <w:rFonts w:ascii="Times New Roman;sans-serif" w:hAnsi="Times New Roman;sans-serif"/>
          <w:b/>
          <w:color w:val="010000"/>
          <w:sz w:val="20"/>
        </w:rPr>
        <w:t>(g)</w:t>
      </w:r>
      <w:r>
        <w:rPr>
          <w:color w:val="000000"/>
        </w:rPr>
        <w:t>“</w:t>
      </w:r>
      <w:r>
        <w:rPr>
          <w:rFonts w:ascii="Times New Roman;sans-serif" w:hAnsi="Times New Roman;sans-serif"/>
          <w:b/>
          <w:color w:val="000000"/>
          <w:sz w:val="20"/>
        </w:rPr>
        <w:t>Plan</w:t>
      </w:r>
      <w:r>
        <w:rPr>
          <w:color w:val="000000"/>
        </w:rPr>
        <w:t xml:space="preserve">” </w:t>
      </w:r>
      <w:r>
        <w:rPr>
          <w:rFonts w:ascii="Times New Roman;sans-serif" w:hAnsi="Times New Roman;sans-serif"/>
          <w:b w:val="false"/>
          <w:color w:val="000000"/>
          <w:sz w:val="20"/>
        </w:rPr>
        <w:t>means the Nextdoor Holdings, Inc. 2021 Equity Incentive Plan, as may be amended from time to time.</w:t>
      </w:r>
    </w:p>
    <w:p>
      <w:pPr>
        <w:pStyle w:val="TextBody"/>
        <w:bidi w:val="0"/>
        <w:spacing w:lineRule="auto" w:line="288" w:before="0" w:after="240"/>
        <w:ind w:left="0" w:right="0" w:firstLine="720"/>
        <w:jc w:val="both"/>
        <w:rPr/>
      </w:pPr>
      <w:r>
        <w:rPr>
          <w:rFonts w:ascii="Times New Roman;sans-serif" w:hAnsi="Times New Roman;sans-serif"/>
          <w:b/>
          <w:color w:val="010000"/>
          <w:sz w:val="20"/>
        </w:rPr>
        <w:t>(h)</w:t>
      </w:r>
      <w:r>
        <w:rPr>
          <w:color w:val="000000"/>
        </w:rPr>
        <w:t>“</w:t>
      </w:r>
      <w:r>
        <w:rPr>
          <w:rFonts w:ascii="Times New Roman;sans-serif" w:hAnsi="Times New Roman;sans-serif"/>
          <w:b/>
          <w:color w:val="000000"/>
          <w:sz w:val="20"/>
        </w:rPr>
        <w:t>Release Conditions</w:t>
      </w:r>
      <w:r>
        <w:rPr>
          <w:color w:val="000000"/>
        </w:rPr>
        <w:t xml:space="preserve">” </w:t>
      </w:r>
      <w:r>
        <w:rPr>
          <w:rFonts w:ascii="Times New Roman;sans-serif" w:hAnsi="Times New Roman;sans-serif"/>
          <w:b w:val="false"/>
          <w:color w:val="000000"/>
          <w:sz w:val="20"/>
        </w:rPr>
        <w:t>mean the following conditions: (i) Company has received the Executive’s executed Release and (ii) any rescission period applicable to the Executive’s executed Release has expired (without Executive having rescinded the executed Release).</w:t>
      </w:r>
    </w:p>
    <w:p>
      <w:pPr>
        <w:pStyle w:val="TextBody"/>
        <w:bidi w:val="0"/>
        <w:spacing w:lineRule="auto" w:line="288" w:before="0" w:after="240"/>
        <w:ind w:left="0" w:right="0" w:firstLine="720"/>
        <w:jc w:val="both"/>
        <w:rPr/>
      </w:pPr>
      <w:r>
        <w:rPr>
          <w:rFonts w:ascii="Times New Roman;sans-serif" w:hAnsi="Times New Roman;sans-serif"/>
          <w:b/>
          <w:color w:val="010000"/>
          <w:sz w:val="20"/>
        </w:rPr>
        <w:t>(i)</w:t>
      </w:r>
      <w:r>
        <w:rPr>
          <w:color w:val="000000"/>
        </w:rPr>
        <w:t>“</w:t>
      </w:r>
      <w:r>
        <w:rPr>
          <w:rFonts w:ascii="Times New Roman;sans-serif" w:hAnsi="Times New Roman;sans-serif"/>
          <w:b/>
          <w:color w:val="000000"/>
          <w:sz w:val="20"/>
        </w:rPr>
        <w:t>Qualifying Termination</w:t>
      </w:r>
      <w:r>
        <w:rPr>
          <w:color w:val="000000"/>
        </w:rPr>
        <w:t xml:space="preserve">” </w:t>
      </w:r>
      <w:r>
        <w:rPr>
          <w:rFonts w:ascii="Times New Roman;sans-serif" w:hAnsi="Times New Roman;sans-serif"/>
          <w:b w:val="false"/>
          <w:color w:val="000000"/>
          <w:sz w:val="20"/>
        </w:rPr>
        <w:t>means a Separation that is not a CIC Qualifying Termination, but which results from (i) the Company terminating the Executive’s employment for any reason other than Cause or (ii) the Executive voluntarily resigning his or her employment for Good Reason. A termination or resignation due to the Executive’s death or disability shall not constitute a Qualifying Termination.</w:t>
      </w:r>
    </w:p>
    <w:p>
      <w:pPr>
        <w:pStyle w:val="TextBody"/>
        <w:bidi w:val="0"/>
        <w:spacing w:lineRule="auto" w:line="288" w:before="0" w:after="240"/>
        <w:ind w:left="0" w:right="0" w:firstLine="720"/>
        <w:jc w:val="both"/>
        <w:rPr/>
      </w:pPr>
      <w:r>
        <w:rPr>
          <w:rFonts w:ascii="Times New Roman;sans-serif" w:hAnsi="Times New Roman;sans-serif"/>
          <w:b/>
          <w:color w:val="010000"/>
          <w:sz w:val="20"/>
        </w:rPr>
        <w:t>(j)</w:t>
      </w:r>
      <w:r>
        <w:rPr>
          <w:color w:val="000000"/>
        </w:rPr>
        <w:t>“</w:t>
      </w:r>
      <w:r>
        <w:rPr>
          <w:rFonts w:ascii="Times New Roman;sans-serif" w:hAnsi="Times New Roman;sans-serif"/>
          <w:b/>
          <w:color w:val="000000"/>
          <w:sz w:val="20"/>
        </w:rPr>
        <w:t>Separation</w:t>
      </w:r>
      <w:r>
        <w:rPr>
          <w:color w:val="000000"/>
        </w:rPr>
        <w:t xml:space="preserve">” </w:t>
      </w:r>
      <w:r>
        <w:rPr>
          <w:rFonts w:ascii="Times New Roman;sans-serif" w:hAnsi="Times New Roman;sans-serif"/>
          <w:b w:val="false"/>
          <w:color w:val="000000"/>
          <w:sz w:val="20"/>
        </w:rPr>
        <w:t>means a “separation from service,” as defined in the regulations under Section 409A of the Code.</w:t>
      </w:r>
    </w:p>
    <w:p>
      <w:pPr>
        <w:pStyle w:val="TextBody"/>
        <w:bidi w:val="0"/>
        <w:spacing w:lineRule="auto" w:line="288" w:before="0" w:after="240"/>
        <w:jc w:val="left"/>
        <w:rPr/>
      </w:pPr>
      <w:r>
        <w:rPr>
          <w:rFonts w:ascii="Times New Roman;sans-serif" w:hAnsi="Times New Roman;sans-serif"/>
          <w:b/>
          <w:color w:val="010000"/>
          <w:sz w:val="20"/>
        </w:rPr>
        <w:t>7.</w:t>
      </w:r>
      <w:r>
        <w:rPr>
          <w:rFonts w:ascii="Times New Roman;sans-serif" w:hAnsi="Times New Roman;sans-serif"/>
          <w:b/>
          <w:color w:val="000000"/>
          <w:sz w:val="20"/>
        </w:rPr>
        <w:t>Successors.</w:t>
      </w:r>
    </w:p>
    <w:p>
      <w:pPr>
        <w:pStyle w:val="TextBody"/>
        <w:bidi w:val="0"/>
        <w:spacing w:lineRule="auto" w:line="288" w:before="0" w:after="240"/>
        <w:ind w:left="0" w:right="0" w:firstLine="720"/>
        <w:jc w:val="both"/>
        <w:rPr/>
      </w:pPr>
      <w:r>
        <w:rPr>
          <w:rFonts w:ascii="Times New Roman;sans-serif" w:hAnsi="Times New Roman;sans-serif"/>
          <w:b/>
          <w:color w:val="010000"/>
          <w:sz w:val="20"/>
        </w:rPr>
        <w:t>(a)</w:t>
      </w:r>
      <w:r>
        <w:rPr>
          <w:rFonts w:ascii="Times New Roman;sans-serif" w:hAnsi="Times New Roman;sans-serif"/>
          <w:b/>
          <w:color w:val="000000"/>
          <w:sz w:val="20"/>
        </w:rPr>
        <w:t>Company’s Successors.</w:t>
      </w:r>
      <w:r>
        <w:rPr>
          <w:color w:val="000000"/>
        </w:rPr>
        <w:t xml:space="preserve"> </w:t>
      </w:r>
      <w:r>
        <w:rPr>
          <w:rFonts w:ascii="Times New Roman;sans-serif" w:hAnsi="Times New Roman;sans-serif"/>
          <w:b w:val="false"/>
          <w:color w:val="000000"/>
          <w:sz w:val="20"/>
        </w:rPr>
        <w:t>The Company shall require any successor (whether direct or indirect and whether by purchase, lease, merger, consolidation, liquidation or otherwise) to all or substantially all of the Company’s business and/or assets, by an agreement in substance and form satisfactory to the Executive, to assume this Agreement and to agree expressly to perform this Agreement in the same manner and to the same extent as the Company would be required to perform it in the absence of a succession. For all purposes under this Agreement, the term “Company” shall include any successor to the Company’s business and/or assets or which becomes bound by this Agreement by operation of law.</w:t>
      </w:r>
    </w:p>
    <w:p>
      <w:pPr>
        <w:pStyle w:val="TextBody"/>
        <w:bidi w:val="0"/>
        <w:spacing w:lineRule="auto" w:line="288" w:before="0" w:after="240"/>
        <w:ind w:left="0" w:right="0" w:firstLine="720"/>
        <w:jc w:val="both"/>
        <w:rPr/>
      </w:pPr>
      <w:r>
        <w:rPr>
          <w:rFonts w:ascii="Times New Roman;sans-serif" w:hAnsi="Times New Roman;sans-serif"/>
          <w:b/>
          <w:color w:val="010000"/>
          <w:sz w:val="20"/>
        </w:rPr>
        <w:t>(b)</w:t>
      </w:r>
      <w:r>
        <w:rPr>
          <w:rFonts w:ascii="Times New Roman;sans-serif" w:hAnsi="Times New Roman;sans-serif"/>
          <w:b/>
          <w:color w:val="000000"/>
          <w:sz w:val="20"/>
        </w:rPr>
        <w:t>Executive’s Successors.</w:t>
      </w:r>
      <w:r>
        <w:rPr>
          <w:color w:val="000000"/>
        </w:rPr>
        <w:t xml:space="preserve"> </w:t>
      </w:r>
      <w:r>
        <w:rPr>
          <w:rFonts w:ascii="Times New Roman;sans-serif" w:hAnsi="Times New Roman;sans-serif"/>
          <w:b w:val="false"/>
          <w:color w:val="000000"/>
          <w:sz w:val="20"/>
        </w:rPr>
        <w:t>This Agreement and all rights of the Executive hereunder shall inure to the benefit of, and be enforceable by, the Executive’s personal or legal representatives, executors, administrators, successors, heirs, distributees, devisees and legatees.</w:t>
      </w:r>
    </w:p>
    <w:p>
      <w:pPr>
        <w:pStyle w:val="TextBody"/>
        <w:bidi w:val="0"/>
        <w:spacing w:lineRule="auto" w:line="288" w:before="0" w:after="240"/>
        <w:jc w:val="left"/>
        <w:rPr/>
      </w:pPr>
      <w:r>
        <w:rPr>
          <w:rFonts w:ascii="Times New Roman;sans-serif" w:hAnsi="Times New Roman;sans-serif"/>
          <w:b/>
          <w:color w:val="010000"/>
          <w:sz w:val="20"/>
        </w:rPr>
        <w:t>8.</w:t>
      </w:r>
      <w:r>
        <w:rPr>
          <w:rFonts w:ascii="Times New Roman;sans-serif" w:hAnsi="Times New Roman;sans-serif"/>
          <w:b/>
          <w:color w:val="000000"/>
          <w:sz w:val="20"/>
        </w:rPr>
        <w:t>Golden Parachute Taxes.</w:t>
      </w:r>
    </w:p>
    <w:p>
      <w:pPr>
        <w:pStyle w:val="TextBody"/>
        <w:bidi w:val="0"/>
        <w:spacing w:lineRule="auto" w:line="288" w:before="0" w:after="240"/>
        <w:ind w:left="0" w:right="0" w:firstLine="720"/>
        <w:jc w:val="both"/>
        <w:rPr/>
      </w:pPr>
      <w:r>
        <w:rPr>
          <w:rFonts w:ascii="Times New Roman;sans-serif" w:hAnsi="Times New Roman;sans-serif"/>
          <w:b/>
          <w:color w:val="010000"/>
          <w:sz w:val="20"/>
        </w:rPr>
        <w:t>(a)</w:t>
      </w:r>
      <w:r>
        <w:rPr>
          <w:rFonts w:ascii="Times New Roman;sans-serif" w:hAnsi="Times New Roman;sans-serif"/>
          <w:b/>
          <w:color w:val="000000"/>
          <w:sz w:val="20"/>
        </w:rPr>
        <w:t>Best After-Tax Result.</w:t>
      </w:r>
      <w:r>
        <w:rPr>
          <w:color w:val="000000"/>
        </w:rPr>
        <w:t xml:space="preserve"> </w:t>
      </w:r>
      <w:r>
        <w:rPr>
          <w:rFonts w:ascii="Times New Roman;sans-serif" w:hAnsi="Times New Roman;sans-serif"/>
          <w:b w:val="false"/>
          <w:color w:val="000000"/>
          <w:sz w:val="20"/>
        </w:rPr>
        <w:t>In the event that any payment or benefit received or to be received by Executive pursuant to this Agreement or otherwise (“</w:t>
      </w:r>
      <w:r>
        <w:rPr>
          <w:rFonts w:ascii="Times New Roman;sans-serif" w:hAnsi="Times New Roman;sans-serif"/>
          <w:b/>
          <w:color w:val="000000"/>
          <w:sz w:val="20"/>
        </w:rPr>
        <w:t>Payments</w:t>
      </w:r>
      <w:r>
        <w:rPr>
          <w:color w:val="000000"/>
        </w:rPr>
        <w:t>”</w:t>
      </w:r>
      <w:r>
        <w:rPr>
          <w:rFonts w:ascii="Times New Roman;sans-serif" w:hAnsi="Times New Roman;sans-serif"/>
          <w:b w:val="false"/>
          <w:color w:val="000000"/>
          <w:sz w:val="20"/>
        </w:rPr>
        <w:t>) would (i) constitute a “parachute payment” within the meaning of Section 280G of the Code and (ii) but for this subsection (a), be subject to the excise tax imposed by Section 4999 of the Code, any successor provisions, or any comparable federal, state, local or foreign excise tax (“</w:t>
      </w:r>
      <w:r>
        <w:rPr>
          <w:rFonts w:ascii="Times New Roman;sans-serif" w:hAnsi="Times New Roman;sans-serif"/>
          <w:b/>
          <w:color w:val="000000"/>
          <w:sz w:val="20"/>
        </w:rPr>
        <w:t>Excise Tax</w:t>
      </w:r>
      <w:r>
        <w:rPr>
          <w:color w:val="000000"/>
        </w:rPr>
        <w:t>”</w:t>
      </w:r>
      <w:r>
        <w:rPr>
          <w:rFonts w:ascii="Times New Roman;sans-serif" w:hAnsi="Times New Roman;sans-serif"/>
          <w:b w:val="false"/>
          <w:color w:val="000000"/>
          <w:sz w:val="20"/>
        </w:rPr>
        <w:t>), then, subject to the provisions of this Section 8, such Payments shall be either (A) provided in full pursuant to the terms of this Agreement or any other applicable agreement, or (B) provided as to such lesser extent which would result in no portion of such Payments being subject to the Excise Tax (“</w:t>
      </w:r>
      <w:r>
        <w:rPr>
          <w:rFonts w:ascii="Times New Roman;sans-serif" w:hAnsi="Times New Roman;sans-serif"/>
          <w:b/>
          <w:color w:val="000000"/>
          <w:sz w:val="20"/>
        </w:rPr>
        <w:t>Reduced Amount</w:t>
      </w:r>
      <w:r>
        <w:rPr>
          <w:color w:val="000000"/>
        </w:rPr>
        <w:t>”</w:t>
      </w:r>
      <w:r>
        <w:rPr>
          <w:rFonts w:ascii="Times New Roman;sans-serif" w:hAnsi="Times New Roman;sans-serif"/>
          <w:b w:val="false"/>
          <w:color w:val="000000"/>
          <w:sz w:val="20"/>
        </w:rPr>
        <w:t xml:space="preserve">), whichever of the foregoing amounts, taking into account the applicable federal, state, local and foreign income, employment and other taxes and the Excise Tax (including, without limitation, any interest or penalties on such taxes), results in the receipt by Executive, on an after-tax basis, of the greatest amount of payments and benefits </w:t>
      </w:r>
    </w:p>
    <w:p>
      <w:pPr>
        <w:pStyle w:val="TextBody"/>
        <w:bidi w:val="0"/>
        <w:spacing w:before="0" w:after="240"/>
        <w:jc w:val="center"/>
        <w:rPr/>
      </w:pPr>
      <w:r>
        <w:rPr/>
      </w:r>
      <w:r>
        <mc:AlternateContent>
          <mc:Choice Requires="wps">
            <w:drawing>
              <wp:anchor behindDoc="0" distT="0" distB="0" distL="0" distR="0" simplePos="0" locked="0" layoutInCell="1" allowOverlap="1" relativeHeight="101">
                <wp:simplePos x="0" y="0"/>
                <wp:positionH relativeFrom="character">
                  <wp:align>left</wp:align>
                </wp:positionH>
                <wp:positionV relativeFrom="line">
                  <wp:posOffset>635</wp:posOffset>
                </wp:positionV>
                <wp:extent cx="6480175" cy="175260"/>
                <wp:effectExtent l="0" t="0" r="0" b="0"/>
                <wp:wrapNone/>
                <wp:docPr id="100" name="Frame9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pPr>
      <w:r>
        <w:rPr>
          <w:rFonts w:ascii="Times New Roman;sans-serif" w:hAnsi="Times New Roman;sans-serif"/>
          <w:b w:val="false"/>
          <w:color w:val="000000"/>
          <w:sz w:val="20"/>
        </w:rPr>
        <w:t>provided for hereunder or otherwise, notwithstanding that all or some portion of such Payments may be subject to the Excise Tax. Unless the Company and Executive otherwise agree in writing, any determination required under this Section shall be made by independent tax counsel designated by the Company and reasonably acceptable to Executive (“</w:t>
      </w:r>
      <w:r>
        <w:rPr>
          <w:rFonts w:ascii="Times New Roman;sans-serif" w:hAnsi="Times New Roman;sans-serif"/>
          <w:b/>
          <w:color w:val="000000"/>
          <w:sz w:val="20"/>
        </w:rPr>
        <w:t>Independent Tax Counsel</w:t>
      </w:r>
      <w:r>
        <w:rPr>
          <w:color w:val="000000"/>
        </w:rPr>
        <w:t>”</w:t>
      </w:r>
      <w:r>
        <w:rPr>
          <w:rFonts w:ascii="Times New Roman;sans-serif" w:hAnsi="Times New Roman;sans-serif"/>
          <w:b w:val="false"/>
          <w:color w:val="000000"/>
          <w:sz w:val="20"/>
        </w:rPr>
        <w:t xml:space="preserve">), whose determination shall be conclusive and binding upon Executive and the Company for all purposes. For purposes of making the calculations required under this Section, Independent Tax Counsel may make reasonable assumptions and approximations concerning applicable taxes and may rely on reasonable, good faith interpretations concerning the application of Sections 280G and 4999 of the Code; </w:t>
      </w:r>
      <w:r>
        <w:rPr>
          <w:rFonts w:ascii="Times New Roman;sans-serif" w:hAnsi="Times New Roman;sans-serif"/>
          <w:b w:val="false"/>
          <w:i/>
          <w:color w:val="000000"/>
          <w:sz w:val="20"/>
        </w:rPr>
        <w:t>provided that</w:t>
      </w:r>
      <w:r>
        <w:rPr>
          <w:color w:val="000000"/>
        </w:rPr>
        <w:t xml:space="preserve"> </w:t>
      </w:r>
      <w:r>
        <w:rPr>
          <w:rFonts w:ascii="Times New Roman;sans-serif" w:hAnsi="Times New Roman;sans-serif"/>
          <w:b w:val="false"/>
          <w:color w:val="000000"/>
          <w:sz w:val="20"/>
        </w:rPr>
        <w:t>Independent Tax Counsel shall assume that Executive pays all taxes at the highest marginal rate. The Company and Executive shall furnish to Independent Tax Counsel such information and documents as Independent Tax Counsel may reasonably request in order to make a determination under this Section. The Company shall bear all costs that Independent Tax Counsel may reasonably incur in connection with any calculations contemplated by this Section. In the event that Section 8(a)(ii)(B) above applies, then based on the information provided to Executive and the Company by Independent Tax Counsel, Executive may, in Executive’s sole discretion and within thirty (30) days of the date on which Executive is provided with the information prepared by Independent Tax Counsel, determine which and how much of the Payments (including the accelerated vesting of equity compensation awards) to be otherwise received by Executive shall be eliminated or reduced (as long as after such determination the value (as calculated by Independent Tax Counsel in accordance with the provisions of Sections 280G and 4999 of the Code) of the amounts payable or distributable to Executive equals the Reduced Amount). If the Internal Revenue Service (the “</w:t>
      </w:r>
      <w:r>
        <w:rPr>
          <w:rFonts w:ascii="Times New Roman;sans-serif" w:hAnsi="Times New Roman;sans-serif"/>
          <w:b/>
          <w:color w:val="000000"/>
          <w:sz w:val="20"/>
        </w:rPr>
        <w:t>IRS</w:t>
      </w:r>
      <w:r>
        <w:rPr>
          <w:color w:val="000000"/>
        </w:rPr>
        <w:t>”</w:t>
      </w:r>
      <w:r>
        <w:rPr>
          <w:rFonts w:ascii="Times New Roman;sans-serif" w:hAnsi="Times New Roman;sans-serif"/>
          <w:b w:val="false"/>
          <w:color w:val="000000"/>
          <w:sz w:val="20"/>
        </w:rPr>
        <w:t>) determines that any Payment is subject to the Excise Tax, then Section 8(b) hereof shall apply, and the enforcement of Section 8(b) shall be the exclusive remedy to the Company.</w:t>
      </w:r>
    </w:p>
    <w:p>
      <w:pPr>
        <w:pStyle w:val="TextBody"/>
        <w:bidi w:val="0"/>
        <w:spacing w:lineRule="auto" w:line="288" w:before="0" w:after="240"/>
        <w:ind w:left="0" w:right="0" w:firstLine="720"/>
        <w:jc w:val="both"/>
        <w:rPr/>
      </w:pPr>
      <w:r>
        <w:rPr>
          <w:rFonts w:ascii="Times New Roman;sans-serif" w:hAnsi="Times New Roman;sans-serif"/>
          <w:b/>
          <w:color w:val="010000"/>
          <w:sz w:val="20"/>
        </w:rPr>
        <w:t>(b)</w:t>
      </w:r>
      <w:r>
        <w:rPr>
          <w:rFonts w:ascii="Times New Roman;sans-serif" w:hAnsi="Times New Roman;sans-serif"/>
          <w:b/>
          <w:color w:val="000000"/>
          <w:sz w:val="20"/>
        </w:rPr>
        <w:t>Adjustments.</w:t>
      </w:r>
      <w:r>
        <w:rPr>
          <w:color w:val="000000"/>
        </w:rPr>
        <w:t xml:space="preserve"> </w:t>
      </w:r>
      <w:r>
        <w:rPr>
          <w:rFonts w:ascii="Times New Roman;sans-serif" w:hAnsi="Times New Roman;sans-serif"/>
          <w:b w:val="false"/>
          <w:color w:val="000000"/>
          <w:sz w:val="20"/>
        </w:rPr>
        <w:t>If, notwithstanding any reduction described in Section 8(a) hereof (or in the absence of any such reduction), the IRS determines that Executive is liable for the Excise Tax as a result of the receipt of one or more Payments, then Executive shall be obligated to surrender or pay back to the Company, within one-hundred twenty (120) days after a final IRS determination, an amount of such payments or benefits equal to the “</w:t>
      </w:r>
      <w:r>
        <w:rPr>
          <w:rFonts w:ascii="Times New Roman;sans-serif" w:hAnsi="Times New Roman;sans-serif"/>
          <w:b/>
          <w:color w:val="000000"/>
          <w:sz w:val="20"/>
        </w:rPr>
        <w:t>Repayment Amount</w:t>
      </w:r>
      <w:r>
        <w:rPr>
          <w:rFonts w:ascii="Times New Roman;sans-serif" w:hAnsi="Times New Roman;sans-serif"/>
          <w:b w:val="false"/>
          <w:color w:val="000000"/>
          <w:sz w:val="20"/>
        </w:rPr>
        <w:t>.” The Repayment Amount with respect to such Payments shall be the smallest such amount, if any, as shall be required to be surrendered or paid to the Company so that Executive’s net proceeds with respect to such Payments (after taking into account the payment of the Excise Tax imposed on such Payments) shall be maximized. Notwithstanding the foregoing, the Repayment Amount with respect to such Payments shall be zero (0) if a Repayment Amount of more than zero (0) would not eliminate the Excise Tax imposed on such Payments or if a Repayment Amount of more than zero would not maximize the net amount received by Executive from the Payments. If the Excise Tax is not eliminated pursuant to this Section 8(b), Executive shall pay the Excise Tax.</w:t>
      </w:r>
    </w:p>
    <w:p>
      <w:pPr>
        <w:pStyle w:val="TextBody"/>
        <w:bidi w:val="0"/>
        <w:spacing w:lineRule="auto" w:line="288" w:before="0" w:after="240"/>
        <w:jc w:val="left"/>
        <w:rPr/>
      </w:pPr>
      <w:r>
        <w:rPr>
          <w:rFonts w:ascii="Times New Roman;sans-serif" w:hAnsi="Times New Roman;sans-serif"/>
          <w:b/>
          <w:color w:val="010000"/>
          <w:sz w:val="20"/>
        </w:rPr>
        <w:t>9.</w:t>
      </w:r>
      <w:r>
        <w:rPr>
          <w:rFonts w:ascii="Times New Roman;sans-serif" w:hAnsi="Times New Roman;sans-serif"/>
          <w:b/>
          <w:color w:val="000000"/>
          <w:sz w:val="20"/>
        </w:rPr>
        <w:t>Miscellaneous Provisions.</w:t>
      </w:r>
    </w:p>
    <w:p>
      <w:pPr>
        <w:pStyle w:val="TextBody"/>
        <w:bidi w:val="0"/>
        <w:spacing w:lineRule="auto" w:line="288" w:before="0" w:after="240"/>
        <w:ind w:left="0" w:right="0" w:firstLine="720"/>
        <w:jc w:val="both"/>
        <w:rPr/>
      </w:pPr>
      <w:r>
        <w:rPr>
          <w:rFonts w:ascii="Times New Roman;sans-serif" w:hAnsi="Times New Roman;sans-serif"/>
          <w:b/>
          <w:color w:val="010000"/>
          <w:sz w:val="20"/>
        </w:rPr>
        <w:t>(a)</w:t>
      </w:r>
      <w:r>
        <w:rPr>
          <w:rFonts w:ascii="Times New Roman;sans-serif" w:hAnsi="Times New Roman;sans-serif"/>
          <w:b/>
          <w:color w:val="000000"/>
          <w:sz w:val="20"/>
        </w:rPr>
        <w:t>Section 409A.</w:t>
      </w:r>
      <w:r>
        <w:rPr>
          <w:color w:val="000000"/>
        </w:rPr>
        <w:t xml:space="preserve"> </w:t>
      </w:r>
      <w:r>
        <w:rPr>
          <w:rFonts w:ascii="Times New Roman;sans-serif" w:hAnsi="Times New Roman;sans-serif"/>
          <w:b w:val="false"/>
          <w:color w:val="000000"/>
          <w:sz w:val="20"/>
        </w:rPr>
        <w:t xml:space="preserve">To the extent (i) any payments to which Executive becomes entitled under this Agreement, or any agreement or plan referenced herein, in connection with Executive’s termination of employment with the Company constitute deferred compensation subject to Section 409A of the Code and (ii) Executive is deemed at the time of such termination of employment to be a “specified” employee under Section 409A of the Code, then such payment or payments shall not be made or commence until the earlier of (i) the expiration of the six (6)-month period measured from the Executive’s Separation; or (ii) the date of Executive’s death following such Separation; </w:t>
      </w:r>
      <w:r>
        <w:rPr>
          <w:rFonts w:ascii="Times New Roman;sans-serif" w:hAnsi="Times New Roman;sans-serif"/>
          <w:b w:val="false"/>
          <w:i/>
          <w:color w:val="000000"/>
          <w:sz w:val="20"/>
        </w:rPr>
        <w:t>provided, however</w:t>
      </w:r>
      <w:r>
        <w:rPr>
          <w:rFonts w:ascii="Times New Roman;sans-serif" w:hAnsi="Times New Roman;sans-serif"/>
          <w:b w:val="false"/>
          <w:color w:val="000000"/>
          <w:sz w:val="20"/>
        </w:rPr>
        <w:t xml:space="preserve">, that such deferral shall only be effected to the extent required to avoid adverse tax treatment to Executive, including (without limitation) the additional twenty percent (20%) tax for which Executive would otherwise be liable under Section 409A(a)(1)(B) of the Code in the absence of such deferral. Upon the expiration of the applicable deferral period, any payments which would have otherwise been made during that period (whether in a single sum or in installments) in the absence of this paragraph shall be paid to Executive or Executive’s beneficiary in one lump sum (without interest). Except as otherwise expressly provided herein, to the extent any expense reimbursement or the provision of any in-kind benefit under this Agreement (or otherwise referenced herein) is determined to be subject to (and not exempt from) Section 409A of the Code, the amount of any such expenses eligible for reimbursement, or the provision of any in-kind benefit, in one calendar year shall not affect the expenses eligible for reimbursement or in kind benefits to be provided in any other calendar year, in no event shall any expenses be reimbursed after the last day of the calendar year following the calendar year in which Executive incurred such expenses, and in no event shall any right to reimbursement or the provision of any in-kind </w:t>
      </w:r>
    </w:p>
    <w:p>
      <w:pPr>
        <w:pStyle w:val="TextBody"/>
        <w:bidi w:val="0"/>
        <w:spacing w:before="0" w:after="240"/>
        <w:jc w:val="center"/>
        <w:rPr/>
      </w:pPr>
      <w:r>
        <w:rPr/>
      </w:r>
      <w:r>
        <mc:AlternateContent>
          <mc:Choice Requires="wps">
            <w:drawing>
              <wp:anchor behindDoc="0" distT="0" distB="0" distL="0" distR="0" simplePos="0" locked="0" layoutInCell="1" allowOverlap="1" relativeHeight="102">
                <wp:simplePos x="0" y="0"/>
                <wp:positionH relativeFrom="character">
                  <wp:align>left</wp:align>
                </wp:positionH>
                <wp:positionV relativeFrom="line">
                  <wp:posOffset>635</wp:posOffset>
                </wp:positionV>
                <wp:extent cx="6480175" cy="175260"/>
                <wp:effectExtent l="0" t="0" r="0" b="0"/>
                <wp:wrapNone/>
                <wp:docPr id="101" name="Frame9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benefit be subject to liquidation or exchange for another benefit. To the extent that any provision of this Agreement is ambiguous as to its exemption or compliance with Section 409A, the provision will be read in such a manner so that all payments hereunder are exempt from Section 409A to the maximum permissible extent, and for any payments where such construction is not tenable, that those payments comply with Section 409A to the maximum permissible extent. To the extent any payment under this Agreement may be classified as a “short-term deferral” within the meaning of Section 409A, such payment shall be deemed a short-term deferral, even if it may also qualify for an exemption from Section 409A under another provision of Section 409A. Payments pursuant to this Agreement (or referenced in this Agreement) are intended to constitute separate payments for purposes of Section 1.409A-2(b)(2) of the regulations under Section 409A.</w:t>
      </w:r>
    </w:p>
    <w:p>
      <w:pPr>
        <w:pStyle w:val="TextBody"/>
        <w:bidi w:val="0"/>
        <w:spacing w:lineRule="auto" w:line="288" w:before="0" w:after="240"/>
        <w:ind w:left="0" w:right="0" w:firstLine="720"/>
        <w:jc w:val="both"/>
        <w:rPr/>
      </w:pPr>
      <w:r>
        <w:rPr>
          <w:rFonts w:ascii="Times New Roman;sans-serif" w:hAnsi="Times New Roman;sans-serif"/>
          <w:b/>
          <w:color w:val="010000"/>
          <w:sz w:val="20"/>
        </w:rPr>
        <w:t>(b)</w:t>
      </w:r>
      <w:r>
        <w:rPr>
          <w:rFonts w:ascii="Times New Roman;sans-serif" w:hAnsi="Times New Roman;sans-serif"/>
          <w:b/>
          <w:color w:val="000000"/>
          <w:sz w:val="20"/>
        </w:rPr>
        <w:t>Other Arrangements.</w:t>
      </w:r>
      <w:r>
        <w:rPr>
          <w:color w:val="000000"/>
        </w:rPr>
        <w:t xml:space="preserve"> </w:t>
      </w:r>
      <w:r>
        <w:rPr>
          <w:rFonts w:ascii="Times New Roman;sans-serif" w:hAnsi="Times New Roman;sans-serif"/>
          <w:b w:val="false"/>
          <w:color w:val="000000"/>
          <w:sz w:val="20"/>
        </w:rPr>
        <w:t xml:space="preserve">This Agreement supersedes any and all cash severance arrangements and vesting acceleration arrangements under any agreement governing Equity Awards, severance and salary continuation arrangements, programs and plans which were previously offered by the Company to the Executive, including under any employment agreement or offer letter, and Executive hereby waives Executive’s rights to such other benefits except as set forth in the succeeding sentence. In no event shall any individual receive cash severance benefits under both this Agreement and any other severance pay or salary continuation program, plan or other arrangement with the Company. For the avoidance of doubt, in no event shall Executive receive payment under both Section 2 and Section 3 with respect to Executive’s Separation. </w:t>
      </w:r>
    </w:p>
    <w:p>
      <w:pPr>
        <w:pStyle w:val="TextBody"/>
        <w:bidi w:val="0"/>
        <w:spacing w:lineRule="auto" w:line="288" w:before="0" w:after="240"/>
        <w:ind w:left="0" w:right="0" w:firstLine="720"/>
        <w:jc w:val="both"/>
        <w:rPr/>
      </w:pPr>
      <w:r>
        <w:rPr>
          <w:rFonts w:ascii="Times New Roman;sans-serif" w:hAnsi="Times New Roman;sans-serif"/>
          <w:b/>
          <w:color w:val="010000"/>
          <w:sz w:val="20"/>
        </w:rPr>
        <w:t>(c)</w:t>
      </w:r>
      <w:r>
        <w:rPr>
          <w:rFonts w:ascii="Times New Roman;sans-serif" w:hAnsi="Times New Roman;sans-serif"/>
          <w:b/>
          <w:color w:val="000000"/>
          <w:sz w:val="20"/>
        </w:rPr>
        <w:t>Dispute Resolution.</w:t>
      </w:r>
      <w:r>
        <w:rPr>
          <w:color w:val="000000"/>
        </w:rPr>
        <w:t xml:space="preserve"> </w:t>
      </w:r>
      <w:r>
        <w:rPr>
          <w:rFonts w:ascii="Times New Roman;sans-serif" w:hAnsi="Times New Roman;sans-serif"/>
          <w:b w:val="false"/>
          <w:color w:val="000000"/>
          <w:sz w:val="20"/>
        </w:rPr>
        <w:t xml:space="preserve">Executive hereby acknowledges and agrees that his or her Arbitration Agreement with the Company remains in full force and effect and that any and all disputes arising in connection with this Agreement shall be solely governed by the terms and procedures set forth in Executive’s Arbitration Agreement. </w:t>
      </w:r>
    </w:p>
    <w:p>
      <w:pPr>
        <w:pStyle w:val="TextBody"/>
        <w:bidi w:val="0"/>
        <w:spacing w:lineRule="auto" w:line="288" w:before="0" w:after="240"/>
        <w:ind w:left="0" w:right="0" w:firstLine="720"/>
        <w:jc w:val="both"/>
        <w:rPr/>
      </w:pPr>
      <w:r>
        <w:rPr>
          <w:rFonts w:ascii="Times New Roman;sans-serif" w:hAnsi="Times New Roman;sans-serif"/>
          <w:b/>
          <w:color w:val="010000"/>
          <w:sz w:val="20"/>
        </w:rPr>
        <w:t>(d)</w:t>
      </w:r>
      <w:r>
        <w:rPr>
          <w:rFonts w:ascii="Times New Roman;sans-serif" w:hAnsi="Times New Roman;sans-serif"/>
          <w:b/>
          <w:color w:val="000000"/>
          <w:sz w:val="20"/>
        </w:rPr>
        <w:t>Notice.</w:t>
      </w:r>
      <w:r>
        <w:rPr>
          <w:color w:val="000000"/>
        </w:rPr>
        <w:t xml:space="preserve"> </w:t>
      </w:r>
      <w:r>
        <w:rPr>
          <w:rFonts w:ascii="Times New Roman;sans-serif" w:hAnsi="Times New Roman;sans-serif"/>
          <w:b w:val="false"/>
          <w:color w:val="000000"/>
          <w:sz w:val="20"/>
        </w:rPr>
        <w:t>Notices and all other communications contemplated by this Agreement shall be in writing (including via email) and shall be deemed to have been duly given when (i) personally delivered, (ii) when mailed by U.S. registered or certified mail, return receipt requested and postage prepaid or deposited with Federal Express Corporation, with shipping charges prepaid, or (iii) when sent by email, on the date that the email is received (provided that, if the time of deemed receipt is not before 5:30PM local time on a business day, it is deemed to have been received at the commencement of business on the next business day). In the case of the Executive, mailed notices shall be addressed to him or her at the home address or email address which he or she most recently communicated to the Company. In the case of the Company, mailed notices shall be addressed to its corporate headquarters, and all notices shall be directed to the attention of its Secretary.</w:t>
      </w:r>
    </w:p>
    <w:p>
      <w:pPr>
        <w:pStyle w:val="TextBody"/>
        <w:bidi w:val="0"/>
        <w:spacing w:lineRule="auto" w:line="288" w:before="0" w:after="240"/>
        <w:ind w:left="0" w:right="0" w:firstLine="720"/>
        <w:jc w:val="both"/>
        <w:rPr/>
      </w:pPr>
      <w:r>
        <w:rPr>
          <w:rFonts w:ascii="Times New Roman;sans-serif" w:hAnsi="Times New Roman;sans-serif"/>
          <w:b/>
          <w:color w:val="010000"/>
          <w:sz w:val="20"/>
        </w:rPr>
        <w:t>(e)</w:t>
      </w:r>
      <w:r>
        <w:rPr>
          <w:rFonts w:ascii="Times New Roman;sans-serif" w:hAnsi="Times New Roman;sans-serif"/>
          <w:b/>
          <w:color w:val="000000"/>
          <w:sz w:val="20"/>
        </w:rPr>
        <w:t>Waiver.</w:t>
      </w:r>
      <w:r>
        <w:rPr>
          <w:color w:val="000000"/>
        </w:rPr>
        <w:t xml:space="preserve"> </w:t>
      </w:r>
      <w:r>
        <w:rPr>
          <w:rFonts w:ascii="Times New Roman;sans-serif" w:hAnsi="Times New Roman;sans-serif"/>
          <w:b w:val="false"/>
          <w:color w:val="000000"/>
          <w:sz w:val="20"/>
        </w:rPr>
        <w:t>No provision of this Agreement shall be modified, waived or discharged unless the modification, waiver or discharge is agreed to in writing and signed by the Executive and by an authorized officer of the Company (other than the Executive). No waiver by either party of any breach of, or of compliance with, any condition or provision of this Agreement by the other party shall be considered a waiver of any other condition or provision or of the same condition or provision at another time.</w:t>
      </w:r>
    </w:p>
    <w:p>
      <w:pPr>
        <w:pStyle w:val="TextBody"/>
        <w:bidi w:val="0"/>
        <w:spacing w:lineRule="auto" w:line="288" w:before="0" w:after="240"/>
        <w:ind w:left="0" w:right="0" w:firstLine="720"/>
        <w:jc w:val="both"/>
        <w:rPr/>
      </w:pPr>
      <w:r>
        <w:rPr>
          <w:rFonts w:ascii="Times New Roman;sans-serif" w:hAnsi="Times New Roman;sans-serif"/>
          <w:b/>
          <w:color w:val="010000"/>
          <w:sz w:val="20"/>
        </w:rPr>
        <w:t>(f)</w:t>
      </w:r>
      <w:r>
        <w:rPr>
          <w:rFonts w:ascii="Times New Roman;sans-serif" w:hAnsi="Times New Roman;sans-serif"/>
          <w:b/>
          <w:color w:val="000000"/>
          <w:sz w:val="20"/>
        </w:rPr>
        <w:t>Withholding Taxes.</w:t>
      </w:r>
      <w:r>
        <w:rPr>
          <w:color w:val="000000"/>
        </w:rPr>
        <w:t xml:space="preserve"> </w:t>
      </w:r>
      <w:r>
        <w:rPr>
          <w:rFonts w:ascii="Times New Roman;sans-serif" w:hAnsi="Times New Roman;sans-serif"/>
          <w:b w:val="false"/>
          <w:color w:val="000000"/>
          <w:sz w:val="20"/>
        </w:rPr>
        <w:t>All payments made under this Agreement shall be subject to reduction to reflect taxes or other charges required to be withheld by law.</w:t>
      </w:r>
    </w:p>
    <w:p>
      <w:pPr>
        <w:pStyle w:val="TextBody"/>
        <w:bidi w:val="0"/>
        <w:spacing w:lineRule="auto" w:line="288" w:before="0" w:after="240"/>
        <w:ind w:left="0" w:right="0" w:firstLine="720"/>
        <w:jc w:val="both"/>
        <w:rPr/>
      </w:pPr>
      <w:r>
        <w:rPr>
          <w:rFonts w:ascii="Times New Roman;sans-serif" w:hAnsi="Times New Roman;sans-serif"/>
          <w:b/>
          <w:color w:val="010000"/>
          <w:sz w:val="20"/>
        </w:rPr>
        <w:t>(g)</w:t>
      </w:r>
      <w:r>
        <w:rPr>
          <w:rFonts w:ascii="Times New Roman;sans-serif" w:hAnsi="Times New Roman;sans-serif"/>
          <w:b/>
          <w:color w:val="000000"/>
          <w:sz w:val="20"/>
        </w:rPr>
        <w:t>Severability.</w:t>
      </w:r>
      <w:r>
        <w:rPr>
          <w:color w:val="000000"/>
        </w:rPr>
        <w:t xml:space="preserve"> </w:t>
      </w:r>
      <w:r>
        <w:rPr>
          <w:rFonts w:ascii="Times New Roman;sans-serif" w:hAnsi="Times New Roman;sans-serif"/>
          <w:b w:val="false"/>
          <w:color w:val="000000"/>
          <w:sz w:val="20"/>
        </w:rPr>
        <w:t>The invalidity or unenforceability of any provision or provisions of this Agreement shall not affect the validity or enforceability of any other provision hereof, which shall remain in full force and effect.</w:t>
      </w:r>
    </w:p>
    <w:p>
      <w:pPr>
        <w:pStyle w:val="TextBody"/>
        <w:bidi w:val="0"/>
        <w:spacing w:lineRule="auto" w:line="288" w:before="0" w:after="240"/>
        <w:ind w:left="0" w:right="0" w:firstLine="720"/>
        <w:jc w:val="both"/>
        <w:rPr/>
      </w:pPr>
      <w:r>
        <w:rPr>
          <w:rFonts w:ascii="Times New Roman;sans-serif" w:hAnsi="Times New Roman;sans-serif"/>
          <w:b/>
          <w:color w:val="010000"/>
          <w:sz w:val="20"/>
        </w:rPr>
        <w:t>(h)</w:t>
      </w:r>
      <w:r>
        <w:rPr>
          <w:rFonts w:ascii="Times New Roman;sans-serif" w:hAnsi="Times New Roman;sans-serif"/>
          <w:b/>
          <w:color w:val="000000"/>
          <w:sz w:val="20"/>
        </w:rPr>
        <w:t>No Retention Rights.</w:t>
      </w:r>
      <w:r>
        <w:rPr>
          <w:color w:val="000000"/>
        </w:rPr>
        <w:t xml:space="preserve"> </w:t>
      </w:r>
      <w:r>
        <w:rPr>
          <w:rFonts w:ascii="Times New Roman;sans-serif" w:hAnsi="Times New Roman;sans-serif"/>
          <w:b w:val="false"/>
          <w:color w:val="000000"/>
          <w:sz w:val="20"/>
        </w:rPr>
        <w:t>Nothing in this Agreement shall confer upon the Executive any right to continue in service for any period of specific duration or interfere with or otherwise restrict in any way the rights of the Company or any subsidiary of the Company or of the Executive, which rights are hereby expressly reserved by each, to terminate his or her service at any time and for any reason, with or without Cause.</w:t>
      </w:r>
    </w:p>
    <w:p>
      <w:pPr>
        <w:pStyle w:val="TextBody"/>
        <w:bidi w:val="0"/>
        <w:spacing w:before="0" w:after="240"/>
        <w:jc w:val="center"/>
        <w:rPr/>
      </w:pPr>
      <w:r>
        <w:rPr/>
      </w:r>
      <w:r>
        <mc:AlternateContent>
          <mc:Choice Requires="wps">
            <w:drawing>
              <wp:anchor behindDoc="0" distT="0" distB="0" distL="0" distR="0" simplePos="0" locked="0" layoutInCell="1" allowOverlap="1" relativeHeight="103">
                <wp:simplePos x="0" y="0"/>
                <wp:positionH relativeFrom="character">
                  <wp:align>left</wp:align>
                </wp:positionH>
                <wp:positionV relativeFrom="line">
                  <wp:posOffset>635</wp:posOffset>
                </wp:positionV>
                <wp:extent cx="6480175" cy="175260"/>
                <wp:effectExtent l="0" t="0" r="0" b="0"/>
                <wp:wrapNone/>
                <wp:docPr id="102" name="Frame9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ans-serif" w:hAnsi="Times New Roman;sans-serif"/>
          <w:b/>
          <w:color w:val="010000"/>
          <w:sz w:val="20"/>
        </w:rPr>
        <w:t>(i)</w:t>
      </w:r>
      <w:r>
        <w:rPr>
          <w:rFonts w:ascii="Times New Roman;sans-serif" w:hAnsi="Times New Roman;sans-serif"/>
          <w:b/>
          <w:color w:val="000000"/>
          <w:sz w:val="20"/>
        </w:rPr>
        <w:t>Choice of Law.</w:t>
      </w:r>
      <w:r>
        <w:rPr>
          <w:color w:val="000000"/>
        </w:rPr>
        <w:t xml:space="preserve"> </w:t>
      </w:r>
      <w:r>
        <w:rPr>
          <w:rFonts w:ascii="Times New Roman;sans-serif" w:hAnsi="Times New Roman;sans-serif"/>
          <w:b w:val="false"/>
          <w:color w:val="000000"/>
          <w:sz w:val="20"/>
        </w:rPr>
        <w:t>The validity, interpretation, construction and performance of this Agreement shall be governed by the laws of the State of California (other than its choice-of-law provisions).</w:t>
      </w:r>
    </w:p>
    <w:p>
      <w:pPr>
        <w:pStyle w:val="TextBody"/>
        <w:bidi w:val="0"/>
        <w:spacing w:before="0" w:after="240"/>
        <w:jc w:val="center"/>
        <w:rPr/>
      </w:pPr>
      <w:r>
        <w:rPr/>
      </w:r>
      <w:r>
        <mc:AlternateContent>
          <mc:Choice Requires="wps">
            <w:drawing>
              <wp:anchor behindDoc="0" distT="0" distB="0" distL="0" distR="0" simplePos="0" locked="0" layoutInCell="1" allowOverlap="1" relativeHeight="104">
                <wp:simplePos x="0" y="0"/>
                <wp:positionH relativeFrom="character">
                  <wp:align>left</wp:align>
                </wp:positionH>
                <wp:positionV relativeFrom="line">
                  <wp:posOffset>635</wp:posOffset>
                </wp:positionV>
                <wp:extent cx="6480175" cy="175260"/>
                <wp:effectExtent l="0" t="0" r="0" b="0"/>
                <wp:wrapNone/>
                <wp:docPr id="103" name="Frame9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before="0" w:after="240"/>
        <w:jc w:val="both"/>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IN WITNESS WHEREOF, each of the parties has executed this Agreement, in the case of the Company by its duly authorized officer, as of the day and year first above written.</w:t>
      </w:r>
    </w:p>
    <w:p>
      <w:pPr>
        <w:pStyle w:val="TextBody"/>
        <w:bidi w:val="0"/>
        <w:spacing w:before="0" w:after="240"/>
        <w:ind w:left="0" w:right="0" w:firstLine="720"/>
        <w:jc w:val="both"/>
        <w:rPr/>
      </w:pPr>
      <w:r>
        <w:rPr/>
      </w:r>
    </w:p>
    <w:tbl>
      <w:tblPr>
        <w:tblW w:w="3269" w:type="dxa"/>
        <w:jc w:val="left"/>
        <w:tblInd w:w="0" w:type="dxa"/>
        <w:tblLayout w:type="fixed"/>
        <w:tblCellMar>
          <w:top w:w="28" w:type="dxa"/>
          <w:left w:w="28" w:type="dxa"/>
          <w:bottom w:w="28" w:type="dxa"/>
          <w:right w:w="28" w:type="dxa"/>
        </w:tblCellMar>
      </w:tblPr>
      <w:tblGrid>
        <w:gridCol w:w="467"/>
        <w:gridCol w:w="410"/>
        <w:gridCol w:w="412"/>
        <w:gridCol w:w="579"/>
        <w:gridCol w:w="579"/>
        <w:gridCol w:w="822"/>
      </w:tblGrid>
      <w:tr>
        <w:trPr/>
        <w:tc>
          <w:tcPr>
            <w:tcW w:w="467" w:type="dxa"/>
            <w:tcBorders/>
            <w:vAlign w:val="center"/>
          </w:tcPr>
          <w:p>
            <w:pPr>
              <w:pStyle w:val="TableContents"/>
              <w:bidi w:val="0"/>
              <w:spacing w:before="0" w:after="283"/>
              <w:jc w:val="left"/>
              <w:rPr>
                <w:sz w:val="4"/>
                <w:szCs w:val="4"/>
              </w:rPr>
            </w:pPr>
            <w:r>
              <w:rPr>
                <w:sz w:val="4"/>
                <w:szCs w:val="4"/>
              </w:rPr>
            </w:r>
          </w:p>
        </w:tc>
        <w:tc>
          <w:tcPr>
            <w:tcW w:w="410" w:type="dxa"/>
            <w:tcBorders/>
            <w:vAlign w:val="center"/>
          </w:tcPr>
          <w:p>
            <w:pPr>
              <w:pStyle w:val="TableContents"/>
              <w:bidi w:val="0"/>
              <w:spacing w:before="0" w:after="283"/>
              <w:jc w:val="left"/>
              <w:rPr>
                <w:sz w:val="4"/>
                <w:szCs w:val="4"/>
              </w:rPr>
            </w:pPr>
            <w:r>
              <w:rPr>
                <w:sz w:val="4"/>
                <w:szCs w:val="4"/>
              </w:rPr>
            </w:r>
          </w:p>
        </w:tc>
        <w:tc>
          <w:tcPr>
            <w:tcW w:w="412"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579" w:type="dxa"/>
            <w:tcBorders/>
            <w:vAlign w:val="center"/>
          </w:tcPr>
          <w:p>
            <w:pPr>
              <w:pStyle w:val="TableContents"/>
              <w:bidi w:val="0"/>
              <w:spacing w:before="0" w:after="283"/>
              <w:jc w:val="left"/>
              <w:rPr>
                <w:sz w:val="4"/>
                <w:szCs w:val="4"/>
              </w:rPr>
            </w:pPr>
            <w:r>
              <w:rPr>
                <w:sz w:val="4"/>
                <w:szCs w:val="4"/>
              </w:rPr>
            </w:r>
          </w:p>
        </w:tc>
        <w:tc>
          <w:tcPr>
            <w:tcW w:w="822" w:type="dxa"/>
            <w:tcBorders/>
            <w:vAlign w:val="center"/>
          </w:tcPr>
          <w:p>
            <w:pPr>
              <w:pStyle w:val="TableContents"/>
              <w:bidi w:val="0"/>
              <w:spacing w:before="0" w:after="283"/>
              <w:jc w:val="left"/>
              <w:rPr>
                <w:sz w:val="4"/>
                <w:szCs w:val="4"/>
              </w:rPr>
            </w:pPr>
            <w:r>
              <w:rPr>
                <w:sz w:val="4"/>
                <w:szCs w:val="4"/>
              </w:rPr>
            </w:r>
          </w:p>
        </w:tc>
      </w:tr>
      <w:tr>
        <w:trPr/>
        <w:tc>
          <w:tcPr>
            <w:tcW w:w="1289" w:type="dxa"/>
            <w:gridSpan w:val="3"/>
            <w:tcBorders>
              <w:top w:val="single" w:sz="8" w:space="0" w:color="FFFFFF"/>
              <w:left w:val="single" w:sz="8" w:space="0" w:color="FFFFFF"/>
            </w:tcBorders>
            <w:tcMar>
              <w:top w:w="30" w:type="dxa"/>
              <w:left w:w="67" w:type="dxa"/>
              <w:bottom w:w="0" w:type="dxa"/>
              <w:right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EXECUTIVE</w:t>
            </w:r>
          </w:p>
        </w:tc>
        <w:tc>
          <w:tcPr>
            <w:tcW w:w="1980" w:type="dxa"/>
            <w:gridSpan w:val="3"/>
            <w:tcBorders>
              <w:top w:val="single" w:sz="8" w:space="0" w:color="FFFFFF"/>
              <w:left w:val="single" w:sz="8" w:space="0" w:color="FFFFFF"/>
              <w:right w:val="single" w:sz="8" w:space="0" w:color="FFFFFF"/>
            </w:tcBorders>
            <w:tcMar>
              <w:top w:w="30" w:type="dxa"/>
              <w:left w:w="67" w:type="dxa"/>
              <w:bottom w:w="0" w:type="dxa"/>
            </w:tcMar>
            <w:vAlign w:val="center"/>
          </w:tcPr>
          <w:p>
            <w:pPr>
              <w:pStyle w:val="TableContents"/>
              <w:bidi w:val="0"/>
              <w:spacing w:lineRule="auto" w:line="240" w:before="0" w:after="283"/>
              <w:jc w:val="left"/>
              <w:rPr>
                <w:rFonts w:ascii="Times New Roman;sans-serif" w:hAnsi="Times New Roman;sans-serif"/>
                <w:b/>
                <w:color w:val="000000"/>
                <w:sz w:val="20"/>
              </w:rPr>
            </w:pPr>
            <w:r>
              <w:rPr>
                <w:rFonts w:ascii="Times New Roman;sans-serif" w:hAnsi="Times New Roman;sans-serif"/>
                <w:b/>
                <w:color w:val="000000"/>
                <w:sz w:val="20"/>
              </w:rPr>
              <w:t>NEXTDOOR, INC.</w:t>
            </w:r>
          </w:p>
        </w:tc>
      </w:tr>
      <w:tr>
        <w:trPr/>
        <w:tc>
          <w:tcPr>
            <w:tcW w:w="1289" w:type="dxa"/>
            <w:gridSpan w:val="3"/>
            <w:tcBorders>
              <w:top w:val="single" w:sz="8" w:space="0" w:color="FFFFFF"/>
              <w:left w:val="single" w:sz="8" w:space="0" w:color="FFFFFF"/>
              <w:bottom w:val="single" w:sz="8" w:space="0" w:color="FFFFFF"/>
            </w:tcBorders>
            <w:tcMar>
              <w:top w:w="30" w:type="dxa"/>
              <w:bottom w:w="30" w:type="dxa"/>
              <w:right w:w="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rFonts w:ascii="Times New Roman;sans-serif" w:hAnsi="Times New Roman;sans-serif"/>
                <w:b w:val="false"/>
                <w:color w:val="000000"/>
                <w:sz w:val="20"/>
                <w:u w:val="single"/>
              </w:rPr>
            </w:pPr>
            <w:r>
              <w:rPr>
                <w:rFonts w:ascii="Times New Roman;sans-serif" w:hAnsi="Times New Roman;sans-serif"/>
                <w:b w:val="false"/>
                <w:color w:val="000000"/>
                <w:sz w:val="20"/>
                <w:u w:val="single"/>
              </w:rPr>
              <w:t>/s/ Nirav Tolia</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Nirav Tolia</w:t>
            </w:r>
          </w:p>
        </w:tc>
        <w:tc>
          <w:tcPr>
            <w:tcW w:w="1980" w:type="dxa"/>
            <w:gridSpan w:val="3"/>
            <w:tcBorders>
              <w:top w:val="single" w:sz="8" w:space="0" w:color="FFFFFF"/>
              <w:left w:val="single" w:sz="8" w:space="0" w:color="FFFFFF"/>
              <w:bottom w:val="single" w:sz="8" w:space="0" w:color="FFFFFF"/>
              <w:right w:val="single" w:sz="8" w:space="0" w:color="FFFFFF"/>
            </w:tcBorders>
            <w:tcMar>
              <w:top w:w="30" w:type="dxa"/>
              <w:bottom w:w="30" w:type="dxa"/>
            </w:tcMar>
            <w:vAlign w:val="center"/>
          </w:tcPr>
          <w:p>
            <w:pPr>
              <w:pStyle w:val="TableContents"/>
              <w:bidi w:val="0"/>
              <w:spacing w:before="0" w:after="0"/>
              <w:jc w:val="left"/>
              <w:rPr/>
            </w:pPr>
            <w:r>
              <w:rPr/>
            </w:r>
          </w:p>
          <w:p>
            <w:pPr>
              <w:pStyle w:val="TableContents"/>
              <w:bidi w:val="0"/>
              <w:spacing w:before="0" w:after="0"/>
              <w:jc w:val="left"/>
              <w:rPr/>
            </w:pPr>
            <w:r>
              <w:rPr/>
            </w:r>
          </w:p>
          <w:p>
            <w:pPr>
              <w:pStyle w:val="TableContents"/>
              <w:bidi w:val="0"/>
              <w:spacing w:before="0" w:after="0"/>
              <w:jc w:val="left"/>
              <w:rPr/>
            </w:pPr>
            <w:r>
              <w:rPr/>
            </w:r>
          </w:p>
          <w:p>
            <w:pPr>
              <w:pStyle w:val="TableContents"/>
              <w:bidi w:val="0"/>
              <w:spacing w:lineRule="auto" w:line="288" w:before="0" w:after="0"/>
              <w:jc w:val="left"/>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Jason Pressman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Name: Jason Pressman</w:t>
            </w:r>
          </w:p>
          <w:p>
            <w:pPr>
              <w:pStyle w:val="TableContents"/>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Title: Board Member</w:t>
            </w:r>
          </w:p>
        </w:tc>
      </w:tr>
    </w:tbl>
    <w:p>
      <w:pPr>
        <w:pStyle w:val="TextBody"/>
        <w:bidi w:val="0"/>
        <w:spacing w:before="0" w:after="240"/>
        <w:ind w:left="0" w:right="0" w:firstLine="720"/>
        <w:jc w:val="both"/>
        <w:rPr/>
      </w:pPr>
      <w:r>
        <w:rPr/>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105">
                <wp:simplePos x="0" y="0"/>
                <wp:positionH relativeFrom="character">
                  <wp:align>left</wp:align>
                </wp:positionH>
                <wp:positionV relativeFrom="line">
                  <wp:posOffset>635</wp:posOffset>
                </wp:positionV>
                <wp:extent cx="6480175" cy="175260"/>
                <wp:effectExtent l="0" t="0" r="0" b="0"/>
                <wp:wrapNone/>
                <wp:docPr id="104" name="Frame9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C</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Employee Invention Assignment and Confidentiality Agreement</w:t>
      </w:r>
    </w:p>
    <w:p>
      <w:pPr>
        <w:pStyle w:val="TextBody"/>
        <w:bidi w:val="0"/>
        <w:spacing w:lineRule="auto" w:line="292" w:before="0" w:after="0"/>
        <w:ind w:left="0" w:right="0" w:firstLine="720"/>
        <w:jc w:val="both"/>
        <w:rPr/>
      </w:pPr>
      <w:r>
        <w:rPr>
          <w:rFonts w:ascii="Lato;sans-serif" w:hAnsi="Lato;sans-serif"/>
          <w:b w:val="false"/>
          <w:color w:val="000000"/>
          <w:sz w:val="20"/>
        </w:rPr>
        <w:t>In consideration of, and as a condition of my employment with Nextdoor, Inc., a Delaware corporation (the “</w:t>
      </w:r>
      <w:r>
        <w:rPr>
          <w:rFonts w:ascii="Lato;sans-serif" w:hAnsi="Lato;sans-serif"/>
          <w:b/>
          <w:i/>
          <w:color w:val="000000"/>
          <w:sz w:val="20"/>
        </w:rPr>
        <w:t>Company</w:t>
      </w:r>
      <w:r>
        <w:rPr>
          <w:color w:val="000000"/>
        </w:rPr>
        <w:t>”</w:t>
      </w:r>
      <w:r>
        <w:rPr>
          <w:rFonts w:ascii="Lato;sans-serif" w:hAnsi="Lato;sans-serif"/>
          <w:b w:val="false"/>
          <w:color w:val="000000"/>
          <w:sz w:val="20"/>
        </w:rPr>
        <w:t>), I, as the “</w:t>
      </w:r>
      <w:r>
        <w:rPr>
          <w:rFonts w:ascii="Lato;sans-serif" w:hAnsi="Lato;sans-serif"/>
          <w:b/>
          <w:i/>
          <w:color w:val="000000"/>
          <w:sz w:val="20"/>
        </w:rPr>
        <w:t>Employee</w:t>
      </w:r>
      <w:r>
        <w:rPr>
          <w:color w:val="000000"/>
        </w:rPr>
        <w:t xml:space="preserve">” </w:t>
      </w:r>
      <w:r>
        <w:rPr>
          <w:rFonts w:ascii="Lato;sans-serif" w:hAnsi="Lato;sans-serif"/>
          <w:b w:val="false"/>
          <w:color w:val="000000"/>
          <w:sz w:val="20"/>
        </w:rPr>
        <w:t>signing this Employee Invention Assignment and Confidentiality Agreement (the “</w:t>
      </w:r>
      <w:r>
        <w:rPr>
          <w:rFonts w:ascii="Lato;sans-serif" w:hAnsi="Lato;sans-serif"/>
          <w:b/>
          <w:i/>
          <w:color w:val="000000"/>
          <w:sz w:val="20"/>
        </w:rPr>
        <w:t>Agreement</w:t>
      </w:r>
      <w:r>
        <w:rPr>
          <w:color w:val="000000"/>
        </w:rPr>
        <w:t>”</w:t>
      </w:r>
      <w:r>
        <w:rPr>
          <w:rFonts w:ascii="Lato;sans-serif" w:hAnsi="Lato;sans-serif"/>
          <w:b w:val="false"/>
          <w:color w:val="000000"/>
          <w:sz w:val="20"/>
        </w:rPr>
        <w:t>),</w:t>
      </w:r>
      <w:r>
        <w:rPr>
          <w:color w:val="000000"/>
        </w:rPr>
        <w:t xml:space="preserve"> </w:t>
      </w:r>
      <w:r>
        <w:rPr>
          <w:rFonts w:ascii="Lato;sans-serif" w:hAnsi="Lato;sans-serif"/>
          <w:b w:val="false"/>
          <w:color w:val="000000"/>
          <w:sz w:val="20"/>
        </w:rPr>
        <w:t>hereby represent to, and agree with the Company, as follows:</w:t>
      </w:r>
    </w:p>
    <w:p>
      <w:pPr>
        <w:pStyle w:val="TextBody"/>
        <w:bidi w:val="0"/>
        <w:spacing w:before="1" w:after="283"/>
        <w:jc w:val="left"/>
        <w:rPr/>
      </w:pPr>
      <w:r>
        <w:rPr/>
      </w:r>
    </w:p>
    <w:p>
      <w:pPr>
        <w:pStyle w:val="TextBody"/>
        <w:bidi w:val="0"/>
        <w:spacing w:lineRule="auto" w:line="292" w:before="0" w:after="0"/>
        <w:ind w:left="0" w:right="0" w:firstLine="721"/>
        <w:jc w:val="both"/>
        <w:rPr/>
      </w:pPr>
      <w:r>
        <w:rPr>
          <w:rFonts w:ascii="Arial;sans-serif" w:hAnsi="Arial;sans-serif"/>
          <w:b/>
          <w:color w:val="000000"/>
          <w:sz w:val="19"/>
        </w:rPr>
        <w:t>10.</w:t>
      </w:r>
      <w:r>
        <w:rPr>
          <w:rFonts w:ascii="Lato;sans-serif" w:hAnsi="Lato;sans-serif"/>
          <w:b/>
          <w:color w:val="000000"/>
          <w:sz w:val="20"/>
          <w:u w:val="single"/>
        </w:rPr>
        <w:t>Purpose of Agreement</w:t>
      </w:r>
      <w:r>
        <w:rPr>
          <w:rFonts w:ascii="Lato;sans-serif" w:hAnsi="Lato;sans-serif"/>
          <w:b/>
          <w:color w:val="000000"/>
          <w:sz w:val="20"/>
        </w:rPr>
        <w:t xml:space="preserve">. </w:t>
      </w:r>
      <w:r>
        <w:rPr>
          <w:rFonts w:ascii="Lato;sans-serif" w:hAnsi="Lato;sans-serif"/>
          <w:b w:val="false"/>
          <w:color w:val="000000"/>
          <w:sz w:val="20"/>
        </w:rPr>
        <w:t>I understand that the Company is engaged in a continuous program of research, development, production and marketing in connection with its current and projected business and that it is critical for the Company to preserve and protect its “</w:t>
      </w:r>
      <w:r>
        <w:rPr>
          <w:rFonts w:ascii="Lato;sans-serif" w:hAnsi="Lato;sans-serif"/>
          <w:b/>
          <w:i/>
          <w:color w:val="000000"/>
          <w:sz w:val="20"/>
        </w:rPr>
        <w:t>Proprietary Information</w:t>
      </w:r>
      <w:r>
        <w:rPr>
          <w:color w:val="000000"/>
        </w:rPr>
        <w:t xml:space="preserve">” </w:t>
      </w:r>
      <w:r>
        <w:rPr>
          <w:rFonts w:ascii="Lato;sans-serif" w:hAnsi="Lato;sans-serif"/>
          <w:b w:val="false"/>
          <w:color w:val="000000"/>
          <w:sz w:val="20"/>
        </w:rPr>
        <w:t>(as defined in Section 8 below), its rights in “</w:t>
      </w:r>
      <w:r>
        <w:rPr>
          <w:rFonts w:ascii="Lato;sans-serif" w:hAnsi="Lato;sans-serif"/>
          <w:b/>
          <w:i/>
          <w:color w:val="000000"/>
          <w:sz w:val="20"/>
        </w:rPr>
        <w:t>Inventions</w:t>
      </w:r>
      <w:r>
        <w:rPr>
          <w:color w:val="000000"/>
        </w:rPr>
        <w:t xml:space="preserve">” </w:t>
      </w:r>
      <w:r>
        <w:rPr>
          <w:rFonts w:ascii="Lato;sans-serif" w:hAnsi="Lato;sans-serif"/>
          <w:b w:val="false"/>
          <w:color w:val="000000"/>
          <w:sz w:val="20"/>
        </w:rPr>
        <w:t>(as defined in Section 2 below) and in all related intellectual property rights. Accordingly, I am entering into this Agreement as a condition of my employment with the Company, whether or not I am expected to create inventions or other works of value for the Company.</w:t>
      </w:r>
    </w:p>
    <w:p>
      <w:pPr>
        <w:pStyle w:val="TextBody"/>
        <w:bidi w:val="0"/>
        <w:spacing w:before="0" w:after="0"/>
        <w:jc w:val="left"/>
        <w:rPr/>
      </w:pPr>
      <w:r>
        <w:rPr/>
      </w:r>
    </w:p>
    <w:p>
      <w:pPr>
        <w:pStyle w:val="TextBody"/>
        <w:bidi w:val="0"/>
        <w:spacing w:lineRule="auto" w:line="292" w:before="1" w:after="283"/>
        <w:ind w:left="0" w:right="0" w:firstLine="720"/>
        <w:jc w:val="both"/>
        <w:rPr/>
      </w:pPr>
      <w:r>
        <w:rPr>
          <w:rFonts w:ascii="Arial;sans-serif" w:hAnsi="Arial;sans-serif"/>
          <w:b/>
          <w:color w:val="000000"/>
          <w:sz w:val="19"/>
        </w:rPr>
        <w:t>11.</w:t>
      </w:r>
      <w:r>
        <w:rPr>
          <w:rFonts w:ascii="Lato;sans-serif" w:hAnsi="Lato;sans-serif"/>
          <w:b/>
          <w:color w:val="000000"/>
          <w:sz w:val="20"/>
          <w:u w:val="single"/>
        </w:rPr>
        <w:t>Disclosure of Inventions</w:t>
      </w:r>
      <w:r>
        <w:rPr>
          <w:rFonts w:ascii="Lato;sans-serif" w:hAnsi="Lato;sans-serif"/>
          <w:b/>
          <w:color w:val="000000"/>
          <w:sz w:val="20"/>
        </w:rPr>
        <w:t xml:space="preserve">. </w:t>
      </w:r>
      <w:r>
        <w:rPr>
          <w:rFonts w:ascii="Lato;sans-serif" w:hAnsi="Lato;sans-serif"/>
          <w:b w:val="false"/>
          <w:color w:val="000000"/>
          <w:sz w:val="20"/>
        </w:rPr>
        <w:t>I will promptly disclose in confidence to the Company, or any person designated by it, all inventions, improvements, designs, original works of authorship, formulas, processes, compositions of matter, computer software programs, databases, mask works and trade secrets that I make, conceive, first reduce to practice or create, either alone or jointly with others, during the period of my employment, whether or not in the course of my employment, and whether or not patentable, copyrightable or protectable as trade secrets (the “</w:t>
      </w:r>
      <w:r>
        <w:rPr>
          <w:rFonts w:ascii="Lato;sans-serif" w:hAnsi="Lato;sans-serif"/>
          <w:b/>
          <w:i/>
          <w:color w:val="000000"/>
          <w:sz w:val="20"/>
        </w:rPr>
        <w:t>Inventions</w:t>
      </w:r>
      <w:r>
        <w:rPr>
          <w:color w:val="000000"/>
        </w:rPr>
        <w:t>”</w:t>
      </w:r>
      <w:r>
        <w:rPr>
          <w:rFonts w:ascii="Lato;sans-serif" w:hAnsi="Lato;sans-serif"/>
          <w:b w:val="false"/>
          <w:color w:val="000000"/>
          <w:sz w:val="20"/>
        </w:rPr>
        <w:t>).</w:t>
      </w:r>
    </w:p>
    <w:p>
      <w:pPr>
        <w:pStyle w:val="TextBody"/>
        <w:bidi w:val="0"/>
        <w:spacing w:before="4" w:after="283"/>
        <w:jc w:val="left"/>
        <w:rPr/>
      </w:pPr>
      <w:r>
        <w:rPr/>
      </w:r>
    </w:p>
    <w:p>
      <w:pPr>
        <w:pStyle w:val="TextBody"/>
        <w:bidi w:val="0"/>
        <w:spacing w:lineRule="auto" w:line="292" w:before="0" w:after="0"/>
        <w:ind w:left="0" w:right="0" w:firstLine="721"/>
        <w:jc w:val="both"/>
        <w:rPr/>
      </w:pPr>
      <w:r>
        <w:rPr>
          <w:rFonts w:ascii="Arial;sans-serif" w:hAnsi="Arial;sans-serif"/>
          <w:b/>
          <w:color w:val="000000"/>
          <w:sz w:val="19"/>
        </w:rPr>
        <w:t>12.</w:t>
      </w:r>
      <w:r>
        <w:rPr>
          <w:rFonts w:ascii="Lato;sans-serif" w:hAnsi="Lato;sans-serif"/>
          <w:b/>
          <w:color w:val="000000"/>
          <w:sz w:val="20"/>
          <w:u w:val="single"/>
        </w:rPr>
        <w:t>Work for Hire; Assignment of Inventions</w:t>
      </w:r>
      <w:r>
        <w:rPr>
          <w:rFonts w:ascii="Lato;sans-serif" w:hAnsi="Lato;sans-serif"/>
          <w:b/>
          <w:color w:val="000000"/>
          <w:sz w:val="20"/>
        </w:rPr>
        <w:t xml:space="preserve">. </w:t>
      </w:r>
      <w:r>
        <w:rPr>
          <w:rFonts w:ascii="Lato;sans-serif" w:hAnsi="Lato;sans-serif"/>
          <w:b w:val="false"/>
          <w:color w:val="000000"/>
          <w:sz w:val="20"/>
        </w:rPr>
        <w:t>I acknowledge and agree that any copyrightable works prepared by me within the scope of my employment are “works for hire” under the Copyright Act and that the Company will be considered the author and owner of such copyrightable works. I agree that all Inventions that I make, create, conceive or first reduce to practice during the period of my employment, whether or not in the course of my employment, and whether or not patentable, copyrightable or protectable as a trade secret, and that (i) are developed using equipment, supplies, facilities or trade secrets of the Company; (ii) result from work performed by me for the Company; or (iii) relate to the Company’s business or actual or demonstrably anticipated research and development (the “</w:t>
      </w:r>
      <w:r>
        <w:rPr>
          <w:rFonts w:ascii="Lato;sans-serif" w:hAnsi="Lato;sans-serif"/>
          <w:b/>
          <w:i/>
          <w:color w:val="000000"/>
          <w:sz w:val="20"/>
        </w:rPr>
        <w:t>Assigned Inventions</w:t>
      </w:r>
      <w:r>
        <w:rPr>
          <w:color w:val="000000"/>
        </w:rPr>
        <w:t>”</w:t>
      </w:r>
      <w:r>
        <w:rPr>
          <w:rFonts w:ascii="Lato;sans-serif" w:hAnsi="Lato;sans-serif"/>
          <w:b w:val="false"/>
          <w:color w:val="000000"/>
          <w:sz w:val="20"/>
        </w:rPr>
        <w:t xml:space="preserve">), will be the sole and exclusive property of the Company. </w:t>
      </w:r>
    </w:p>
    <w:p>
      <w:pPr>
        <w:pStyle w:val="TextBody"/>
        <w:bidi w:val="0"/>
        <w:spacing w:before="0" w:after="0"/>
        <w:jc w:val="left"/>
        <w:rPr/>
      </w:pPr>
      <w:r>
        <w:rPr/>
      </w:r>
    </w:p>
    <w:p>
      <w:pPr>
        <w:pStyle w:val="TextBody"/>
        <w:bidi w:val="0"/>
        <w:spacing w:lineRule="auto" w:line="292"/>
        <w:ind w:left="0" w:right="0" w:firstLine="721"/>
        <w:jc w:val="both"/>
        <w:rPr/>
      </w:pPr>
      <w:r>
        <w:rPr>
          <w:rFonts w:ascii="Arial;sans-serif" w:hAnsi="Arial;sans-serif"/>
          <w:b/>
          <w:color w:val="000000"/>
          <w:sz w:val="19"/>
        </w:rPr>
        <w:t>13.</w:t>
      </w:r>
      <w:r>
        <w:rPr>
          <w:rFonts w:ascii="Lato;sans-serif" w:hAnsi="Lato;sans-serif"/>
          <w:b/>
          <w:color w:val="222222"/>
          <w:sz w:val="20"/>
          <w:u w:val="single"/>
          <w:shd w:fill="FFFFFF" w:val="clear"/>
        </w:rPr>
        <w:t>Excluded Inventions and Other Inventions</w:t>
      </w:r>
      <w:r>
        <w:rPr>
          <w:rFonts w:ascii="Lato;sans-serif" w:hAnsi="Lato;sans-serif"/>
          <w:b/>
          <w:color w:val="222222"/>
          <w:sz w:val="20"/>
          <w:shd w:fill="FFFFFF" w:val="clear"/>
        </w:rPr>
        <w:t>.</w:t>
      </w:r>
      <w:r>
        <w:rPr>
          <w:color w:val="222222"/>
          <w:shd w:fill="FFFFFF" w:val="clear"/>
        </w:rPr>
        <w:t xml:space="preserve"> </w:t>
      </w:r>
      <w:r>
        <w:rPr>
          <w:rFonts w:ascii="Lato;sans-serif" w:hAnsi="Lato;sans-serif"/>
          <w:b w:val="false"/>
          <w:color w:val="222222"/>
          <w:sz w:val="20"/>
          <w:shd w:fill="FFFFFF" w:val="clear"/>
        </w:rPr>
        <w:t xml:space="preserve">Attached hereto as </w:t>
      </w:r>
      <w:r>
        <w:rPr>
          <w:rFonts w:ascii="Lato;sans-serif" w:hAnsi="Lato;sans-serif"/>
          <w:b/>
          <w:color w:val="222222"/>
          <w:sz w:val="20"/>
          <w:u w:val="single"/>
          <w:shd w:fill="FFFFFF" w:val="clear"/>
        </w:rPr>
        <w:t>Exhibit A</w:t>
      </w:r>
      <w:r>
        <w:rPr>
          <w:color w:val="222222"/>
          <w:shd w:fill="FFFFFF" w:val="clear"/>
        </w:rPr>
        <w:t xml:space="preserve"> </w:t>
      </w:r>
      <w:r>
        <w:rPr>
          <w:rFonts w:ascii="Lato;sans-serif" w:hAnsi="Lato;sans-serif"/>
          <w:b w:val="false"/>
          <w:color w:val="222222"/>
          <w:sz w:val="20"/>
          <w:shd w:fill="FFFFFF" w:val="clear"/>
        </w:rPr>
        <w:t>is a list describing all Inventions, if any, that may relate to the Company’s business or actual or demonstrably anticipated research or development and that were made, developed or acquired by me prior to the Effective Date (as defined in Section 26, below) of this Agreement, which are not being assigned to the Company (the “</w:t>
      </w:r>
      <w:r>
        <w:rPr>
          <w:rFonts w:ascii="Lato;sans-serif" w:hAnsi="Lato;sans-serif"/>
          <w:b/>
          <w:i/>
          <w:color w:val="222222"/>
          <w:sz w:val="20"/>
          <w:shd w:fill="FFFFFF" w:val="clear"/>
        </w:rPr>
        <w:t>Excluded Inventions</w:t>
      </w:r>
      <w:r>
        <w:rPr>
          <w:color w:val="222222"/>
          <w:shd w:fill="FFFFFF" w:val="clear"/>
        </w:rPr>
        <w:t>”</w:t>
      </w:r>
      <w:r>
        <w:rPr>
          <w:rFonts w:ascii="Lato;sans-serif" w:hAnsi="Lato;sans-serif"/>
          <w:b w:val="false"/>
          <w:color w:val="222222"/>
          <w:sz w:val="20"/>
          <w:shd w:fill="FFFFFF" w:val="clear"/>
        </w:rPr>
        <w:t xml:space="preserve">). If no such list is attached, I represent and agree that it is because I have no rights in any existing Inventions that may relate to the Company’s business or actual or demonstrably anticipated research or development. If disclosure of any such existing Inventions would cause me to violate any prior confidentiality agreement, I shall not list such existing Inventions in </w:t>
      </w:r>
      <w:r>
        <w:rPr>
          <w:rFonts w:ascii="Lato;sans-serif" w:hAnsi="Lato;sans-serif"/>
          <w:b/>
          <w:color w:val="222222"/>
          <w:sz w:val="20"/>
          <w:shd w:fill="FFFFFF" w:val="clear"/>
        </w:rPr>
        <w:t>Exhibit A</w:t>
      </w:r>
      <w:r>
        <w:rPr>
          <w:rFonts w:ascii="Lato;sans-serif" w:hAnsi="Lato;sans-serif"/>
          <w:b w:val="false"/>
          <w:color w:val="222222"/>
          <w:sz w:val="20"/>
          <w:shd w:fill="FFFFFF" w:val="clear"/>
        </w:rPr>
        <w:t xml:space="preserve">, but shall instead list on </w:t>
      </w:r>
      <w:r>
        <w:rPr>
          <w:rFonts w:ascii="Lato;sans-serif" w:hAnsi="Lato;sans-serif"/>
          <w:b/>
          <w:color w:val="222222"/>
          <w:sz w:val="20"/>
          <w:shd w:fill="FFFFFF" w:val="clear"/>
        </w:rPr>
        <w:t>Exhibit A</w:t>
      </w:r>
      <w:r>
        <w:rPr>
          <w:color w:val="222222"/>
          <w:shd w:fill="FFFFFF" w:val="clear"/>
        </w:rPr>
        <w:t xml:space="preserve"> </w:t>
      </w:r>
      <w:r>
        <w:rPr>
          <w:rFonts w:ascii="Lato;sans-serif" w:hAnsi="Lato;sans-serif"/>
          <w:b w:val="false"/>
          <w:color w:val="222222"/>
          <w:sz w:val="20"/>
          <w:shd w:fill="FFFFFF" w:val="clear"/>
        </w:rPr>
        <w:t>only (i) a cursory, non-proprietary name for each such existing Invention, (ii) the party (or parties) to whom it belongs and (iii) the fact that full disclosure as to such prior Invention(s) has not been made for that reason. For purposes of this Agreement, “</w:t>
      </w:r>
      <w:r>
        <w:rPr>
          <w:rFonts w:ascii="Lato;sans-serif" w:hAnsi="Lato;sans-serif"/>
          <w:b/>
          <w:i/>
          <w:color w:val="222222"/>
          <w:sz w:val="20"/>
          <w:shd w:fill="FFFFFF" w:val="clear"/>
        </w:rPr>
        <w:t>Other Inventions</w:t>
      </w:r>
      <w:r>
        <w:rPr>
          <w:color w:val="222222"/>
          <w:shd w:fill="FFFFFF" w:val="clear"/>
        </w:rPr>
        <w:t xml:space="preserve">” </w:t>
      </w:r>
      <w:r>
        <w:rPr>
          <w:rFonts w:ascii="Lato;sans-serif" w:hAnsi="Lato;sans-serif"/>
          <w:b w:val="false"/>
          <w:color w:val="222222"/>
          <w:sz w:val="20"/>
          <w:shd w:fill="FFFFFF" w:val="clear"/>
        </w:rPr>
        <w:t xml:space="preserve">means Inventions in which I have or may have an interest, as of the Effective Date or thereafter, other than Assigned Inventions and Excluded Inventions. I acknowledge and agree that if, in the scope of my employment, I use any Excluded Inventions or any Other Inventions, or if I include any Excluded Inventions or Other Inventions in any product or service of the Company, or if my rights in any Excluded Inventions or Other Inventions may block or interfere with, or may otherwise be required for, the exercise by the Company of any rights assigned to the Company under this Agreement, I will immediately so notify the Company in writing. Unless the Company and I agree otherwise in writing as to particular </w:t>
      </w:r>
    </w:p>
    <w:p>
      <w:pPr>
        <w:pStyle w:val="TextBody"/>
        <w:bidi w:val="0"/>
        <w:spacing w:before="0" w:after="240"/>
        <w:jc w:val="center"/>
        <w:rPr/>
      </w:pPr>
      <w:r>
        <w:rPr/>
      </w:r>
      <w:r>
        <mc:AlternateContent>
          <mc:Choice Requires="wps">
            <w:drawing>
              <wp:anchor behindDoc="0" distT="0" distB="0" distL="0" distR="0" simplePos="0" locked="0" layoutInCell="1" allowOverlap="1" relativeHeight="106">
                <wp:simplePos x="0" y="0"/>
                <wp:positionH relativeFrom="character">
                  <wp:align>left</wp:align>
                </wp:positionH>
                <wp:positionV relativeFrom="line">
                  <wp:posOffset>635</wp:posOffset>
                </wp:positionV>
                <wp:extent cx="6480175" cy="175260"/>
                <wp:effectExtent l="0" t="0" r="0" b="0"/>
                <wp:wrapNone/>
                <wp:docPr id="105" name="Frame9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92" w:before="0" w:after="0"/>
        <w:jc w:val="both"/>
        <w:rPr>
          <w:rFonts w:ascii="Lato;sans-serif" w:hAnsi="Lato;sans-serif"/>
          <w:b w:val="false"/>
          <w:color w:val="222222"/>
          <w:sz w:val="20"/>
          <w:shd w:fill="FFFFFF" w:val="clear"/>
        </w:rPr>
      </w:pPr>
      <w:r>
        <w:rPr>
          <w:rFonts w:ascii="Lato;sans-serif" w:hAnsi="Lato;sans-serif"/>
          <w:b w:val="false"/>
          <w:color w:val="222222"/>
          <w:sz w:val="20"/>
          <w:shd w:fill="FFFFFF" w:val="clear"/>
        </w:rPr>
        <w:t>Excluded Inventions or Other Inventions, I hereby grant to the Company, in such circumstances (whether or not I give the Company notice as required above), a perpetual, irrevocable, nonexclusive, transferable, world-wide, royalty-free license to use, disclose, make, sell, offer for sale, import, copy, distribute, modify and create works based on, perform, and display such Excluded Inventions and Other Inventions, and to sublicense third parties in one or more tiers of sublicensees with the same rights.</w:t>
      </w:r>
    </w:p>
    <w:p>
      <w:pPr>
        <w:pStyle w:val="TextBody"/>
        <w:bidi w:val="0"/>
        <w:spacing w:before="0" w:after="0"/>
        <w:jc w:val="left"/>
        <w:rPr/>
      </w:pPr>
      <w:r>
        <w:rPr/>
      </w:r>
    </w:p>
    <w:p>
      <w:pPr>
        <w:pStyle w:val="TextBody"/>
        <w:bidi w:val="0"/>
        <w:spacing w:lineRule="auto" w:line="292" w:before="0" w:after="0"/>
        <w:ind w:left="0" w:right="0" w:firstLine="721"/>
        <w:jc w:val="both"/>
        <w:rPr/>
      </w:pPr>
      <w:r>
        <w:rPr>
          <w:rFonts w:ascii="Arial;sans-serif" w:hAnsi="Arial;sans-serif"/>
          <w:b/>
          <w:color w:val="000000"/>
          <w:sz w:val="19"/>
        </w:rPr>
        <w:t>14.</w:t>
      </w:r>
      <w:r>
        <w:rPr>
          <w:rFonts w:ascii="Lato;sans-serif" w:hAnsi="Lato;sans-serif"/>
          <w:b/>
          <w:color w:val="222222"/>
          <w:sz w:val="20"/>
          <w:u w:val="single"/>
          <w:shd w:fill="FFFFFF" w:val="clear"/>
        </w:rPr>
        <w:t>Exception to Assignment</w:t>
      </w:r>
      <w:r>
        <w:rPr>
          <w:rFonts w:ascii="Lato;sans-serif" w:hAnsi="Lato;sans-serif"/>
          <w:b w:val="false"/>
          <w:color w:val="222222"/>
          <w:sz w:val="20"/>
          <w:shd w:fill="FFFFFF" w:val="clear"/>
        </w:rPr>
        <w:t xml:space="preserve">. I understand that the Assigned Inventions will not include, and the provisions of this Agreement requiring assignment of inventions to the Company do not apply to, any invention that qualifies fully for exclusion under applicable law or as otherwise set forth in </w:t>
      </w:r>
      <w:r>
        <w:rPr>
          <w:rFonts w:ascii="Lato;sans-serif" w:hAnsi="Lato;sans-serif"/>
          <w:b w:val="false"/>
          <w:color w:val="222222"/>
          <w:sz w:val="20"/>
          <w:u w:val="single"/>
          <w:shd w:fill="FFFFFF" w:val="clear"/>
        </w:rPr>
        <w:t>Exhibit B</w:t>
      </w:r>
      <w:r>
        <w:rPr>
          <w:rFonts w:ascii="Lato;sans-serif" w:hAnsi="Lato;sans-serif"/>
          <w:b w:val="false"/>
          <w:color w:val="222222"/>
          <w:sz w:val="20"/>
          <w:shd w:fill="FFFFFF" w:val="clear"/>
        </w:rPr>
        <w:t>.</w:t>
      </w:r>
    </w:p>
    <w:p>
      <w:pPr>
        <w:pStyle w:val="TextBody"/>
        <w:bidi w:val="0"/>
        <w:spacing w:before="0" w:after="0"/>
        <w:jc w:val="both"/>
        <w:rPr/>
      </w:pPr>
      <w:r>
        <w:rPr/>
      </w:r>
    </w:p>
    <w:p>
      <w:pPr>
        <w:pStyle w:val="TextBody"/>
        <w:bidi w:val="0"/>
        <w:spacing w:lineRule="auto" w:line="292" w:before="0" w:after="0"/>
        <w:ind w:left="0" w:right="0" w:firstLine="720"/>
        <w:jc w:val="both"/>
        <w:rPr/>
      </w:pPr>
      <w:r>
        <w:rPr>
          <w:rFonts w:ascii="Arial;sans-serif" w:hAnsi="Arial;sans-serif"/>
          <w:b/>
          <w:color w:val="000000"/>
          <w:sz w:val="19"/>
        </w:rPr>
        <w:t>15.</w:t>
      </w:r>
      <w:r>
        <w:rPr>
          <w:rFonts w:ascii="Lato;sans-serif" w:hAnsi="Lato;sans-serif"/>
          <w:b/>
          <w:color w:val="000000"/>
          <w:sz w:val="20"/>
          <w:u w:val="single"/>
        </w:rPr>
        <w:t>Assignment of Rights</w:t>
      </w:r>
      <w:r>
        <w:rPr>
          <w:rFonts w:ascii="Lato;sans-serif" w:hAnsi="Lato;sans-serif"/>
          <w:b/>
          <w:color w:val="000000"/>
          <w:sz w:val="20"/>
        </w:rPr>
        <w:t>.</w:t>
      </w:r>
      <w:r>
        <w:rPr>
          <w:color w:val="000000"/>
        </w:rPr>
        <w:t xml:space="preserve"> </w:t>
      </w:r>
      <w:r>
        <w:rPr>
          <w:rFonts w:ascii="Lato;sans-serif" w:hAnsi="Lato;sans-serif"/>
          <w:b w:val="false"/>
          <w:color w:val="000000"/>
          <w:sz w:val="20"/>
        </w:rPr>
        <w:t>I agree to assign, and do hereby irrevocably transfer and assign, to the Company: (i) all of my rights, title and interests in and with respect to any Assigned Inventions; (ii) all patents, patent applications, copyrights, mask works, rights in databases, trade secrets and other intellectual property rights, worldwide, in any Assigned Inventions, along with any registrations of or applications to register such rights; and (iii) to the extent assignable, any and all Moral Rights (as defined below) that I may have in or with respect to any Assigned Inventions. I also hereby forever waive and agree never to assert any and all Moral Rights I may have in or with respect to any Assigned Inventions, Excluded Inventions or Other Inventions licensed to the Company under this Agreement, even after termination of my employment with the Company. “</w:t>
      </w:r>
      <w:r>
        <w:rPr>
          <w:rFonts w:ascii="Lato;sans-serif" w:hAnsi="Lato;sans-serif"/>
          <w:b/>
          <w:i/>
          <w:color w:val="000000"/>
          <w:sz w:val="20"/>
        </w:rPr>
        <w:t>Moral Rights</w:t>
      </w:r>
      <w:r>
        <w:rPr>
          <w:color w:val="000000"/>
        </w:rPr>
        <w:t xml:space="preserve">” </w:t>
      </w:r>
      <w:r>
        <w:rPr>
          <w:rFonts w:ascii="Lato;sans-serif" w:hAnsi="Lato;sans-serif"/>
          <w:b w:val="false"/>
          <w:color w:val="000000"/>
          <w:sz w:val="20"/>
        </w:rPr>
        <w:t>means any rights to claim authorship of a work, to object to or prevent the modification or destruction of a work, or to withdraw from circulation or control the publication or distribution of a work, and any similar right, regardless of whether or not such right is denominated or generally referred to as a “moral right.”</w:t>
      </w:r>
    </w:p>
    <w:p>
      <w:pPr>
        <w:pStyle w:val="TextBody"/>
        <w:bidi w:val="0"/>
        <w:spacing w:before="2" w:after="283"/>
        <w:jc w:val="left"/>
        <w:rPr/>
      </w:pPr>
      <w:r>
        <w:rPr/>
      </w:r>
    </w:p>
    <w:p>
      <w:pPr>
        <w:pStyle w:val="TextBody"/>
        <w:bidi w:val="0"/>
        <w:spacing w:lineRule="auto" w:line="292" w:before="0" w:after="0"/>
        <w:ind w:left="0" w:right="0" w:firstLine="720"/>
        <w:jc w:val="both"/>
        <w:rPr/>
      </w:pPr>
      <w:r>
        <w:rPr>
          <w:rFonts w:ascii="Arial;sans-serif" w:hAnsi="Arial;sans-serif"/>
          <w:b/>
          <w:color w:val="000000"/>
          <w:sz w:val="19"/>
        </w:rPr>
        <w:t>16.</w:t>
      </w:r>
      <w:r>
        <w:rPr>
          <w:rFonts w:ascii="Lato;sans-serif" w:hAnsi="Lato;sans-serif"/>
          <w:b/>
          <w:color w:val="000000"/>
          <w:sz w:val="20"/>
          <w:u w:val="single"/>
        </w:rPr>
        <w:t>Assistance</w:t>
      </w:r>
      <w:r>
        <w:rPr>
          <w:rFonts w:ascii="Lato;sans-serif" w:hAnsi="Lato;sans-serif"/>
          <w:b/>
          <w:color w:val="000000"/>
          <w:sz w:val="20"/>
        </w:rPr>
        <w:t xml:space="preserve">. </w:t>
      </w:r>
      <w:r>
        <w:rPr>
          <w:rFonts w:ascii="Lato;sans-serif" w:hAnsi="Lato;sans-serif"/>
          <w:b w:val="false"/>
          <w:color w:val="000000"/>
          <w:sz w:val="20"/>
        </w:rPr>
        <w:t>I agree to assist the Company in every proper way to obtain and enforce for the Company all patents, copyrights, mask work rights, trade secret rights and other legal protections for the Assigned Inventions worldwide. I will execute and deliver any documents that the Company may reasonably request from me in connection with providing assistance as described herein. My obligations under this section will continue beyond the termination of my employment with the Company; provided that the Company agrees to compensate me at a reasonable rate after such termination for time and/or expenses actually spent by me at the Company’s request in providing such assistance. I hereby appoint the Secretary of the Company as my attorney-in-fact to execute documents on my behalf for this purpose. I agree that this appointment is coupled with an interest and will not be revocable.</w:t>
      </w:r>
    </w:p>
    <w:p>
      <w:pPr>
        <w:pStyle w:val="TextBody"/>
        <w:bidi w:val="0"/>
        <w:spacing w:before="3" w:after="283"/>
        <w:jc w:val="left"/>
        <w:rPr/>
      </w:pPr>
      <w:r>
        <w:rPr/>
      </w:r>
    </w:p>
    <w:p>
      <w:pPr>
        <w:pStyle w:val="TextBody"/>
        <w:bidi w:val="0"/>
        <w:spacing w:lineRule="auto" w:line="292" w:before="0" w:after="0"/>
        <w:ind w:left="0" w:right="0" w:firstLine="720"/>
        <w:jc w:val="both"/>
        <w:rPr/>
      </w:pPr>
      <w:r>
        <w:rPr>
          <w:rFonts w:ascii="Arial;sans-serif" w:hAnsi="Arial;sans-serif"/>
          <w:b/>
          <w:color w:val="000000"/>
          <w:sz w:val="19"/>
        </w:rPr>
        <w:t>17.</w:t>
      </w:r>
      <w:r>
        <w:rPr>
          <w:rFonts w:ascii="Lato;sans-serif" w:hAnsi="Lato;sans-serif"/>
          <w:b/>
          <w:color w:val="000000"/>
          <w:sz w:val="20"/>
          <w:u w:val="single"/>
        </w:rPr>
        <w:t>Proprietary Information</w:t>
      </w:r>
      <w:r>
        <w:rPr>
          <w:rFonts w:ascii="Lato;sans-serif" w:hAnsi="Lato;sans-serif"/>
          <w:b/>
          <w:color w:val="000000"/>
          <w:sz w:val="20"/>
        </w:rPr>
        <w:t xml:space="preserve">. </w:t>
      </w:r>
      <w:r>
        <w:rPr>
          <w:rFonts w:ascii="Lato;sans-serif" w:hAnsi="Lato;sans-serif"/>
          <w:b w:val="false"/>
          <w:color w:val="000000"/>
          <w:sz w:val="20"/>
        </w:rPr>
        <w:t>I understand that my employment by the Company creates a relationship of confidence and trust with respect to any information or materials of a confidential or secret nature that may be made, created or discovered by me or that may be disclosed to me by the Company or a third party in relation to the business of the Company or to the business of any parent, subsidiary, affiliate, customer or supplier of the Company or any other party with whom the Company agrees to hold such information or materials in confidence (the “</w:t>
      </w:r>
      <w:r>
        <w:rPr>
          <w:rFonts w:ascii="Lato;sans-serif" w:hAnsi="Lato;sans-serif"/>
          <w:b/>
          <w:i/>
          <w:color w:val="000000"/>
          <w:sz w:val="20"/>
        </w:rPr>
        <w:t>Proprietary Information</w:t>
      </w:r>
      <w:r>
        <w:rPr>
          <w:color w:val="000000"/>
        </w:rPr>
        <w:t>”</w:t>
      </w:r>
      <w:r>
        <w:rPr>
          <w:rFonts w:ascii="Lato;sans-serif" w:hAnsi="Lato;sans-serif"/>
          <w:b w:val="false"/>
          <w:color w:val="000000"/>
          <w:sz w:val="20"/>
        </w:rPr>
        <w:t>). Without limitation as to the forms that Proprietary Information may take, I acknowledge that Proprietary Information may be contained in tangible material such as writings, drawings, samples, electronic media, or computer programs, or may be in the nature of unwritten knowledge or know-how. Proprietary Information includes, but is not limited to, Assigned Inventions, marketing plans, product plans, designs, data, prototypes, specimens, test protocols, laboratory notebooks, business strategies, financial information, forecasts, personnel information, domain names, contract information, customer and/or supplier lists and data, the non-public names and addresses of the Company’s customers and suppliers, their buying and selling habits and special needs.</w:t>
      </w:r>
    </w:p>
    <w:p>
      <w:pPr>
        <w:pStyle w:val="TextBody"/>
        <w:bidi w:val="0"/>
        <w:spacing w:before="1" w:after="283"/>
        <w:jc w:val="left"/>
        <w:rPr/>
      </w:pPr>
      <w:r>
        <w:rPr/>
      </w:r>
    </w:p>
    <w:p>
      <w:pPr>
        <w:pStyle w:val="TextBody"/>
        <w:bidi w:val="0"/>
        <w:spacing w:lineRule="auto" w:line="292" w:before="1" w:after="283"/>
        <w:ind w:left="0" w:right="0" w:firstLine="720"/>
        <w:jc w:val="both"/>
        <w:rPr/>
      </w:pPr>
      <w:r>
        <w:rPr>
          <w:rFonts w:ascii="Arial;sans-serif" w:hAnsi="Arial;sans-serif"/>
          <w:b/>
          <w:color w:val="000000"/>
          <w:sz w:val="19"/>
        </w:rPr>
        <w:t>18.</w:t>
      </w:r>
      <w:r>
        <w:rPr>
          <w:rFonts w:ascii="Lato;sans-serif" w:hAnsi="Lato;sans-serif"/>
          <w:b/>
          <w:color w:val="000000"/>
          <w:sz w:val="20"/>
          <w:u w:val="single"/>
        </w:rPr>
        <w:t>Confidentiality</w:t>
      </w:r>
      <w:r>
        <w:rPr>
          <w:rFonts w:ascii="Lato;sans-serif" w:hAnsi="Lato;sans-serif"/>
          <w:b/>
          <w:color w:val="000000"/>
          <w:sz w:val="20"/>
        </w:rPr>
        <w:t xml:space="preserve">. </w:t>
      </w:r>
      <w:r>
        <w:rPr>
          <w:rFonts w:ascii="Lato;sans-serif" w:hAnsi="Lato;sans-serif"/>
          <w:b w:val="false"/>
          <w:color w:val="000000"/>
          <w:sz w:val="20"/>
        </w:rPr>
        <w:t xml:space="preserve">At all times, both during my employment and after its termination, and to the fullest extent permitted by law, I will keep and hold all Proprietary Information in strict confidence and trust. I will not use or disclose any Proprietary Information without the prior written consent of the Company in each instance, except as may be necessary to perform my duties as an employee of the </w:t>
      </w:r>
    </w:p>
    <w:p>
      <w:pPr>
        <w:pStyle w:val="TextBody"/>
        <w:bidi w:val="0"/>
        <w:spacing w:before="0" w:after="240"/>
        <w:jc w:val="center"/>
        <w:rPr/>
      </w:pPr>
      <w:r>
        <w:rPr/>
      </w:r>
      <w:r>
        <mc:AlternateContent>
          <mc:Choice Requires="wps">
            <w:drawing>
              <wp:anchor behindDoc="0" distT="0" distB="0" distL="0" distR="0" simplePos="0" locked="0" layoutInCell="1" allowOverlap="1" relativeHeight="107">
                <wp:simplePos x="0" y="0"/>
                <wp:positionH relativeFrom="character">
                  <wp:align>left</wp:align>
                </wp:positionH>
                <wp:positionV relativeFrom="line">
                  <wp:posOffset>635</wp:posOffset>
                </wp:positionV>
                <wp:extent cx="6480175" cy="175260"/>
                <wp:effectExtent l="0" t="0" r="0" b="0"/>
                <wp:wrapNone/>
                <wp:docPr id="106" name="Frame9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92" w:before="1" w:after="283"/>
        <w:jc w:val="both"/>
        <w:rPr/>
      </w:pPr>
      <w:r>
        <w:rPr>
          <w:rFonts w:ascii="Lato;sans-serif" w:hAnsi="Lato;sans-serif"/>
          <w:b w:val="false"/>
          <w:color w:val="000000"/>
          <w:sz w:val="20"/>
        </w:rPr>
        <w:t xml:space="preserve">Company for the benefit of the Company. Upon termination of my employment with the Company, I will promptly deliver to the Company all documents and materials of any nature pertaining to my work with the Company, and I will not take with me or retain in any form any documents or materials or copies thereof containing any Proprietary Information. Nothing in this Section 9 or otherwise in this Agreement shall limit or restrict in any way my immunity from liability for disclosing the Company’s trade secrets as specifically permitted by 18 U.S. Code Section 1833, the pertinent provisions of which are attached hereto as </w:t>
      </w:r>
      <w:r>
        <w:rPr>
          <w:rFonts w:ascii="Lato;sans-serif" w:hAnsi="Lato;sans-serif"/>
          <w:b w:val="false"/>
          <w:color w:val="000000"/>
          <w:sz w:val="20"/>
          <w:u w:val="single"/>
        </w:rPr>
        <w:t>Exhibit C.</w:t>
      </w:r>
    </w:p>
    <w:p>
      <w:pPr>
        <w:pStyle w:val="TextBody"/>
        <w:bidi w:val="0"/>
        <w:spacing w:before="0" w:after="0"/>
        <w:jc w:val="left"/>
        <w:rPr/>
      </w:pPr>
      <w:r>
        <w:rPr/>
      </w:r>
    </w:p>
    <w:p>
      <w:pPr>
        <w:pStyle w:val="TextBody"/>
        <w:bidi w:val="0"/>
        <w:spacing w:lineRule="auto" w:line="292" w:before="1" w:after="283"/>
        <w:ind w:left="0" w:right="0" w:firstLine="720"/>
        <w:jc w:val="both"/>
        <w:rPr/>
      </w:pPr>
      <w:r>
        <w:rPr>
          <w:rFonts w:ascii="Arial;sans-serif" w:hAnsi="Arial;sans-serif"/>
          <w:b/>
          <w:color w:val="000000"/>
          <w:sz w:val="19"/>
        </w:rPr>
        <w:t>19.</w:t>
      </w:r>
      <w:r>
        <w:rPr>
          <w:rFonts w:ascii="Lato;sans-serif" w:hAnsi="Lato;sans-serif"/>
          <w:b/>
          <w:color w:val="000000"/>
          <w:sz w:val="20"/>
          <w:u w:val="single"/>
        </w:rPr>
        <w:t>Physical Property</w:t>
      </w:r>
      <w:r>
        <w:rPr>
          <w:rFonts w:ascii="Lato;sans-serif" w:hAnsi="Lato;sans-serif"/>
          <w:b w:val="false"/>
          <w:color w:val="000000"/>
          <w:sz w:val="20"/>
        </w:rPr>
        <w:t xml:space="preserve">. All documents, supplies, equipment and other physical property furnished to me by the Company or produced by me or others in connection with my employment will be and remain the sole property of the Company. I will return to the Company all such items when requested by the Company, excepting only my personal copies of records relating to my employment or compensation and any personal property I bring with me to the Company and designate as such. Even if the Company does not so request, I will upon termination of my employment return to the Company all Company property, and I will not take with me or retain any such items. </w:t>
      </w:r>
    </w:p>
    <w:p>
      <w:pPr>
        <w:pStyle w:val="TextBody"/>
        <w:bidi w:val="0"/>
        <w:spacing w:before="1" w:after="283"/>
        <w:jc w:val="both"/>
        <w:rPr/>
      </w:pPr>
      <w:r>
        <w:rPr/>
      </w:r>
    </w:p>
    <w:p>
      <w:pPr>
        <w:pStyle w:val="TextBody"/>
        <w:bidi w:val="0"/>
        <w:spacing w:lineRule="auto" w:line="292" w:before="0" w:after="0"/>
        <w:ind w:left="0" w:right="0" w:firstLine="721"/>
        <w:jc w:val="both"/>
        <w:rPr/>
      </w:pPr>
      <w:r>
        <w:rPr>
          <w:rFonts w:ascii="Arial;sans-serif" w:hAnsi="Arial;sans-serif"/>
          <w:b/>
          <w:color w:val="000000"/>
          <w:sz w:val="19"/>
        </w:rPr>
        <w:t>20.</w:t>
      </w:r>
      <w:r>
        <w:rPr>
          <w:rFonts w:ascii="Lato;sans-serif" w:hAnsi="Lato;sans-serif"/>
          <w:b/>
          <w:color w:val="000000"/>
          <w:sz w:val="20"/>
          <w:u w:val="single"/>
        </w:rPr>
        <w:t>No Breach of Prior Agreements</w:t>
      </w:r>
      <w:r>
        <w:rPr>
          <w:rFonts w:ascii="Lato;sans-serif" w:hAnsi="Lato;sans-serif"/>
          <w:b/>
          <w:color w:val="000000"/>
          <w:sz w:val="20"/>
        </w:rPr>
        <w:t xml:space="preserve">. </w:t>
      </w:r>
      <w:r>
        <w:rPr>
          <w:rFonts w:ascii="Lato;sans-serif" w:hAnsi="Lato;sans-serif"/>
          <w:b w:val="false"/>
          <w:color w:val="000000"/>
          <w:sz w:val="20"/>
        </w:rPr>
        <w:t>I represent that my performance of all the terms of this Agreement and my duties as an employee of the Company will not breach any invention assignment, proprietary information, confidentiality or similar agreement with any former employer or other party. I represent that I will not bring with me to the Company or use in the performance of my duties for the Company any documents or materials or intangibles of my own, of a former employer or of third party that are not generally available to the public or have not been legally transferred to the Company.</w:t>
      </w:r>
    </w:p>
    <w:p>
      <w:pPr>
        <w:pStyle w:val="TextBody"/>
        <w:bidi w:val="0"/>
        <w:spacing w:before="11" w:after="283"/>
        <w:jc w:val="left"/>
        <w:rPr/>
      </w:pPr>
      <w:r>
        <w:rPr/>
      </w:r>
    </w:p>
    <w:p>
      <w:pPr>
        <w:pStyle w:val="TextBody"/>
        <w:bidi w:val="0"/>
        <w:spacing w:lineRule="auto" w:line="292" w:before="0" w:after="0"/>
        <w:ind w:left="0" w:right="0" w:firstLine="719"/>
        <w:jc w:val="both"/>
        <w:rPr/>
      </w:pPr>
      <w:r>
        <w:rPr>
          <w:rFonts w:ascii="Arial;sans-serif" w:hAnsi="Arial;sans-serif"/>
          <w:b/>
          <w:color w:val="000000"/>
          <w:sz w:val="19"/>
        </w:rPr>
        <w:t>21.</w:t>
      </w:r>
      <w:r>
        <w:rPr>
          <w:rFonts w:ascii="Lato;sans-serif" w:hAnsi="Lato;sans-serif"/>
          <w:b/>
          <w:color w:val="000000"/>
          <w:sz w:val="20"/>
          <w:u w:val="single"/>
        </w:rPr>
        <w:t>Company Opportunities; Duty Not to Compete While Employed By Company</w:t>
      </w:r>
      <w:r>
        <w:rPr>
          <w:rFonts w:ascii="Lato;sans-serif" w:hAnsi="Lato;sans-serif"/>
          <w:b/>
          <w:color w:val="000000"/>
          <w:sz w:val="20"/>
        </w:rPr>
        <w:t xml:space="preserve">. </w:t>
      </w:r>
      <w:r>
        <w:rPr>
          <w:rFonts w:ascii="Lato;sans-serif" w:hAnsi="Lato;sans-serif"/>
          <w:b w:val="false"/>
          <w:color w:val="000000"/>
          <w:sz w:val="20"/>
        </w:rPr>
        <w:t>I have not entered into, and I agree I will not enter into, any agreement, either written or oral, in conflict with this Agreement or my employment with the Company. I understand that my employment with the Company requires my undivided attention and effort. As a result, during my employment, I will not, without the Company’s prior, express written consent, engage in, or encourage or assist others to engage in, any other employment or activity that: (i) would divert from the Company any business opportunity in which the Company can reasonably be expected to have an interest; (ii) would directly or indirectly compete with, or involve preparation to compete with, the current or future business of the Company; or (iii) would otherwise conflict with the Company’s interests or could cause a disruption of its operations or prospects.</w:t>
      </w:r>
    </w:p>
    <w:p>
      <w:pPr>
        <w:pStyle w:val="TextBody"/>
        <w:bidi w:val="0"/>
        <w:spacing w:before="4" w:after="283"/>
        <w:jc w:val="left"/>
        <w:rPr/>
      </w:pPr>
      <w:r>
        <w:rPr/>
      </w:r>
    </w:p>
    <w:p>
      <w:pPr>
        <w:pStyle w:val="TextBody"/>
        <w:bidi w:val="0"/>
        <w:spacing w:lineRule="auto" w:line="292" w:before="1" w:after="283"/>
        <w:ind w:left="0" w:right="0" w:firstLine="721"/>
        <w:jc w:val="both"/>
        <w:rPr/>
      </w:pPr>
      <w:r>
        <w:rPr>
          <w:rFonts w:ascii="Arial;sans-serif" w:hAnsi="Arial;sans-serif"/>
          <w:b/>
          <w:color w:val="000000"/>
          <w:sz w:val="19"/>
        </w:rPr>
        <w:t>22.</w:t>
      </w:r>
      <w:r>
        <w:rPr>
          <w:rFonts w:ascii="Lato;sans-serif" w:hAnsi="Lato;sans-serif"/>
          <w:b/>
          <w:color w:val="000000"/>
          <w:sz w:val="20"/>
          <w:u w:val="single"/>
        </w:rPr>
        <w:t>Non-Solicitation of Employees and Consultants</w:t>
      </w:r>
      <w:r>
        <w:rPr>
          <w:rFonts w:ascii="Lato;sans-serif" w:hAnsi="Lato;sans-serif"/>
          <w:b w:val="false"/>
          <w:color w:val="000000"/>
          <w:sz w:val="20"/>
        </w:rPr>
        <w:t xml:space="preserve">. </w:t>
      </w:r>
      <w:r>
        <w:rPr>
          <w:rFonts w:ascii="Lato;sans-serif" w:hAnsi="Lato;sans-serif"/>
          <w:b w:val="false"/>
          <w:color w:val="222222"/>
          <w:sz w:val="20"/>
          <w:shd w:fill="FFFFFF" w:val="clear"/>
        </w:rPr>
        <w:t xml:space="preserve">During my employment with the Company and for a one (1) year period thereafter, I will not directly or indirectly solicit away employees or consultants of the Company for my own benefit or for the benefit of any other person or entity, nor will I encourage or assist others to do so. I agree to further state-specific provisions set forth in </w:t>
      </w:r>
      <w:r>
        <w:rPr>
          <w:rFonts w:ascii="Lato;sans-serif" w:hAnsi="Lato;sans-serif"/>
          <w:b w:val="false"/>
          <w:color w:val="222222"/>
          <w:sz w:val="20"/>
          <w:u w:val="single"/>
          <w:shd w:fill="FFFFFF" w:val="clear"/>
        </w:rPr>
        <w:t>Exhibit B</w:t>
      </w:r>
      <w:r>
        <w:rPr>
          <w:rFonts w:ascii="Lato;sans-serif" w:hAnsi="Lato;sans-serif"/>
          <w:b w:val="false"/>
          <w:color w:val="222222"/>
          <w:sz w:val="20"/>
          <w:shd w:fill="FFFFFF" w:val="clear"/>
        </w:rPr>
        <w:t>, as applicable.</w:t>
      </w:r>
    </w:p>
    <w:p>
      <w:pPr>
        <w:pStyle w:val="TextBody"/>
        <w:bidi w:val="0"/>
        <w:spacing w:before="1" w:after="283"/>
        <w:jc w:val="both"/>
        <w:rPr/>
      </w:pPr>
      <w:r>
        <w:rPr/>
      </w:r>
    </w:p>
    <w:p>
      <w:pPr>
        <w:pStyle w:val="TextBody"/>
        <w:bidi w:val="0"/>
        <w:spacing w:lineRule="auto" w:line="292" w:before="1" w:after="283"/>
        <w:ind w:left="0" w:right="0" w:firstLine="721"/>
        <w:jc w:val="both"/>
        <w:rPr/>
      </w:pPr>
      <w:r>
        <w:rPr>
          <w:rFonts w:ascii="Arial;sans-serif" w:hAnsi="Arial;sans-serif"/>
          <w:b/>
          <w:color w:val="000000"/>
          <w:sz w:val="19"/>
        </w:rPr>
        <w:t>23.</w:t>
      </w:r>
      <w:r>
        <w:rPr>
          <w:rFonts w:ascii="Lato;sans-serif" w:hAnsi="Lato;sans-serif"/>
          <w:b/>
          <w:color w:val="000000"/>
          <w:sz w:val="20"/>
          <w:u w:val="single"/>
        </w:rPr>
        <w:t>Notification</w:t>
      </w:r>
      <w:r>
        <w:rPr>
          <w:rFonts w:ascii="Lato;sans-serif" w:hAnsi="Lato;sans-serif"/>
          <w:b/>
          <w:color w:val="000000"/>
          <w:sz w:val="20"/>
        </w:rPr>
        <w:t xml:space="preserve">. </w:t>
      </w:r>
      <w:r>
        <w:rPr>
          <w:rFonts w:ascii="Lato;sans-serif" w:hAnsi="Lato;sans-serif"/>
          <w:b w:val="false"/>
          <w:color w:val="000000"/>
          <w:sz w:val="20"/>
        </w:rPr>
        <w:t>I hereby authorize the Company, during and after the termination of my employment with the Company, to notify third parties, including, without limitation, actual or potential employers, of the terms of this Agreement and my responsibilities hereunder.</w:t>
      </w:r>
    </w:p>
    <w:p>
      <w:pPr>
        <w:pStyle w:val="TextBody"/>
        <w:bidi w:val="0"/>
        <w:spacing w:before="0" w:after="0"/>
        <w:jc w:val="left"/>
        <w:rPr/>
      </w:pPr>
      <w:r>
        <w:rPr/>
      </w:r>
    </w:p>
    <w:p>
      <w:pPr>
        <w:pStyle w:val="TextBody"/>
        <w:bidi w:val="0"/>
        <w:spacing w:lineRule="auto" w:line="292" w:before="0" w:after="0"/>
        <w:ind w:left="0" w:right="0" w:firstLine="720"/>
        <w:jc w:val="both"/>
        <w:rPr/>
      </w:pPr>
      <w:r>
        <w:rPr>
          <w:rFonts w:ascii="Arial;sans-serif" w:hAnsi="Arial;sans-serif"/>
          <w:b/>
          <w:color w:val="000000"/>
          <w:sz w:val="19"/>
        </w:rPr>
        <w:t>24.</w:t>
      </w:r>
      <w:r>
        <w:rPr>
          <w:rFonts w:ascii="Lato;sans-serif" w:hAnsi="Lato;sans-serif"/>
          <w:b/>
          <w:color w:val="000000"/>
          <w:sz w:val="20"/>
          <w:u w:val="single"/>
        </w:rPr>
        <w:t>Use of Name &amp; Likeness</w:t>
      </w:r>
      <w:r>
        <w:rPr>
          <w:rFonts w:ascii="Lato;sans-serif" w:hAnsi="Lato;sans-serif"/>
          <w:b/>
          <w:color w:val="000000"/>
          <w:sz w:val="20"/>
        </w:rPr>
        <w:t xml:space="preserve">. </w:t>
      </w:r>
      <w:r>
        <w:rPr>
          <w:rFonts w:ascii="Lato;sans-serif" w:hAnsi="Lato;sans-serif"/>
          <w:b w:val="false"/>
          <w:color w:val="000000"/>
          <w:sz w:val="20"/>
        </w:rPr>
        <w:t>I hereby authorize the Company to use, reuse, and to grant others the right to use and reuse, my name, photograph, likeness (including caricature), voice, and biographical information, and any reproduction or simulation thereof, in any form of media or technology now known or hereafter developed (including, but not limited to, film, video and digital or other electronic media), both during and after my employment, for any purposes related to the Company’s business, such as marketing, advertising, credits, and presentations.</w:t>
      </w:r>
    </w:p>
    <w:p>
      <w:pPr>
        <w:pStyle w:val="TextBody"/>
        <w:bidi w:val="0"/>
        <w:spacing w:before="7" w:after="283"/>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108">
                <wp:simplePos x="0" y="0"/>
                <wp:positionH relativeFrom="character">
                  <wp:align>left</wp:align>
                </wp:positionH>
                <wp:positionV relativeFrom="line">
                  <wp:posOffset>635</wp:posOffset>
                </wp:positionV>
                <wp:extent cx="6480175" cy="175260"/>
                <wp:effectExtent l="0" t="0" r="0" b="0"/>
                <wp:wrapNone/>
                <wp:docPr id="107" name="Frame10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92" w:before="0" w:after="0"/>
        <w:ind w:left="0" w:right="0" w:firstLine="720"/>
        <w:jc w:val="both"/>
        <w:rPr/>
      </w:pPr>
      <w:r>
        <w:rPr>
          <w:rFonts w:ascii="Arial;sans-serif" w:hAnsi="Arial;sans-serif"/>
          <w:b/>
          <w:color w:val="000000"/>
          <w:sz w:val="19"/>
        </w:rPr>
        <w:t>25.</w:t>
      </w:r>
      <w:r>
        <w:rPr>
          <w:rFonts w:ascii="Lato;sans-serif" w:hAnsi="Lato;sans-serif"/>
          <w:b/>
          <w:color w:val="000000"/>
          <w:sz w:val="20"/>
          <w:u w:val="single"/>
        </w:rPr>
        <w:t>Return of Company Property</w:t>
      </w:r>
      <w:r>
        <w:rPr>
          <w:rFonts w:ascii="Lato;sans-serif" w:hAnsi="Lato;sans-serif"/>
          <w:b/>
          <w:color w:val="000000"/>
          <w:sz w:val="20"/>
        </w:rPr>
        <w:t xml:space="preserve">. </w:t>
      </w:r>
      <w:r>
        <w:rPr>
          <w:rFonts w:ascii="Lato;sans-serif" w:hAnsi="Lato;sans-serif"/>
          <w:b w:val="false"/>
          <w:color w:val="000000"/>
          <w:sz w:val="20"/>
        </w:rPr>
        <w:t>Upon termination of my employment or upon the Company’s request at any other time, I will deliver to Company all of the Company’s property, equipment, and documents, together with all copies thereof, and any other material containing or disclosing any Assigned Inventions or Proprietary Information, and I will certify in writing that I have fully complied with the foregoing obligation. I agree that I will not copy, delete, or alter any information contained upon my Company-issued computer or Company-issued equipment before I return it to Company. In addition, if I have used any personal computer, server, or e-mail system to receive, store, review, prepare or transmit any Company information, including, but not limited to, Proprietary Information, I agree, upon the Company’s request, to provide the Company with a computer useable copy of all such Proprietary Information, after which I agree to permanently delete and expunge such Proprietary Information from those systems. I agree to provide the Company access to my system as reasonably requested by the Company to verify that the copying and/or deletion required herein is completed.</w:t>
      </w:r>
    </w:p>
    <w:p>
      <w:pPr>
        <w:pStyle w:val="TextBody"/>
        <w:bidi w:val="0"/>
        <w:spacing w:before="5" w:after="283"/>
        <w:jc w:val="left"/>
        <w:rPr/>
      </w:pPr>
      <w:r>
        <w:rPr/>
      </w:r>
    </w:p>
    <w:p>
      <w:pPr>
        <w:pStyle w:val="TextBody"/>
        <w:bidi w:val="0"/>
        <w:spacing w:lineRule="auto" w:line="288" w:before="0" w:after="0"/>
        <w:ind w:left="0" w:right="0" w:firstLine="720"/>
        <w:jc w:val="both"/>
        <w:rPr/>
      </w:pPr>
      <w:r>
        <w:rPr>
          <w:rFonts w:ascii="Arial;sans-serif" w:hAnsi="Arial;sans-serif"/>
          <w:b/>
          <w:color w:val="000000"/>
          <w:sz w:val="19"/>
        </w:rPr>
        <w:t>26.</w:t>
      </w:r>
      <w:r>
        <w:rPr>
          <w:rFonts w:ascii="Lato;sans-serif" w:hAnsi="Lato;sans-serif"/>
          <w:b/>
          <w:color w:val="000000"/>
          <w:sz w:val="20"/>
          <w:u w:val="single"/>
        </w:rPr>
        <w:t>Injunctive Relief</w:t>
      </w:r>
      <w:r>
        <w:rPr>
          <w:rFonts w:ascii="Lato;sans-serif" w:hAnsi="Lato;sans-serif"/>
          <w:b/>
          <w:color w:val="000000"/>
          <w:sz w:val="20"/>
        </w:rPr>
        <w:t xml:space="preserve">. </w:t>
      </w:r>
      <w:r>
        <w:rPr>
          <w:rFonts w:ascii="Lato;sans-serif" w:hAnsi="Lato;sans-serif"/>
          <w:b w:val="false"/>
          <w:color w:val="000000"/>
          <w:sz w:val="20"/>
        </w:rPr>
        <w:t>I understand that a breach or threatened breach of this Agreement by me may cause the Company to suffer irreparable harm, and that the Company will therefore be entitled to injunctive relief to enforce this Agreement.</w:t>
      </w:r>
    </w:p>
    <w:p>
      <w:pPr>
        <w:pStyle w:val="TextBody"/>
        <w:bidi w:val="0"/>
        <w:spacing w:before="4" w:after="283"/>
        <w:jc w:val="left"/>
        <w:rPr/>
      </w:pPr>
      <w:r>
        <w:rPr/>
      </w:r>
    </w:p>
    <w:p>
      <w:pPr>
        <w:pStyle w:val="TextBody"/>
        <w:bidi w:val="0"/>
        <w:spacing w:lineRule="auto" w:line="292" w:before="0" w:after="0"/>
        <w:ind w:left="0" w:right="0" w:firstLine="720"/>
        <w:jc w:val="both"/>
        <w:rPr/>
      </w:pPr>
      <w:r>
        <w:rPr>
          <w:rFonts w:ascii="Arial;sans-serif" w:hAnsi="Arial;sans-serif"/>
          <w:b/>
          <w:color w:val="000000"/>
          <w:sz w:val="19"/>
        </w:rPr>
        <w:t>27.</w:t>
      </w:r>
      <w:r>
        <w:rPr>
          <w:rFonts w:ascii="Lato;sans-serif" w:hAnsi="Lato;sans-serif"/>
          <w:b/>
          <w:color w:val="000000"/>
          <w:sz w:val="20"/>
          <w:u w:val="single"/>
        </w:rPr>
        <w:t>Governing Law; Severability</w:t>
      </w:r>
      <w:r>
        <w:rPr>
          <w:rFonts w:ascii="Lato;sans-serif" w:hAnsi="Lato;sans-serif"/>
          <w:b/>
          <w:color w:val="000000"/>
          <w:sz w:val="20"/>
        </w:rPr>
        <w:t xml:space="preserve">. </w:t>
      </w:r>
      <w:r>
        <w:rPr>
          <w:rFonts w:ascii="Lato;sans-serif" w:hAnsi="Lato;sans-serif"/>
          <w:b w:val="false"/>
          <w:color w:val="000000"/>
          <w:sz w:val="20"/>
        </w:rPr>
        <w:t>This Agreement is intended to supplement, and not to supersede, any rights the Company may have in law or equity with respect to the duties of its employees and the protection of its trade secrets. This Agreement will be governed by and construed in accordance with the laws of the state in which I am employed by the Company, or, if I am a remote employee, reside, without giving effect to any principles of conflict of laws that would lead to the application of the laws of another jurisdiction. If any provision of this Agreement is invalid, illegal or unenforceable in any respect, such provision will be enforced to the maximum extent possible, given the fundamental intentions of the parties when entering into this Agreement. To the extent such provision cannot be so enforced, it will be stricken from this Agreement and the remainder of this Agreement will be enforced as if such invalid, illegal or unenforceable provision had never been contained in this Agreement.</w:t>
      </w:r>
    </w:p>
    <w:p>
      <w:pPr>
        <w:pStyle w:val="TextBody"/>
        <w:bidi w:val="0"/>
        <w:spacing w:before="1" w:after="283"/>
        <w:jc w:val="left"/>
        <w:rPr/>
      </w:pPr>
      <w:r>
        <w:rPr/>
      </w:r>
    </w:p>
    <w:p>
      <w:pPr>
        <w:pStyle w:val="TextBody"/>
        <w:bidi w:val="0"/>
        <w:spacing w:lineRule="auto" w:line="292" w:before="0" w:after="0"/>
        <w:ind w:left="0" w:right="0" w:firstLine="720"/>
        <w:jc w:val="both"/>
        <w:rPr/>
      </w:pPr>
      <w:r>
        <w:rPr>
          <w:rFonts w:ascii="Arial;sans-serif" w:hAnsi="Arial;sans-serif"/>
          <w:b/>
          <w:color w:val="000000"/>
          <w:sz w:val="19"/>
        </w:rPr>
        <w:t>28.</w:t>
      </w:r>
      <w:r>
        <w:rPr>
          <w:rFonts w:ascii="Lato;sans-serif" w:hAnsi="Lato;sans-serif"/>
          <w:b/>
          <w:color w:val="000000"/>
          <w:sz w:val="20"/>
          <w:u w:val="single"/>
        </w:rPr>
        <w:t>Counterparts</w:t>
      </w:r>
      <w:r>
        <w:rPr>
          <w:rFonts w:ascii="Lato;sans-serif" w:hAnsi="Lato;sans-serif"/>
          <w:b/>
          <w:color w:val="000000"/>
          <w:sz w:val="20"/>
        </w:rPr>
        <w:t xml:space="preserve">. </w:t>
      </w:r>
      <w:r>
        <w:rPr>
          <w:rFonts w:ascii="Lato;sans-serif" w:hAnsi="Lato;sans-serif"/>
          <w:b w:val="false"/>
          <w:color w:val="000000"/>
          <w:sz w:val="20"/>
        </w:rPr>
        <w:t>This Agreement may be executed in any number of counterparts, each of which when so executed and delivered will be deemed an original, and all of which together shall constitute one and the same agreement.</w:t>
      </w:r>
    </w:p>
    <w:p>
      <w:pPr>
        <w:pStyle w:val="TextBody"/>
        <w:bidi w:val="0"/>
        <w:spacing w:before="2" w:after="283"/>
        <w:jc w:val="left"/>
        <w:rPr/>
      </w:pPr>
      <w:r>
        <w:rPr/>
      </w:r>
    </w:p>
    <w:p>
      <w:pPr>
        <w:pStyle w:val="TextBody"/>
        <w:bidi w:val="0"/>
        <w:spacing w:lineRule="auto" w:line="292" w:before="0" w:after="0"/>
        <w:ind w:left="0" w:right="0" w:firstLine="720"/>
        <w:jc w:val="both"/>
        <w:rPr/>
      </w:pPr>
      <w:r>
        <w:rPr>
          <w:rFonts w:ascii="Arial;sans-serif" w:hAnsi="Arial;sans-serif"/>
          <w:b/>
          <w:color w:val="000000"/>
          <w:sz w:val="19"/>
        </w:rPr>
        <w:t>29.</w:t>
      </w:r>
      <w:r>
        <w:rPr>
          <w:rFonts w:ascii="Lato;sans-serif" w:hAnsi="Lato;sans-serif"/>
          <w:b/>
          <w:color w:val="000000"/>
          <w:sz w:val="20"/>
          <w:u w:val="single"/>
        </w:rPr>
        <w:t>Entire Agreement</w:t>
      </w:r>
      <w:r>
        <w:rPr>
          <w:rFonts w:ascii="Lato;sans-serif" w:hAnsi="Lato;sans-serif"/>
          <w:b/>
          <w:color w:val="000000"/>
          <w:sz w:val="20"/>
        </w:rPr>
        <w:t xml:space="preserve">. </w:t>
      </w:r>
      <w:r>
        <w:rPr>
          <w:rFonts w:ascii="Lato;sans-serif" w:hAnsi="Lato;sans-serif"/>
          <w:b w:val="false"/>
          <w:color w:val="000000"/>
          <w:sz w:val="20"/>
        </w:rPr>
        <w:t>This Agreement and the documents referred to herein constitute the entire agreement and understanding of the parties with respect to the subject matter of this Agreement, and supersede all prior understandings and agreements, whether oral or written, between or among the parties hereto with respect to the specific subject matter hereof.</w:t>
      </w:r>
    </w:p>
    <w:p>
      <w:pPr>
        <w:pStyle w:val="TextBody"/>
        <w:bidi w:val="0"/>
        <w:spacing w:before="2" w:after="283"/>
        <w:jc w:val="left"/>
        <w:rPr/>
      </w:pPr>
      <w:r>
        <w:rPr/>
      </w:r>
    </w:p>
    <w:p>
      <w:pPr>
        <w:pStyle w:val="TextBody"/>
        <w:bidi w:val="0"/>
        <w:spacing w:lineRule="auto" w:line="292" w:before="0" w:after="0"/>
        <w:ind w:left="0" w:right="0" w:firstLine="720"/>
        <w:jc w:val="both"/>
        <w:rPr/>
      </w:pPr>
      <w:r>
        <w:rPr>
          <w:rFonts w:ascii="Arial;sans-serif" w:hAnsi="Arial;sans-serif"/>
          <w:b/>
          <w:color w:val="000000"/>
          <w:sz w:val="19"/>
        </w:rPr>
        <w:t>30.</w:t>
      </w:r>
      <w:r>
        <w:rPr>
          <w:rFonts w:ascii="Lato;sans-serif" w:hAnsi="Lato;sans-serif"/>
          <w:b/>
          <w:color w:val="000000"/>
          <w:sz w:val="20"/>
          <w:u w:val="single"/>
        </w:rPr>
        <w:t>Amendment and Waivers</w:t>
      </w:r>
      <w:r>
        <w:rPr>
          <w:rFonts w:ascii="Lato;sans-serif" w:hAnsi="Lato;sans-serif"/>
          <w:b/>
          <w:color w:val="000000"/>
          <w:sz w:val="20"/>
        </w:rPr>
        <w:t xml:space="preserve">. </w:t>
      </w:r>
      <w:r>
        <w:rPr>
          <w:rFonts w:ascii="Lato;sans-serif" w:hAnsi="Lato;sans-serif"/>
          <w:b w:val="false"/>
          <w:color w:val="000000"/>
          <w:sz w:val="20"/>
        </w:rPr>
        <w:t>This Agreement may be amended only by a written agreement executed by each of the parties hereto. No amendment or waiver of, or modification of any obligation under, this Agreement will be enforceable unless specifically set forth in a writing signed by the party against which enforcement is sought. Any amendment effected in accordance with this Section 21 will be binding upon all parties hereto and each of their respective successors and assigns. No delay or failure to require performance of any provision of this Agreement shall constitute a waiver of that provision as to that or any other instance. No waiver granted under this Agreement as to any one provision herein shall constitute a subsequent waiver of such provision or of any other provision herein, nor shall it constitute the waiver of any performance other than the actual performance specifically waived.</w:t>
      </w:r>
    </w:p>
    <w:p>
      <w:pPr>
        <w:pStyle w:val="TextBody"/>
        <w:bidi w:val="0"/>
        <w:spacing w:before="1" w:after="283"/>
        <w:jc w:val="left"/>
        <w:rPr/>
      </w:pPr>
      <w:r>
        <w:rPr/>
      </w:r>
    </w:p>
    <w:p>
      <w:pPr>
        <w:pStyle w:val="TextBody"/>
        <w:bidi w:val="0"/>
        <w:spacing w:lineRule="auto" w:line="297"/>
        <w:ind w:left="0" w:right="0" w:firstLine="720"/>
        <w:jc w:val="both"/>
        <w:rPr/>
      </w:pPr>
      <w:r>
        <w:rPr>
          <w:rFonts w:ascii="Arial;sans-serif" w:hAnsi="Arial;sans-serif"/>
          <w:b/>
          <w:color w:val="000000"/>
          <w:sz w:val="19"/>
        </w:rPr>
        <w:t>31.</w:t>
      </w:r>
      <w:r>
        <w:rPr>
          <w:rFonts w:ascii="Lato;sans-serif" w:hAnsi="Lato;sans-serif"/>
          <w:b/>
          <w:color w:val="000000"/>
          <w:sz w:val="20"/>
          <w:u w:val="single"/>
        </w:rPr>
        <w:t>Successors and Assigns; Assignment</w:t>
      </w:r>
      <w:r>
        <w:rPr>
          <w:rFonts w:ascii="Lato;sans-serif" w:hAnsi="Lato;sans-serif"/>
          <w:b/>
          <w:color w:val="000000"/>
          <w:sz w:val="20"/>
        </w:rPr>
        <w:t xml:space="preserve">. </w:t>
      </w:r>
      <w:r>
        <w:rPr>
          <w:rFonts w:ascii="Lato;sans-serif" w:hAnsi="Lato;sans-serif"/>
          <w:b w:val="false"/>
          <w:color w:val="000000"/>
          <w:sz w:val="20"/>
        </w:rPr>
        <w:t>Except as otherwise provided in this Agreement, this Agreement, and the rights and obligations of the parties hereunder, will be binding upon and inure to the benefit of their respective successors, assigns, heirs, executors, administrators and legal representatives. The Company may assign any of its rights and obligations under this Agreement. No other party to this Agreement may assign, whether voluntarily or by operation of law, any of its rights and obligations under this Agreement, except with the prior written consent of the Company.</w:t>
      </w:r>
    </w:p>
    <w:p>
      <w:pPr>
        <w:pStyle w:val="TextBody"/>
        <w:bidi w:val="0"/>
        <w:spacing w:before="0" w:after="240"/>
        <w:jc w:val="center"/>
        <w:rPr/>
      </w:pPr>
      <w:r>
        <w:rPr/>
      </w:r>
      <w:r>
        <mc:AlternateContent>
          <mc:Choice Requires="wps">
            <w:drawing>
              <wp:anchor behindDoc="0" distT="0" distB="0" distL="0" distR="0" simplePos="0" locked="0" layoutInCell="1" allowOverlap="1" relativeHeight="109">
                <wp:simplePos x="0" y="0"/>
                <wp:positionH relativeFrom="character">
                  <wp:align>left</wp:align>
                </wp:positionH>
                <wp:positionV relativeFrom="line">
                  <wp:posOffset>635</wp:posOffset>
                </wp:positionV>
                <wp:extent cx="6480175" cy="175260"/>
                <wp:effectExtent l="0" t="0" r="0" b="0"/>
                <wp:wrapNone/>
                <wp:docPr id="108" name="Frame10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before="1" w:after="283"/>
        <w:jc w:val="left"/>
        <w:rPr/>
      </w:pPr>
      <w:r>
        <w:rPr/>
      </w:r>
    </w:p>
    <w:p>
      <w:pPr>
        <w:pStyle w:val="TextBody"/>
        <w:bidi w:val="0"/>
        <w:spacing w:lineRule="auto" w:line="292" w:before="1" w:after="283"/>
        <w:ind w:left="0" w:right="0" w:firstLine="720"/>
        <w:jc w:val="both"/>
        <w:rPr/>
      </w:pPr>
      <w:r>
        <w:rPr>
          <w:rFonts w:ascii="Arial;sans-serif" w:hAnsi="Arial;sans-serif"/>
          <w:b/>
          <w:color w:val="000000"/>
          <w:sz w:val="19"/>
        </w:rPr>
        <w:t>32.</w:t>
      </w:r>
      <w:r>
        <w:rPr>
          <w:rFonts w:ascii="Lato;sans-serif" w:hAnsi="Lato;sans-serif"/>
          <w:b/>
          <w:color w:val="000000"/>
          <w:sz w:val="20"/>
          <w:u w:val="single"/>
        </w:rPr>
        <w:t>Further Assurances</w:t>
      </w:r>
      <w:r>
        <w:rPr>
          <w:rFonts w:ascii="Lato;sans-serif" w:hAnsi="Lato;sans-serif"/>
          <w:b/>
          <w:color w:val="000000"/>
          <w:sz w:val="20"/>
        </w:rPr>
        <w:t xml:space="preserve">. </w:t>
      </w:r>
      <w:r>
        <w:rPr>
          <w:rFonts w:ascii="Lato;sans-serif" w:hAnsi="Lato;sans-serif"/>
          <w:b w:val="false"/>
          <w:color w:val="000000"/>
          <w:sz w:val="20"/>
        </w:rPr>
        <w:t>The parties will execute such further documents and instruments and take such further actions as may be reasonably necessary to carry out the purposes and intent of this Agreement. Upon termination of my employment with the Company, I will execute and deliver a document or documents in a form reasonably requested by the Company confirming my agreement to comply with the post-employment obligations contained in this Agreement.</w:t>
      </w:r>
    </w:p>
    <w:p>
      <w:pPr>
        <w:pStyle w:val="TextBody"/>
        <w:bidi w:val="0"/>
        <w:spacing w:before="1" w:after="283"/>
        <w:jc w:val="left"/>
        <w:rPr/>
      </w:pPr>
      <w:r>
        <w:rPr/>
      </w:r>
    </w:p>
    <w:p>
      <w:pPr>
        <w:pStyle w:val="TextBody"/>
        <w:bidi w:val="0"/>
        <w:spacing w:lineRule="auto" w:line="292" w:before="0" w:after="0"/>
        <w:ind w:left="0" w:right="0" w:firstLine="720"/>
        <w:jc w:val="both"/>
        <w:rPr/>
      </w:pPr>
      <w:r>
        <w:rPr>
          <w:rFonts w:ascii="Arial;sans-serif" w:hAnsi="Arial;sans-serif"/>
          <w:b/>
          <w:color w:val="000000"/>
          <w:sz w:val="19"/>
        </w:rPr>
        <w:t>33.</w:t>
      </w:r>
      <w:r>
        <w:rPr>
          <w:color w:val="000000"/>
          <w:u w:val="single"/>
        </w:rPr>
        <w:t>“</w:t>
      </w:r>
      <w:r>
        <w:rPr>
          <w:rFonts w:ascii="Lato;sans-serif" w:hAnsi="Lato;sans-serif"/>
          <w:b/>
          <w:color w:val="000000"/>
          <w:sz w:val="20"/>
          <w:u w:val="single"/>
        </w:rPr>
        <w:t>At Will” Employment</w:t>
      </w:r>
      <w:r>
        <w:rPr>
          <w:rFonts w:ascii="Lato;sans-serif" w:hAnsi="Lato;sans-serif"/>
          <w:b/>
          <w:color w:val="000000"/>
          <w:sz w:val="20"/>
        </w:rPr>
        <w:t xml:space="preserve">. </w:t>
      </w:r>
      <w:r>
        <w:rPr>
          <w:rFonts w:ascii="Lato;sans-serif" w:hAnsi="Lato;sans-serif"/>
          <w:b w:val="false"/>
          <w:color w:val="000000"/>
          <w:sz w:val="20"/>
        </w:rPr>
        <w:t>I understand that this Agreement does not constitute a contract of employment or obligate the Company to employ me for any stated period of time. I understand that I am an “at will” employee of the Company and that my employment can be terminated at any time, with or without notice and with or without cause, for any reason or for no reason, by either the Company or myself. I acknowledge that any statements or representations to the contrary are ineffective, unless put into a writing signed by the Company. I further acknowledge that my participation in any stock option or benefit program is not to be construed as any assurance of continuing employment for any particular period of time.</w:t>
      </w:r>
    </w:p>
    <w:p>
      <w:pPr>
        <w:pStyle w:val="TextBody"/>
        <w:bidi w:val="0"/>
        <w:spacing w:before="0" w:after="0"/>
        <w:jc w:val="both"/>
        <w:rPr/>
      </w:pPr>
      <w:r>
        <w:rPr/>
      </w:r>
    </w:p>
    <w:p>
      <w:pPr>
        <w:pStyle w:val="TextBody"/>
        <w:bidi w:val="0"/>
        <w:spacing w:lineRule="auto" w:line="292" w:before="0" w:after="0"/>
        <w:ind w:left="0" w:right="0" w:firstLine="720"/>
        <w:jc w:val="both"/>
        <w:rPr/>
      </w:pPr>
      <w:r>
        <w:rPr>
          <w:rFonts w:ascii="Arial;sans-serif" w:hAnsi="Arial;sans-serif"/>
          <w:b/>
          <w:color w:val="000000"/>
          <w:sz w:val="19"/>
        </w:rPr>
        <w:t>34.</w:t>
      </w:r>
      <w:r>
        <w:rPr>
          <w:rFonts w:ascii="Lato;sans-serif" w:hAnsi="Lato;sans-serif"/>
          <w:b/>
          <w:color w:val="000000"/>
          <w:sz w:val="20"/>
          <w:u w:val="single"/>
        </w:rPr>
        <w:t>Acknowledgment</w:t>
      </w:r>
      <w:r>
        <w:rPr>
          <w:rFonts w:ascii="Lato;sans-serif" w:hAnsi="Lato;sans-serif"/>
          <w:b w:val="false"/>
          <w:color w:val="000000"/>
          <w:sz w:val="20"/>
        </w:rPr>
        <w:t>. I certify and acknowledge that I have carefully read all of the provisions of this Agreement and that I understand and will fully and faithfully comply with this Agreement.</w:t>
      </w:r>
    </w:p>
    <w:p>
      <w:pPr>
        <w:pStyle w:val="TextBody"/>
        <w:bidi w:val="0"/>
        <w:spacing w:before="0" w:after="0"/>
        <w:jc w:val="left"/>
        <w:rPr/>
      </w:pPr>
      <w:r>
        <w:rPr/>
      </w:r>
    </w:p>
    <w:p>
      <w:pPr>
        <w:pStyle w:val="TextBody"/>
        <w:bidi w:val="0"/>
        <w:spacing w:lineRule="auto" w:line="292" w:before="0" w:after="0"/>
        <w:ind w:left="0" w:right="0" w:firstLine="720"/>
        <w:jc w:val="both"/>
        <w:rPr/>
      </w:pPr>
      <w:r>
        <w:rPr>
          <w:rFonts w:ascii="Arial;sans-serif" w:hAnsi="Arial;sans-serif"/>
          <w:b/>
          <w:color w:val="000000"/>
          <w:sz w:val="19"/>
        </w:rPr>
        <w:t>35.</w:t>
      </w:r>
      <w:r>
        <w:rPr>
          <w:rFonts w:ascii="Lato;sans-serif" w:hAnsi="Lato;sans-serif"/>
          <w:b/>
          <w:color w:val="000000"/>
          <w:sz w:val="20"/>
          <w:u w:val="single"/>
        </w:rPr>
        <w:t>Effective Date of Agreement</w:t>
      </w:r>
      <w:r>
        <w:rPr>
          <w:rFonts w:ascii="Lato;sans-serif" w:hAnsi="Lato;sans-serif"/>
          <w:b w:val="false"/>
          <w:color w:val="000000"/>
          <w:sz w:val="20"/>
        </w:rPr>
        <w:t>. This Employee Invention Assignment and Confidentiality Agreement shall be effective as of the first day of my employment by the Company, which is March 18, 2024 (the “</w:t>
      </w:r>
      <w:r>
        <w:rPr>
          <w:rFonts w:ascii="Lato;sans-serif" w:hAnsi="Lato;sans-serif"/>
          <w:b/>
          <w:i/>
          <w:color w:val="000000"/>
          <w:sz w:val="20"/>
        </w:rPr>
        <w:t>Effective Date</w:t>
      </w:r>
      <w:r>
        <w:rPr>
          <w:color w:val="000000"/>
        </w:rPr>
        <w:t>”</w:t>
      </w:r>
      <w:r>
        <w:rPr>
          <w:rFonts w:ascii="Lato;sans-serif" w:hAnsi="Lato;sans-serif"/>
          <w:b w:val="false"/>
          <w:color w:val="000000"/>
          <w:sz w:val="20"/>
        </w:rPr>
        <w:t>).</w:t>
      </w:r>
    </w:p>
    <w:p>
      <w:pPr>
        <w:pStyle w:val="TextBody"/>
        <w:bidi w:val="0"/>
        <w:spacing w:before="0" w:after="0"/>
        <w:jc w:val="both"/>
        <w:rPr/>
      </w:pPr>
      <w:r>
        <w:rPr/>
      </w:r>
    </w:p>
    <w:p>
      <w:pPr>
        <w:pStyle w:val="TextBody"/>
        <w:bidi w:val="0"/>
        <w:spacing w:lineRule="auto" w:line="288" w:before="122" w:after="283"/>
        <w:jc w:val="center"/>
        <w:rPr/>
      </w:pPr>
      <w:r>
        <w:rPr>
          <w:rFonts w:ascii="Lato;sans-serif" w:hAnsi="Lato;sans-serif"/>
          <w:b w:val="false"/>
          <w:color w:val="000000"/>
          <w:sz w:val="20"/>
        </w:rPr>
        <w:t>[</w:t>
      </w:r>
      <w:r>
        <w:rPr>
          <w:rFonts w:ascii="Lato;sans-serif" w:hAnsi="Lato;sans-serif"/>
          <w:b w:val="false"/>
          <w:i/>
          <w:color w:val="000000"/>
          <w:sz w:val="20"/>
        </w:rPr>
        <w:t>Signature Page Follows</w:t>
      </w:r>
      <w:r>
        <w:rPr>
          <w:rFonts w:ascii="Lato;sans-serif" w:hAnsi="Lato;sans-serif"/>
          <w:b w:val="false"/>
          <w:color w:val="000000"/>
          <w:sz w:val="20"/>
        </w:rPr>
        <w:t>]</w:t>
      </w:r>
    </w:p>
    <w:p>
      <w:pPr>
        <w:pStyle w:val="TextBody"/>
        <w:bidi w:val="0"/>
        <w:spacing w:before="0" w:after="240"/>
        <w:jc w:val="center"/>
        <w:rPr/>
      </w:pPr>
      <w:r>
        <w:rPr/>
      </w:r>
      <w:r>
        <mc:AlternateContent>
          <mc:Choice Requires="wps">
            <w:drawing>
              <wp:anchor behindDoc="0" distT="0" distB="0" distL="0" distR="0" simplePos="0" locked="0" layoutInCell="1" allowOverlap="1" relativeHeight="110">
                <wp:simplePos x="0" y="0"/>
                <wp:positionH relativeFrom="character">
                  <wp:align>left</wp:align>
                </wp:positionH>
                <wp:positionV relativeFrom="line">
                  <wp:posOffset>635</wp:posOffset>
                </wp:positionV>
                <wp:extent cx="6480175" cy="175260"/>
                <wp:effectExtent l="0" t="0" r="0" b="0"/>
                <wp:wrapNone/>
                <wp:docPr id="109" name="Frame10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tbl>
      <w:tblPr>
        <w:tblW w:w="9659" w:type="dxa"/>
        <w:jc w:val="left"/>
        <w:tblInd w:w="0" w:type="dxa"/>
        <w:tblLayout w:type="fixed"/>
        <w:tblCellMar>
          <w:top w:w="28" w:type="dxa"/>
          <w:left w:w="28" w:type="dxa"/>
          <w:bottom w:w="28" w:type="dxa"/>
          <w:right w:w="28" w:type="dxa"/>
        </w:tblCellMar>
      </w:tblPr>
      <w:tblGrid>
        <w:gridCol w:w="1632"/>
        <w:gridCol w:w="1438"/>
        <w:gridCol w:w="1459"/>
        <w:gridCol w:w="1496"/>
        <w:gridCol w:w="1496"/>
        <w:gridCol w:w="2138"/>
      </w:tblGrid>
      <w:tr>
        <w:trPr/>
        <w:tc>
          <w:tcPr>
            <w:tcW w:w="1632" w:type="dxa"/>
            <w:tcBorders/>
            <w:vAlign w:val="center"/>
          </w:tcPr>
          <w:p>
            <w:pPr>
              <w:pStyle w:val="TableContents"/>
              <w:bidi w:val="0"/>
              <w:spacing w:before="0" w:after="283"/>
              <w:jc w:val="left"/>
              <w:rPr>
                <w:sz w:val="4"/>
                <w:szCs w:val="4"/>
              </w:rPr>
            </w:pPr>
            <w:r>
              <w:rPr>
                <w:sz w:val="4"/>
                <w:szCs w:val="4"/>
              </w:rPr>
            </w:r>
          </w:p>
        </w:tc>
        <w:tc>
          <w:tcPr>
            <w:tcW w:w="1438" w:type="dxa"/>
            <w:tcBorders/>
            <w:vAlign w:val="center"/>
          </w:tcPr>
          <w:p>
            <w:pPr>
              <w:pStyle w:val="TableContents"/>
              <w:bidi w:val="0"/>
              <w:spacing w:before="0" w:after="283"/>
              <w:jc w:val="left"/>
              <w:rPr>
                <w:sz w:val="4"/>
                <w:szCs w:val="4"/>
              </w:rPr>
            </w:pPr>
            <w:r>
              <w:rPr>
                <w:sz w:val="4"/>
                <w:szCs w:val="4"/>
              </w:rPr>
            </w:r>
          </w:p>
        </w:tc>
        <w:tc>
          <w:tcPr>
            <w:tcW w:w="1459"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1496" w:type="dxa"/>
            <w:tcBorders/>
            <w:vAlign w:val="center"/>
          </w:tcPr>
          <w:p>
            <w:pPr>
              <w:pStyle w:val="TableContents"/>
              <w:bidi w:val="0"/>
              <w:spacing w:before="0" w:after="283"/>
              <w:jc w:val="left"/>
              <w:rPr>
                <w:sz w:val="4"/>
                <w:szCs w:val="4"/>
              </w:rPr>
            </w:pPr>
            <w:r>
              <w:rPr>
                <w:sz w:val="4"/>
                <w:szCs w:val="4"/>
              </w:rPr>
            </w:r>
          </w:p>
        </w:tc>
        <w:tc>
          <w:tcPr>
            <w:tcW w:w="2138" w:type="dxa"/>
            <w:tcBorders/>
            <w:vAlign w:val="center"/>
          </w:tcPr>
          <w:p>
            <w:pPr>
              <w:pStyle w:val="TableContents"/>
              <w:bidi w:val="0"/>
              <w:spacing w:before="0" w:after="283"/>
              <w:jc w:val="left"/>
              <w:rPr>
                <w:sz w:val="4"/>
                <w:szCs w:val="4"/>
              </w:rPr>
            </w:pPr>
            <w:r>
              <w:rPr>
                <w:sz w:val="4"/>
                <w:szCs w:val="4"/>
              </w:rPr>
            </w:r>
          </w:p>
        </w:tc>
      </w:tr>
      <w:tr>
        <w:trPr/>
        <w:tc>
          <w:tcPr>
            <w:tcW w:w="4529" w:type="dxa"/>
            <w:gridSpan w:val="3"/>
            <w:tcBorders/>
            <w:tcMar>
              <w:top w:w="0" w:type="dxa"/>
              <w:left w:w="0" w:type="dxa"/>
              <w:bottom w:w="0" w:type="dxa"/>
              <w:right w:w="0" w:type="dxa"/>
            </w:tcMar>
            <w:vAlign w:val="center"/>
          </w:tcPr>
          <w:p>
            <w:pPr>
              <w:pStyle w:val="TableContents"/>
              <w:bidi w:val="0"/>
              <w:spacing w:lineRule="auto" w:line="288" w:before="240" w:after="60"/>
              <w:ind w:left="0" w:right="0" w:hanging="721"/>
              <w:jc w:val="left"/>
              <w:rPr/>
            </w:pPr>
            <w:r>
              <w:rPr>
                <w:rFonts w:ascii="Arial;sans-serif" w:hAnsi="Arial;sans-serif"/>
                <w:b/>
                <w:color w:val="000000"/>
                <w:sz w:val="19"/>
              </w:rPr>
              <w:t>1.</w:t>
            </w:r>
            <w:r>
              <w:rPr>
                <w:rFonts w:ascii="Lato;sans-serif" w:hAnsi="Lato;sans-serif"/>
                <w:b/>
                <w:color w:val="000000"/>
                <w:sz w:val="20"/>
                <w:u w:val="single"/>
              </w:rPr>
              <w:t>COMPANY:</w:t>
            </w:r>
          </w:p>
        </w:tc>
        <w:tc>
          <w:tcPr>
            <w:tcW w:w="5130" w:type="dxa"/>
            <w:gridSpan w:val="3"/>
            <w:tcBorders/>
            <w:tcMar>
              <w:top w:w="0" w:type="dxa"/>
              <w:left w:w="0" w:type="dxa"/>
              <w:bottom w:w="0" w:type="dxa"/>
              <w:right w:w="0" w:type="dxa"/>
            </w:tcMar>
            <w:vAlign w:val="center"/>
          </w:tcPr>
          <w:p>
            <w:pPr>
              <w:pStyle w:val="TableContents"/>
              <w:bidi w:val="0"/>
              <w:spacing w:lineRule="auto" w:line="288" w:before="240" w:after="60"/>
              <w:ind w:left="0" w:right="0" w:hanging="721"/>
              <w:jc w:val="left"/>
              <w:rPr/>
            </w:pPr>
            <w:r>
              <w:rPr>
                <w:rFonts w:ascii="Arial;sans-serif" w:hAnsi="Arial;sans-serif"/>
                <w:b/>
                <w:color w:val="000000"/>
                <w:sz w:val="19"/>
              </w:rPr>
              <w:t>1.</w:t>
            </w:r>
            <w:r>
              <w:rPr>
                <w:rFonts w:ascii="Lato;sans-serif" w:hAnsi="Lato;sans-serif"/>
                <w:b/>
                <w:color w:val="000000"/>
                <w:sz w:val="20"/>
                <w:u w:val="single"/>
              </w:rPr>
              <w:t>EMPLOYEE:</w:t>
            </w:r>
          </w:p>
        </w:tc>
      </w:tr>
      <w:tr>
        <w:trPr/>
        <w:tc>
          <w:tcPr>
            <w:tcW w:w="4529" w:type="dxa"/>
            <w:gridSpan w:val="3"/>
            <w:tcBorders/>
            <w:tcMar>
              <w:top w:w="0" w:type="dxa"/>
              <w:left w:w="0" w:type="dxa"/>
              <w:bottom w:w="0" w:type="dxa"/>
              <w:right w:w="0" w:type="dxa"/>
            </w:tcMar>
            <w:vAlign w:val="center"/>
          </w:tcPr>
          <w:p>
            <w:pPr>
              <w:pStyle w:val="TableContents"/>
              <w:bidi w:val="0"/>
              <w:spacing w:lineRule="auto" w:line="288" w:before="240" w:after="60"/>
              <w:ind w:left="0" w:right="0" w:hanging="721"/>
              <w:jc w:val="left"/>
              <w:rPr>
                <w:rFonts w:ascii="Arial;sans-serif" w:hAnsi="Arial;sans-serif"/>
                <w:b/>
                <w:color w:val="000000"/>
                <w:sz w:val="20"/>
              </w:rPr>
            </w:pPr>
            <w:r>
              <w:rPr>
                <w:rFonts w:ascii="Arial;sans-serif" w:hAnsi="Arial;sans-serif"/>
                <w:b/>
                <w:color w:val="000000"/>
                <w:sz w:val="20"/>
              </w:rPr>
              <w:t>1.</w:t>
            </w:r>
          </w:p>
          <w:p>
            <w:pPr>
              <w:pStyle w:val="TableContents"/>
              <w:bidi w:val="0"/>
              <w:spacing w:lineRule="auto" w:line="288" w:before="240" w:after="60"/>
              <w:ind w:left="0" w:right="0" w:hanging="721"/>
              <w:jc w:val="left"/>
              <w:rPr/>
            </w:pPr>
            <w:r>
              <w:rPr>
                <w:rFonts w:ascii="Arial;sans-serif" w:hAnsi="Arial;sans-serif"/>
                <w:b/>
                <w:color w:val="000000"/>
                <w:sz w:val="19"/>
              </w:rPr>
              <w:t>2.</w:t>
            </w:r>
            <w:r>
              <w:rPr>
                <w:rFonts w:ascii="Lato;sans-serif" w:hAnsi="Lato;sans-serif"/>
                <w:b/>
                <w:color w:val="000000"/>
                <w:sz w:val="20"/>
              </w:rPr>
              <w:t>NEXTDOOR, INC.</w:t>
            </w:r>
          </w:p>
          <w:p>
            <w:pPr>
              <w:pStyle w:val="TableContents"/>
              <w:bidi w:val="0"/>
              <w:spacing w:lineRule="auto" w:line="288" w:before="240" w:after="60"/>
              <w:ind w:left="0" w:right="0" w:hanging="721"/>
              <w:jc w:val="left"/>
              <w:rPr>
                <w:rFonts w:ascii="Arial;sans-serif" w:hAnsi="Arial;sans-serif"/>
                <w:b/>
                <w:color w:val="000000"/>
                <w:sz w:val="20"/>
              </w:rPr>
            </w:pPr>
            <w:r>
              <w:rPr>
                <w:rFonts w:ascii="Arial;sans-serif" w:hAnsi="Arial;sans-serif"/>
                <w:b/>
                <w:color w:val="000000"/>
                <w:sz w:val="20"/>
              </w:rPr>
              <w:t>3.</w:t>
            </w:r>
          </w:p>
          <w:p>
            <w:pPr>
              <w:pStyle w:val="TableContents"/>
              <w:bidi w:val="0"/>
              <w:spacing w:lineRule="auto" w:line="288" w:before="240" w:after="60"/>
              <w:ind w:left="0" w:right="0" w:hanging="721"/>
              <w:jc w:val="left"/>
              <w:rPr>
                <w:rFonts w:ascii="Arial;sans-serif" w:hAnsi="Arial;sans-serif"/>
                <w:b/>
                <w:color w:val="000000"/>
                <w:sz w:val="20"/>
              </w:rPr>
            </w:pPr>
            <w:r>
              <w:rPr>
                <w:rFonts w:ascii="Arial;sans-serif" w:hAnsi="Arial;sans-serif"/>
                <w:b/>
                <w:color w:val="000000"/>
                <w:sz w:val="20"/>
              </w:rPr>
              <w:t>4.</w:t>
            </w:r>
          </w:p>
          <w:p>
            <w:pPr>
              <w:pStyle w:val="TableContents"/>
              <w:bidi w:val="0"/>
              <w:spacing w:lineRule="auto" w:line="288" w:before="240" w:after="60"/>
              <w:ind w:left="0" w:right="0" w:hanging="721"/>
              <w:jc w:val="left"/>
              <w:rPr/>
            </w:pPr>
            <w:r>
              <w:rPr>
                <w:rFonts w:ascii="Arial;sans-serif" w:hAnsi="Arial;sans-serif"/>
                <w:b/>
                <w:color w:val="000000"/>
                <w:sz w:val="19"/>
              </w:rPr>
              <w:t>5.</w:t>
            </w:r>
            <w:r>
              <w:rPr>
                <w:rFonts w:ascii="Lato;sans-serif" w:hAnsi="Lato;sans-serif"/>
                <w:b w:val="false"/>
                <w:color w:val="000000"/>
                <w:sz w:val="20"/>
              </w:rPr>
              <w:t xml:space="preserve">By: </w:t>
            </w:r>
            <w:r>
              <w:rPr>
                <w:rFonts w:ascii="Lato;sans-serif" w:hAnsi="Lato;sans-serif"/>
                <w:b w:val="false"/>
                <w:color w:val="000000"/>
                <w:sz w:val="20"/>
                <w:u w:val="single"/>
              </w:rPr>
              <w:t>/s/Bryan Power_</w:t>
            </w:r>
            <w:r>
              <w:rPr>
                <w:rFonts w:ascii="Lato;sans-serif" w:hAnsi="Lato;sans-serif"/>
                <w:b w:val="false"/>
                <w:color w:val="000000"/>
                <w:sz w:val="20"/>
              </w:rPr>
              <w:t>______________________</w:t>
            </w:r>
          </w:p>
          <w:p>
            <w:pPr>
              <w:pStyle w:val="TableContents"/>
              <w:bidi w:val="0"/>
              <w:spacing w:lineRule="auto" w:line="288" w:before="240" w:after="60"/>
              <w:ind w:left="0" w:right="0" w:hanging="721"/>
              <w:jc w:val="left"/>
              <w:rPr/>
            </w:pPr>
            <w:r>
              <w:rPr>
                <w:rFonts w:ascii="Arial;sans-serif" w:hAnsi="Arial;sans-serif"/>
                <w:b/>
                <w:color w:val="000000"/>
                <w:sz w:val="19"/>
              </w:rPr>
              <w:t>6.</w:t>
            </w:r>
            <w:r>
              <w:rPr>
                <w:rFonts w:ascii="Lato;sans-serif" w:hAnsi="Lato;sans-serif"/>
                <w:b w:val="false"/>
                <w:color w:val="000000"/>
                <w:sz w:val="20"/>
              </w:rPr>
              <w:t>Name: Bryan Power</w:t>
            </w:r>
          </w:p>
          <w:p>
            <w:pPr>
              <w:pStyle w:val="TableContents"/>
              <w:bidi w:val="0"/>
              <w:spacing w:lineRule="auto" w:line="288" w:before="240" w:after="60"/>
              <w:ind w:left="0" w:right="0" w:hanging="721"/>
              <w:jc w:val="left"/>
              <w:rPr/>
            </w:pPr>
            <w:r>
              <w:rPr>
                <w:rFonts w:ascii="Arial;sans-serif" w:hAnsi="Arial;sans-serif"/>
                <w:b/>
                <w:color w:val="000000"/>
                <w:sz w:val="19"/>
              </w:rPr>
              <w:t>7.</w:t>
            </w:r>
            <w:r>
              <w:rPr>
                <w:rFonts w:ascii="Lato;sans-serif" w:hAnsi="Lato;sans-serif"/>
                <w:b w:val="false"/>
                <w:color w:val="000000"/>
                <w:sz w:val="20"/>
              </w:rPr>
              <w:t>Title: Head of People</w:t>
            </w:r>
          </w:p>
        </w:tc>
        <w:tc>
          <w:tcPr>
            <w:tcW w:w="5130" w:type="dxa"/>
            <w:gridSpan w:val="3"/>
            <w:tcBorders/>
            <w:tcMar>
              <w:top w:w="0" w:type="dxa"/>
              <w:left w:w="0" w:type="dxa"/>
              <w:bottom w:w="0" w:type="dxa"/>
              <w:right w:w="0" w:type="dxa"/>
            </w:tcMar>
            <w:vAlign w:val="center"/>
          </w:tcPr>
          <w:p>
            <w:pPr>
              <w:pStyle w:val="TableContents"/>
              <w:bidi w:val="0"/>
              <w:spacing w:lineRule="auto" w:line="288" w:before="240" w:after="60"/>
              <w:ind w:left="0" w:right="0" w:hanging="721"/>
              <w:jc w:val="left"/>
              <w:rPr>
                <w:rFonts w:ascii="Arial;sans-serif" w:hAnsi="Arial;sans-serif"/>
                <w:b/>
                <w:color w:val="000000"/>
                <w:sz w:val="20"/>
              </w:rPr>
            </w:pPr>
            <w:r>
              <w:rPr>
                <w:rFonts w:ascii="Arial;sans-serif" w:hAnsi="Arial;sans-serif"/>
                <w:b/>
                <w:color w:val="000000"/>
                <w:sz w:val="20"/>
              </w:rPr>
              <w:t>1.</w:t>
            </w:r>
          </w:p>
          <w:p>
            <w:pPr>
              <w:pStyle w:val="TableContents"/>
              <w:bidi w:val="0"/>
              <w:spacing w:lineRule="auto" w:line="288" w:before="240" w:after="60"/>
              <w:ind w:left="0" w:right="0" w:hanging="721"/>
              <w:jc w:val="left"/>
              <w:rPr>
                <w:rFonts w:ascii="Arial;sans-serif" w:hAnsi="Arial;sans-serif"/>
                <w:b/>
                <w:color w:val="000000"/>
                <w:sz w:val="20"/>
              </w:rPr>
            </w:pPr>
            <w:r>
              <w:rPr>
                <w:rFonts w:ascii="Arial;sans-serif" w:hAnsi="Arial;sans-serif"/>
                <w:b/>
                <w:color w:val="000000"/>
                <w:sz w:val="20"/>
              </w:rPr>
              <w:t>2.</w:t>
            </w:r>
          </w:p>
          <w:p>
            <w:pPr>
              <w:pStyle w:val="TableContents"/>
              <w:bidi w:val="0"/>
              <w:spacing w:lineRule="auto" w:line="288" w:before="240" w:after="60"/>
              <w:ind w:left="0" w:right="0" w:hanging="721"/>
              <w:jc w:val="left"/>
              <w:rPr>
                <w:rFonts w:ascii="Arial;sans-serif" w:hAnsi="Arial;sans-serif"/>
                <w:b/>
                <w:color w:val="000000"/>
                <w:sz w:val="20"/>
              </w:rPr>
            </w:pPr>
            <w:r>
              <w:rPr>
                <w:rFonts w:ascii="Arial;sans-serif" w:hAnsi="Arial;sans-serif"/>
                <w:b/>
                <w:color w:val="000000"/>
                <w:sz w:val="20"/>
              </w:rPr>
              <w:t>3.</w:t>
            </w:r>
          </w:p>
          <w:p>
            <w:pPr>
              <w:pStyle w:val="TableContents"/>
              <w:bidi w:val="0"/>
              <w:spacing w:lineRule="auto" w:line="288" w:before="240" w:after="60"/>
              <w:ind w:left="0" w:right="0" w:hanging="721"/>
              <w:jc w:val="left"/>
              <w:rPr>
                <w:rFonts w:ascii="Arial;sans-serif" w:hAnsi="Arial;sans-serif"/>
                <w:b/>
                <w:color w:val="000000"/>
                <w:sz w:val="20"/>
              </w:rPr>
            </w:pPr>
            <w:r>
              <w:rPr>
                <w:rFonts w:ascii="Arial;sans-serif" w:hAnsi="Arial;sans-serif"/>
                <w:b/>
                <w:color w:val="000000"/>
                <w:sz w:val="20"/>
              </w:rPr>
              <w:t>4.</w:t>
            </w:r>
          </w:p>
          <w:p>
            <w:pPr>
              <w:pStyle w:val="TableContents"/>
              <w:bidi w:val="0"/>
              <w:spacing w:lineRule="auto" w:line="288" w:before="240" w:after="60"/>
              <w:ind w:left="0" w:right="0" w:hanging="721"/>
              <w:jc w:val="left"/>
              <w:rPr/>
            </w:pPr>
            <w:r>
              <w:rPr>
                <w:rFonts w:ascii="Arial;sans-serif" w:hAnsi="Arial;sans-serif"/>
                <w:b/>
                <w:color w:val="000000"/>
                <w:sz w:val="19"/>
              </w:rPr>
              <w:t>5.</w:t>
            </w:r>
            <w:r>
              <w:rPr>
                <w:rFonts w:ascii="Lato;sans-serif" w:hAnsi="Lato;sans-serif"/>
                <w:b w:val="false"/>
                <w:color w:val="000000"/>
                <w:sz w:val="20"/>
                <w:u w:val="single"/>
              </w:rPr>
              <w:t>/s/ Nirav Tolia__</w:t>
            </w:r>
            <w:r>
              <w:rPr>
                <w:rFonts w:ascii="Lato;sans-serif" w:hAnsi="Lato;sans-serif"/>
                <w:b w:val="false"/>
                <w:color w:val="000000"/>
                <w:sz w:val="20"/>
              </w:rPr>
              <w:t>_______________________________</w:t>
            </w:r>
          </w:p>
          <w:p>
            <w:pPr>
              <w:pStyle w:val="TableContents"/>
              <w:bidi w:val="0"/>
              <w:spacing w:lineRule="auto" w:line="288" w:before="240" w:after="60"/>
              <w:ind w:left="0" w:right="0" w:hanging="721"/>
              <w:jc w:val="left"/>
              <w:rPr/>
            </w:pPr>
            <w:r>
              <w:rPr>
                <w:rFonts w:ascii="Arial;sans-serif" w:hAnsi="Arial;sans-serif"/>
                <w:b/>
                <w:color w:val="000000"/>
                <w:sz w:val="19"/>
              </w:rPr>
              <w:t>6.</w:t>
            </w:r>
            <w:r>
              <w:rPr>
                <w:rFonts w:ascii="Lato;sans-serif" w:hAnsi="Lato;sans-serif"/>
                <w:b w:val="false"/>
                <w:color w:val="000000"/>
                <w:sz w:val="20"/>
              </w:rPr>
              <w:t>Nirav Tolia</w:t>
            </w:r>
          </w:p>
        </w:tc>
      </w:tr>
    </w:tbl>
    <w:p>
      <w:pPr>
        <w:pStyle w:val="TextBody"/>
        <w:bidi w:val="0"/>
        <w:spacing w:lineRule="auto" w:line="288" w:before="240" w:after="60"/>
        <w:ind w:left="0" w:right="0" w:hanging="721"/>
        <w:jc w:val="left"/>
        <w:rPr>
          <w:rFonts w:ascii="Arial;sans-serif" w:hAnsi="Arial;sans-serif"/>
          <w:b/>
          <w:color w:val="000000"/>
          <w:sz w:val="20"/>
        </w:rPr>
      </w:pPr>
      <w:r>
        <w:rPr>
          <w:rFonts w:ascii="Arial;sans-serif" w:hAnsi="Arial;sans-serif"/>
          <w:b/>
          <w:color w:val="000000"/>
          <w:sz w:val="20"/>
        </w:rPr>
        <w:t>36.</w:t>
      </w:r>
    </w:p>
    <w:p>
      <w:pPr>
        <w:pStyle w:val="TextBody"/>
        <w:bidi w:val="0"/>
        <w:spacing w:before="101" w:after="283"/>
        <w:jc w:val="left"/>
        <w:rPr/>
      </w:pPr>
      <w:r>
        <w:rPr/>
      </w:r>
    </w:p>
    <w:p>
      <w:pPr>
        <w:pStyle w:val="TextBody"/>
        <w:bidi w:val="0"/>
        <w:spacing w:before="0" w:after="0"/>
        <w:jc w:val="center"/>
        <w:rPr/>
      </w:pPr>
      <w:r>
        <w:rPr/>
      </w:r>
    </w:p>
    <w:p>
      <w:pPr>
        <w:pStyle w:val="TextBody"/>
        <w:bidi w:val="0"/>
        <w:spacing w:before="0" w:after="0"/>
        <w:jc w:val="center"/>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111">
                <wp:simplePos x="0" y="0"/>
                <wp:positionH relativeFrom="character">
                  <wp:align>left</wp:align>
                </wp:positionH>
                <wp:positionV relativeFrom="line">
                  <wp:posOffset>635</wp:posOffset>
                </wp:positionV>
                <wp:extent cx="6480175" cy="175260"/>
                <wp:effectExtent l="0" t="0" r="0" b="0"/>
                <wp:wrapNone/>
                <wp:docPr id="110" name="Frame10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240"/>
        <w:jc w:val="center"/>
        <w:rPr>
          <w:rFonts w:ascii="Lato;sans-serif" w:hAnsi="Lato;sans-serif"/>
          <w:b/>
          <w:color w:val="000000"/>
          <w:sz w:val="20"/>
          <w:u w:val="single"/>
        </w:rPr>
      </w:pPr>
      <w:r>
        <w:rPr>
          <w:rFonts w:ascii="Lato;sans-serif" w:hAnsi="Lato;sans-serif"/>
          <w:b/>
          <w:color w:val="000000"/>
          <w:sz w:val="20"/>
          <w:u w:val="single"/>
        </w:rPr>
        <w:t>Exhibit A</w:t>
      </w:r>
    </w:p>
    <w:p>
      <w:pPr>
        <w:pStyle w:val="TextBody"/>
        <w:bidi w:val="0"/>
        <w:spacing w:lineRule="auto" w:line="288" w:before="0" w:after="240"/>
        <w:jc w:val="center"/>
        <w:rPr>
          <w:rFonts w:ascii="Lato;sans-serif" w:hAnsi="Lato;sans-serif"/>
          <w:b/>
          <w:color w:val="000000"/>
          <w:sz w:val="20"/>
        </w:rPr>
      </w:pPr>
      <w:r>
        <w:rPr>
          <w:rFonts w:ascii="Lato;sans-serif" w:hAnsi="Lato;sans-serif"/>
          <w:b/>
          <w:color w:val="000000"/>
          <w:sz w:val="20"/>
        </w:rPr>
        <w:t>LIST OF EXCLUDED INVENTIONS UNDER SECTION 4</w:t>
      </w:r>
    </w:p>
    <w:p>
      <w:pPr>
        <w:pStyle w:val="TextBody"/>
        <w:bidi w:val="0"/>
        <w:spacing w:before="0" w:after="240"/>
        <w:ind w:left="0" w:right="0" w:firstLine="720"/>
        <w:jc w:val="left"/>
        <w:rPr/>
      </w:pPr>
      <w:r>
        <w:rPr/>
      </w:r>
    </w:p>
    <w:p>
      <w:pPr>
        <w:pStyle w:val="TextBody"/>
        <w:bidi w:val="0"/>
        <w:spacing w:lineRule="auto" w:line="288" w:before="0" w:after="0"/>
        <w:ind w:left="0" w:right="0" w:firstLine="720"/>
        <w:jc w:val="left"/>
        <w:rPr>
          <w:color w:val="000000"/>
        </w:rPr>
      </w:pPr>
      <w:r>
        <w:rPr>
          <w:color w:val="000000"/>
        </w:rPr>
        <w:t>                                </w:t>
      </w:r>
      <w:r>
        <w:rPr>
          <w:rFonts w:ascii="Lato;sans-serif" w:hAnsi="Lato;sans-serif"/>
          <w:b w:val="false"/>
          <w:color w:val="000000"/>
          <w:sz w:val="20"/>
        </w:rPr>
        <w:t>Identifying Number</w:t>
      </w:r>
    </w:p>
    <w:p>
      <w:pPr>
        <w:pStyle w:val="TextBody"/>
        <w:bidi w:val="0"/>
        <w:spacing w:lineRule="auto" w:line="288" w:before="0" w:after="0"/>
        <w:ind w:left="0" w:right="0" w:firstLine="720"/>
        <w:jc w:val="left"/>
        <w:rPr/>
      </w:pPr>
      <w:r>
        <w:rPr>
          <w:rFonts w:ascii="Lato;sans-serif" w:hAnsi="Lato;sans-serif"/>
          <w:b w:val="false"/>
          <w:color w:val="000000"/>
          <w:sz w:val="20"/>
          <w:u w:val="single"/>
        </w:rPr>
        <w:t>Title</w:t>
      </w:r>
      <w:r>
        <w:rPr>
          <w:color w:val="000000"/>
        </w:rPr>
        <w:t xml:space="preserve">                 </w:t>
      </w:r>
      <w:r>
        <w:rPr>
          <w:rFonts w:ascii="Lato;sans-serif" w:hAnsi="Lato;sans-serif"/>
          <w:b w:val="false"/>
          <w:color w:val="000000"/>
          <w:sz w:val="20"/>
          <w:u w:val="single"/>
        </w:rPr>
        <w:t>Date</w:t>
      </w:r>
      <w:r>
        <w:rPr>
          <w:color w:val="000000"/>
        </w:rPr>
        <w:t xml:space="preserve">                 </w:t>
      </w:r>
      <w:r>
        <w:rPr>
          <w:rFonts w:ascii="Lato;sans-serif" w:hAnsi="Lato;sans-serif"/>
          <w:b w:val="false"/>
          <w:color w:val="000000"/>
          <w:sz w:val="20"/>
          <w:u w:val="single"/>
        </w:rPr>
        <w:t>or Brief Description</w:t>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240"/>
        <w:ind w:left="0" w:right="0" w:firstLine="72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lineRule="auto" w:line="288" w:before="0" w:after="240"/>
        <w:jc w:val="left"/>
        <w:rPr/>
      </w:pPr>
      <w:r>
        <w:rPr>
          <w:rFonts w:ascii="Lato;sans-serif" w:hAnsi="Lato;sans-serif"/>
          <w:b w:val="false"/>
          <w:color w:val="000000"/>
          <w:sz w:val="20"/>
          <w:u w:val="single"/>
        </w:rPr>
        <w:t>X    </w:t>
      </w:r>
      <w:r>
        <w:rPr>
          <w:color w:val="000000"/>
        </w:rPr>
        <w:t xml:space="preserve"> </w:t>
      </w:r>
      <w:r>
        <w:rPr>
          <w:rFonts w:ascii="Lato;sans-serif" w:hAnsi="Lato;sans-serif"/>
          <w:b w:val="false"/>
          <w:color w:val="000000"/>
          <w:sz w:val="20"/>
        </w:rPr>
        <w:t>No inventions, improvements, or original works of authorship</w:t>
      </w:r>
    </w:p>
    <w:p>
      <w:pPr>
        <w:pStyle w:val="TextBody"/>
        <w:bidi w:val="0"/>
        <w:spacing w:lineRule="auto" w:line="288" w:before="0" w:after="240"/>
        <w:jc w:val="left"/>
        <w:rPr/>
      </w:pPr>
      <w:r>
        <w:rPr>
          <w:color w:val="000000"/>
          <w:u w:val="single"/>
        </w:rPr>
        <w:t>    </w:t>
      </w:r>
      <w:r>
        <w:rPr>
          <w:color w:val="000000"/>
        </w:rPr>
        <w:t xml:space="preserve"> </w:t>
      </w:r>
      <w:r>
        <w:rPr>
          <w:rFonts w:ascii="Lato;sans-serif" w:hAnsi="Lato;sans-serif"/>
          <w:b w:val="false"/>
          <w:color w:val="000000"/>
          <w:sz w:val="20"/>
        </w:rPr>
        <w:t>Additional sheets attached</w:t>
      </w:r>
    </w:p>
    <w:p>
      <w:pPr>
        <w:pStyle w:val="TextBody"/>
        <w:bidi w:val="0"/>
        <w:spacing w:lineRule="auto" w:line="288" w:before="0" w:after="240"/>
        <w:jc w:val="left"/>
        <w:rPr/>
      </w:pPr>
      <w:r>
        <w:rPr>
          <w:rFonts w:ascii="Lato;sans-serif" w:hAnsi="Lato;sans-serif"/>
          <w:b w:val="false"/>
          <w:color w:val="000000"/>
          <w:sz w:val="20"/>
        </w:rPr>
        <w:t xml:space="preserve">Signature of Employee: </w:t>
      </w:r>
      <w:r>
        <w:rPr>
          <w:color w:val="000000"/>
          <w:u w:val="single"/>
        </w:rPr>
        <w:t>    </w:t>
      </w:r>
      <w:r>
        <w:rPr>
          <w:rFonts w:ascii="Lato;sans-serif" w:hAnsi="Lato;sans-serif"/>
          <w:b w:val="false"/>
          <w:color w:val="000000"/>
          <w:sz w:val="20"/>
          <w:u w:val="single"/>
        </w:rPr>
        <w:t>/s/ Nirav Tolia            </w:t>
      </w:r>
    </w:p>
    <w:p>
      <w:pPr>
        <w:pStyle w:val="TextBody"/>
        <w:bidi w:val="0"/>
        <w:spacing w:lineRule="auto" w:line="288" w:before="0" w:after="240"/>
        <w:jc w:val="left"/>
        <w:rPr/>
      </w:pPr>
      <w:r>
        <w:rPr>
          <w:rFonts w:ascii="Lato;sans-serif" w:hAnsi="Lato;sans-serif"/>
          <w:b w:val="false"/>
          <w:color w:val="000000"/>
          <w:sz w:val="20"/>
        </w:rPr>
        <w:t xml:space="preserve">Print Name of Employee: </w:t>
      </w:r>
      <w:r>
        <w:rPr>
          <w:rFonts w:ascii="Lato;sans-serif" w:hAnsi="Lato;sans-serif"/>
          <w:b w:val="false"/>
          <w:color w:val="000000"/>
          <w:sz w:val="20"/>
          <w:u w:val="single"/>
        </w:rPr>
        <w:t>Nirav Tolia            </w:t>
      </w:r>
    </w:p>
    <w:p>
      <w:pPr>
        <w:pStyle w:val="TextBody"/>
        <w:bidi w:val="0"/>
        <w:spacing w:lineRule="auto" w:line="288" w:before="0" w:after="0"/>
        <w:jc w:val="left"/>
        <w:rPr/>
      </w:pPr>
      <w:r>
        <w:rPr>
          <w:rFonts w:ascii="Lato;sans-serif" w:hAnsi="Lato;sans-serif"/>
          <w:b w:val="false"/>
          <w:color w:val="000000"/>
          <w:sz w:val="20"/>
        </w:rPr>
        <w:t xml:space="preserve">Date: </w:t>
      </w:r>
      <w:r>
        <w:rPr>
          <w:rFonts w:ascii="Lato;sans-serif" w:hAnsi="Lato;sans-serif"/>
          <w:b w:val="false"/>
          <w:color w:val="000000"/>
          <w:sz w:val="20"/>
          <w:u w:val="single"/>
        </w:rPr>
        <w:t>3/18/2024                    </w:t>
      </w:r>
      <w:r>
        <w:rPr>
          <w:color w:val="000000"/>
        </w:rPr>
        <w:t>    </w:t>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0"/>
        <w:jc w:val="left"/>
        <w:rPr/>
      </w:pPr>
      <w:r>
        <w:rPr/>
      </w:r>
    </w:p>
    <w:p>
      <w:pPr>
        <w:pStyle w:val="TextBody"/>
        <w:bidi w:val="0"/>
        <w:spacing w:before="0" w:after="283"/>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112">
                <wp:simplePos x="0" y="0"/>
                <wp:positionH relativeFrom="character">
                  <wp:align>left</wp:align>
                </wp:positionH>
                <wp:positionV relativeFrom="line">
                  <wp:posOffset>635</wp:posOffset>
                </wp:positionV>
                <wp:extent cx="6480175" cy="175260"/>
                <wp:effectExtent l="0" t="0" r="0" b="0"/>
                <wp:wrapNone/>
                <wp:docPr id="111" name="Frame10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0"/>
        <w:jc w:val="center"/>
        <w:rPr>
          <w:rFonts w:ascii="Lato;sans-serif" w:hAnsi="Lato;sans-serif"/>
          <w:b/>
          <w:color w:val="000000"/>
          <w:sz w:val="20"/>
          <w:u w:val="single"/>
        </w:rPr>
      </w:pPr>
      <w:r>
        <w:rPr>
          <w:rFonts w:ascii="Lato;sans-serif" w:hAnsi="Lato;sans-serif"/>
          <w:b/>
          <w:color w:val="000000"/>
          <w:sz w:val="20"/>
          <w:u w:val="single"/>
        </w:rPr>
        <w:t>EXHIBIT B</w:t>
      </w:r>
    </w:p>
    <w:p>
      <w:pPr>
        <w:pStyle w:val="TextBody"/>
        <w:bidi w:val="0"/>
        <w:spacing w:before="0" w:after="0"/>
        <w:jc w:val="left"/>
        <w:rPr/>
      </w:pPr>
      <w:r>
        <w:rPr/>
      </w:r>
    </w:p>
    <w:p>
      <w:pPr>
        <w:pStyle w:val="TextBody"/>
        <w:bidi w:val="0"/>
        <w:spacing w:lineRule="auto" w:line="288" w:before="0" w:after="240"/>
        <w:jc w:val="both"/>
        <w:rPr>
          <w:rFonts w:ascii="Lato;sans-serif" w:hAnsi="Lato;sans-serif"/>
          <w:b/>
          <w:i/>
          <w:color w:val="000000"/>
          <w:sz w:val="20"/>
        </w:rPr>
      </w:pPr>
      <w:r>
        <w:rPr>
          <w:rFonts w:ascii="Lato;sans-serif" w:hAnsi="Lato;sans-serif"/>
          <w:b/>
          <w:i/>
          <w:color w:val="000000"/>
          <w:sz w:val="20"/>
        </w:rPr>
        <w:t xml:space="preserve">For Illinois employees: </w:t>
      </w:r>
    </w:p>
    <w:p>
      <w:pPr>
        <w:pStyle w:val="TextBody"/>
        <w:bidi w:val="0"/>
        <w:spacing w:lineRule="auto" w:line="288" w:before="0" w:after="240"/>
        <w:jc w:val="both"/>
        <w:rPr>
          <w:rFonts w:ascii="Lato;sans-serif" w:hAnsi="Lato;sans-serif"/>
          <w:b/>
          <w:i/>
          <w:color w:val="000000"/>
          <w:sz w:val="20"/>
        </w:rPr>
      </w:pPr>
      <w:r>
        <w:rPr>
          <w:rFonts w:ascii="Lato;sans-serif" w:hAnsi="Lato;sans-serif"/>
          <w:b/>
          <w:i/>
          <w:color w:val="000000"/>
          <w:sz w:val="20"/>
        </w:rPr>
        <w:t>Illinois Compiled Statutes 765 ILCS 1060/2:</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 xml:space="preserve">(1) A provision in an employment agreement which provides that an employee shall assign or offer to assign any of the employee’s rights in an invention to the employer does not apply to an invention for which no equipment, supplies, facilities, or trade secret information of the employer was used and which was developed entirely on the employee’s own time, unless (a) the invention relates (i) to the business of the employer, or (ii) to the employer’s actual or demonstrably anticipated research or development, or (b) the invention results from any work performed by the employee for the employer. Any provision which purports to apply to such an invention is to that extent against the public policy of this State and is to that extent void and unenforceable. The employee shall bear the burden of proof in establishing that his invention qualifies under this subsection. </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(2) An employer shall not require a provision made void and unenforceable by subsection (1) of this Section as a condition of employment or continuing employment. This Act shall not preempt existing common law applicable to any shop rights of employers with respect to employees who have not signed an employment agreement.</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(3) If an employment agreement entered into after January 1, 1984, contains a provision requiring the employee to assign any of the employee’s rights in any invention to the employer, the employer must also, at the time the agreement is made, provide a written notification to the employee that the agreement does not apply to an invention for which no equipment, supplies, facility, or trade secret information of the employer was used and which was developed entirely on the employee’s own time, unless (a) the invention relates (i) to the business of the employer, or (ii) to the employer’s actual or demonstrably anticipated research or development, or (b) the invention results from any work performed by the employee for the employer.</w:t>
      </w:r>
    </w:p>
    <w:p>
      <w:pPr>
        <w:pStyle w:val="TextBody"/>
        <w:bidi w:val="0"/>
        <w:spacing w:lineRule="auto" w:line="292" w:before="1" w:after="283"/>
        <w:jc w:val="both"/>
        <w:rPr>
          <w:rFonts w:ascii="Lato;sans-serif" w:hAnsi="Lato;sans-serif"/>
          <w:b/>
          <w:i/>
          <w:color w:val="222222"/>
          <w:sz w:val="20"/>
          <w:shd w:fill="FFFFFF" w:val="clear"/>
        </w:rPr>
      </w:pPr>
      <w:r>
        <w:rPr>
          <w:rFonts w:ascii="Lato;sans-serif" w:hAnsi="Lato;sans-serif"/>
          <w:b/>
          <w:i/>
          <w:color w:val="222222"/>
          <w:sz w:val="20"/>
          <w:shd w:fill="FFFFFF" w:val="clear"/>
        </w:rPr>
        <w:t xml:space="preserve">Other </w:t>
      </w:r>
    </w:p>
    <w:p>
      <w:pPr>
        <w:pStyle w:val="TextBody"/>
        <w:bidi w:val="0"/>
        <w:spacing w:before="1" w:after="283"/>
        <w:jc w:val="both"/>
        <w:rPr/>
      </w:pPr>
      <w:r>
        <w:rPr/>
      </w:r>
    </w:p>
    <w:p>
      <w:pPr>
        <w:pStyle w:val="TextBody"/>
        <w:bidi w:val="0"/>
        <w:spacing w:lineRule="auto" w:line="292" w:before="1" w:after="283"/>
        <w:jc w:val="both"/>
        <w:rPr>
          <w:rFonts w:ascii="Lato;sans-serif" w:hAnsi="Lato;sans-serif"/>
          <w:b w:val="false"/>
          <w:color w:val="222222"/>
          <w:sz w:val="20"/>
          <w:shd w:fill="FFFFFF" w:val="clear"/>
        </w:rPr>
      </w:pPr>
      <w:r>
        <w:rPr>
          <w:rFonts w:ascii="Lato;sans-serif" w:hAnsi="Lato;sans-serif"/>
          <w:b w:val="false"/>
          <w:color w:val="222222"/>
          <w:sz w:val="20"/>
          <w:shd w:fill="FFFFFF" w:val="clear"/>
        </w:rPr>
        <w:t>I acknowledge and agree that I was provided the covenant not to solicit the Company’s employee or consultants (as set forth in Section 13) at least fourteen (14) days prior to my employment start date</w:t>
      </w:r>
    </w:p>
    <w:p>
      <w:pPr>
        <w:pStyle w:val="TextBody"/>
        <w:bidi w:val="0"/>
        <w:spacing w:before="1" w:after="283"/>
        <w:jc w:val="both"/>
        <w:rPr/>
      </w:pPr>
      <w:r>
        <w:rPr/>
      </w:r>
    </w:p>
    <w:p>
      <w:pPr>
        <w:pStyle w:val="TextBody"/>
        <w:bidi w:val="0"/>
        <w:spacing w:lineRule="auto" w:line="288" w:before="0" w:after="240"/>
        <w:jc w:val="both"/>
        <w:rPr>
          <w:rFonts w:ascii="Lato;sans-serif" w:hAnsi="Lato;sans-serif"/>
          <w:b/>
          <w:i/>
          <w:color w:val="000000"/>
          <w:sz w:val="20"/>
        </w:rPr>
      </w:pPr>
      <w:r>
        <w:rPr>
          <w:rFonts w:ascii="Lato;sans-serif" w:hAnsi="Lato;sans-serif"/>
          <w:b/>
          <w:i/>
          <w:color w:val="000000"/>
          <w:sz w:val="20"/>
        </w:rPr>
        <w:t xml:space="preserve">For New York employees: New York Labor Law Section 203-f </w:t>
      </w:r>
    </w:p>
    <w:p>
      <w:pPr>
        <w:pStyle w:val="TextBody"/>
        <w:bidi w:val="0"/>
        <w:spacing w:lineRule="auto" w:line="288" w:before="0" w:after="0"/>
        <w:ind w:left="0" w:right="0" w:hanging="360"/>
        <w:jc w:val="left"/>
        <w:rPr/>
      </w:pPr>
      <w:r>
        <w:rPr>
          <w:rFonts w:ascii="Lato;sans-serif" w:hAnsi="Lato;sans-serif"/>
          <w:b w:val="false"/>
          <w:color w:val="3D3D3D"/>
          <w:sz w:val="20"/>
        </w:rPr>
        <w:t>1.</w:t>
      </w:r>
      <w:r>
        <w:rPr>
          <w:rFonts w:ascii="Lato;sans-serif" w:hAnsi="Lato;sans-serif"/>
          <w:b w:val="false"/>
          <w:color w:val="3D3D3D"/>
          <w:sz w:val="20"/>
          <w:shd w:fill="FFFFFF" w:val="clear"/>
        </w:rPr>
        <w:t>Any provision in an employment agreement which provides that an employee shall assign, or offer to assign, any of his or her rights in an invention to his or her employer shall not apply to an invention that the employee developed entirely on his or her own time without using the employer's equipment, supplies, facilities, or trade secret information except for those inventions that either:</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Lato;sans-serif" w:hAnsi="Lato;sans-serif"/>
          <w:b w:val="false"/>
          <w:color w:val="3D3D3D"/>
          <w:sz w:val="20"/>
        </w:rPr>
        <w:t>(1)</w:t>
      </w:r>
      <w:r>
        <w:rPr>
          <w:rFonts w:ascii="Lato;sans-serif" w:hAnsi="Lato;sans-serif"/>
          <w:b w:val="false"/>
          <w:color w:val="3D3D3D"/>
          <w:sz w:val="20"/>
          <w:shd w:fill="FFFFFF" w:val="clear"/>
        </w:rPr>
        <w:t>relate at the time of conception or reduction to practice of the invention to the employer's business, or actual or demonstrably anticipated research or development of the employer; or</w:t>
      </w:r>
    </w:p>
    <w:p>
      <w:pPr>
        <w:pStyle w:val="TextBody"/>
        <w:bidi w:val="0"/>
        <w:spacing w:before="0" w:after="0"/>
        <w:jc w:val="left"/>
        <w:rPr/>
      </w:pPr>
      <w:r>
        <w:rPr/>
      </w:r>
    </w:p>
    <w:p>
      <w:pPr>
        <w:pStyle w:val="TextBody"/>
        <w:bidi w:val="0"/>
        <w:spacing w:lineRule="auto" w:line="288" w:before="0" w:after="0"/>
        <w:ind w:left="0" w:right="0" w:hanging="360"/>
        <w:jc w:val="left"/>
        <w:rPr/>
      </w:pPr>
      <w:r>
        <w:rPr>
          <w:rFonts w:ascii="Lato;sans-serif" w:hAnsi="Lato;sans-serif"/>
          <w:b w:val="false"/>
          <w:color w:val="3D3D3D"/>
          <w:sz w:val="20"/>
        </w:rPr>
        <w:t>(2)</w:t>
      </w:r>
      <w:r>
        <w:rPr>
          <w:rFonts w:ascii="Lato;sans-serif" w:hAnsi="Lato;sans-serif"/>
          <w:b w:val="false"/>
          <w:color w:val="3D3D3D"/>
          <w:sz w:val="20"/>
          <w:shd w:fill="FFFFFF" w:val="clear"/>
        </w:rPr>
        <w:t>result from any work performed by the employee for the employer.</w:t>
      </w:r>
    </w:p>
    <w:p>
      <w:pPr>
        <w:pStyle w:val="TextBody"/>
        <w:bidi w:val="0"/>
        <w:spacing w:before="0" w:after="0"/>
        <w:jc w:val="left"/>
        <w:rPr/>
      </w:pPr>
      <w:r>
        <w:rPr/>
      </w:r>
    </w:p>
    <w:p>
      <w:pPr>
        <w:pStyle w:val="TextBody"/>
        <w:bidi w:val="0"/>
        <w:spacing w:lineRule="auto" w:line="288"/>
        <w:ind w:left="0" w:right="0" w:hanging="360"/>
        <w:jc w:val="left"/>
        <w:rPr/>
      </w:pPr>
      <w:r>
        <w:rPr>
          <w:rFonts w:ascii="Lato;sans-serif" w:hAnsi="Lato;sans-serif"/>
          <w:b w:val="false"/>
          <w:color w:val="3D3D3D"/>
          <w:sz w:val="20"/>
        </w:rPr>
        <w:t>2.</w:t>
      </w:r>
      <w:r>
        <w:rPr>
          <w:rFonts w:ascii="Lato;sans-serif" w:hAnsi="Lato;sans-serif"/>
          <w:b w:val="false"/>
          <w:color w:val="3D3D3D"/>
          <w:sz w:val="20"/>
          <w:shd w:fill="FFFFFF" w:val="clear"/>
        </w:rPr>
        <w:t>To the extent a provision in an employment agreement purports to require an employee to assign an invention otherwise excluded from being required to be assigned under subdivision one of this section, such provision is against the public policy of this state and shall be unenforceable.</w:t>
      </w:r>
    </w:p>
    <w:p>
      <w:pPr>
        <w:pStyle w:val="TextBody"/>
        <w:bidi w:val="0"/>
        <w:spacing w:before="0" w:after="240"/>
        <w:jc w:val="center"/>
        <w:rPr/>
      </w:pPr>
      <w:r>
        <w:rPr/>
      </w:r>
      <w:r>
        <mc:AlternateContent>
          <mc:Choice Requires="wps">
            <w:drawing>
              <wp:anchor behindDoc="0" distT="0" distB="0" distL="0" distR="0" simplePos="0" locked="0" layoutInCell="1" allowOverlap="1" relativeHeight="113">
                <wp:simplePos x="0" y="0"/>
                <wp:positionH relativeFrom="character">
                  <wp:align>left</wp:align>
                </wp:positionH>
                <wp:positionV relativeFrom="line">
                  <wp:posOffset>635</wp:posOffset>
                </wp:positionV>
                <wp:extent cx="6480175" cy="175260"/>
                <wp:effectExtent l="0" t="0" r="0" b="0"/>
                <wp:wrapNone/>
                <wp:docPr id="112" name="Frame10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240"/>
        <w:jc w:val="both"/>
        <w:rPr>
          <w:rFonts w:ascii="Lato;sans-serif" w:hAnsi="Lato;sans-serif"/>
          <w:b/>
          <w:i/>
          <w:color w:val="000000"/>
          <w:sz w:val="20"/>
        </w:rPr>
      </w:pPr>
      <w:r>
        <w:rPr>
          <w:rFonts w:ascii="Lato;sans-serif" w:hAnsi="Lato;sans-serif"/>
          <w:b/>
          <w:i/>
          <w:color w:val="000000"/>
          <w:sz w:val="20"/>
        </w:rPr>
        <w:t>For Delaware employees: 19 Delaware Code § 805:</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 xml:space="preserve">Any provision in an employment agreement which provides that the employee shall assign or offer to assign any of the employee’s rights in an invention to the employee’s employer shall not apply to an invention that the employee developed entirely on the employee’s own time without using the employer’s equipment, supplies, facility or trade secret information, except for those inventions that: </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 xml:space="preserve">(1) Relate to the employer’s business or actual or demonstrably anticipated research or development; or </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 xml:space="preserve">(2) Result from any work performed by the employee for the employer. </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To the extent a provision in an employment agreement purports to apply to the type of invention described, it is against the public policy of this State and is unenforceable. An employer may not require a provision of an employment agreement made unenforceable under this section as a condition of employment or continued employment.</w:t>
      </w:r>
    </w:p>
    <w:p>
      <w:pPr>
        <w:pStyle w:val="TextBody"/>
        <w:bidi w:val="0"/>
        <w:spacing w:lineRule="auto" w:line="288" w:before="0" w:after="240"/>
        <w:jc w:val="both"/>
        <w:rPr>
          <w:rFonts w:ascii="Lato;sans-serif" w:hAnsi="Lato;sans-serif"/>
          <w:b/>
          <w:i/>
          <w:color w:val="000000"/>
          <w:sz w:val="20"/>
        </w:rPr>
      </w:pPr>
      <w:r>
        <w:rPr>
          <w:rFonts w:ascii="Lato;sans-serif" w:hAnsi="Lato;sans-serif"/>
          <w:b/>
          <w:i/>
          <w:color w:val="000000"/>
          <w:sz w:val="20"/>
        </w:rPr>
        <w:t>For Kansas employees: Kansas Statutes § 44-130:</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 xml:space="preserve">(a) Any provision in an employment agreement which provides that an employee shall assign or offer to assign any of the employee’s rights in an invention to the employer shall not apply to an invention for which no equipment, supplies, facilities, or trade secret information of the employer was used and which was developed entirely on the employee’s own time, unless: </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 xml:space="preserve">(1) the invention relates to the business of the employer or to the employer’s actual or demonstrably anticipated research or development; or </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 xml:space="preserve">(2) the invention results from any work performed by the employee for the employer. </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(b) Any provision in an employment agreement which purports to apply to an invention which it is prohibited from applying to under subsection (a), is to that extent against the public policy of this state and is to that extent void and unenforceable. No employer shall require a provision made void and unenforceable by this section as a condition of employment or continuing employment.</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(c) If an employment agreement contains a provision requiring the employee to assign any of the employee’s rights in any invention to the employer, the employer shall provide, at the time the agreement is made, a written notification to the employee that the agreement does not apply to an invention for which no equipment, supplies, facility or trade secret information of the employer was used and which was developed entirely on the employee’s own time, unless:</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(1) The invention relates directly to the business of the employer or to the employer’s actual or demonstrably anticipated research or development; or</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(2) The invention results from any work performed by the employee for the employer.</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(d) Even though the employee meets the burden of proving the conditions specified in this section, the employee shall disclose, at the time of employment or thereafter, all inventions being developed by the employee, for the purpose of determining employer and employee rights in an invention.</w:t>
      </w:r>
    </w:p>
    <w:p>
      <w:pPr>
        <w:pStyle w:val="TextBody"/>
        <w:bidi w:val="0"/>
        <w:spacing w:lineRule="auto" w:line="288" w:before="0" w:after="240"/>
        <w:jc w:val="left"/>
        <w:rPr>
          <w:rFonts w:ascii="Lato;sans-serif" w:hAnsi="Lato;sans-serif"/>
          <w:b/>
          <w:i/>
          <w:color w:val="000000"/>
          <w:sz w:val="20"/>
        </w:rPr>
      </w:pPr>
      <w:r>
        <w:rPr>
          <w:rFonts w:ascii="Lato;sans-serif" w:hAnsi="Lato;sans-serif"/>
          <w:b/>
          <w:i/>
          <w:color w:val="000000"/>
          <w:sz w:val="20"/>
        </w:rPr>
        <w:t>For Minnesota employees: Minnesota Statute 181.78:</w:t>
      </w:r>
    </w:p>
    <w:p>
      <w:pPr>
        <w:pStyle w:val="TextBody"/>
        <w:bidi w:val="0"/>
        <w:spacing w:before="0" w:after="240"/>
        <w:jc w:val="center"/>
        <w:rPr/>
      </w:pPr>
      <w:r>
        <w:rPr/>
      </w:r>
      <w:r>
        <mc:AlternateContent>
          <mc:Choice Requires="wps">
            <w:drawing>
              <wp:anchor behindDoc="0" distT="0" distB="0" distL="0" distR="0" simplePos="0" locked="0" layoutInCell="1" allowOverlap="1" relativeHeight="114">
                <wp:simplePos x="0" y="0"/>
                <wp:positionH relativeFrom="character">
                  <wp:align>left</wp:align>
                </wp:positionH>
                <wp:positionV relativeFrom="line">
                  <wp:posOffset>635</wp:posOffset>
                </wp:positionV>
                <wp:extent cx="6480175" cy="175260"/>
                <wp:effectExtent l="0" t="0" r="0" b="0"/>
                <wp:wrapNone/>
                <wp:docPr id="113" name="Frame10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left"/>
        <w:rPr/>
      </w:pPr>
      <w:r>
        <w:rPr>
          <w:rFonts w:ascii="Lato;sans-serif" w:hAnsi="Lato;sans-serif"/>
          <w:b w:val="false"/>
          <w:color w:val="000000"/>
          <w:sz w:val="20"/>
        </w:rPr>
        <w:t xml:space="preserve">Subdivision 1. </w:t>
      </w:r>
      <w:r>
        <w:rPr>
          <w:rFonts w:ascii="Lato;sans-serif" w:hAnsi="Lato;sans-serif"/>
          <w:b/>
          <w:color w:val="000000"/>
          <w:sz w:val="20"/>
        </w:rPr>
        <w:t>Inventions not related to employment</w:t>
      </w:r>
      <w:r>
        <w:rPr>
          <w:rFonts w:ascii="Lato;sans-serif" w:hAnsi="Lato;sans-serif"/>
          <w:b w:val="false"/>
          <w:color w:val="000000"/>
          <w:sz w:val="20"/>
        </w:rPr>
        <w:t>. Any provision in an employment agreement which provides that an employee shall assign or offer to assign any of the employee’s rights in an invention to the employer shall not apply to an invention for which no equipment, supplies, facility or trade secret information of the employer was used and which was developed entirely on the employee’s own time, and (1) which does not relate (a) directly to the business of the employer or (b) to the employer’s actual or demonstrably anticipated research or development, or (2) which does not result from any work performed by the employee for the employer. Any provision which purports to apply to such an invention is to that extent against the public policy of this state and is to that extent void and unenforceable.</w:t>
      </w:r>
    </w:p>
    <w:p>
      <w:pPr>
        <w:pStyle w:val="TextBody"/>
        <w:bidi w:val="0"/>
        <w:spacing w:lineRule="auto" w:line="288" w:before="0" w:after="240"/>
        <w:jc w:val="left"/>
        <w:rPr/>
      </w:pPr>
      <w:r>
        <w:rPr>
          <w:rFonts w:ascii="Lato;sans-serif" w:hAnsi="Lato;sans-serif"/>
          <w:b w:val="false"/>
          <w:color w:val="000000"/>
          <w:sz w:val="20"/>
        </w:rPr>
        <w:t xml:space="preserve">Subd. 2. </w:t>
      </w:r>
      <w:r>
        <w:rPr>
          <w:rFonts w:ascii="Lato;sans-serif" w:hAnsi="Lato;sans-serif"/>
          <w:b/>
          <w:color w:val="000000"/>
          <w:sz w:val="20"/>
        </w:rPr>
        <w:t>Effect of subdivision 1</w:t>
      </w:r>
      <w:r>
        <w:rPr>
          <w:rFonts w:ascii="Lato;sans-serif" w:hAnsi="Lato;sans-serif"/>
          <w:b w:val="false"/>
          <w:color w:val="000000"/>
          <w:sz w:val="20"/>
        </w:rPr>
        <w:t>. No employer shall require a provision made void and unenforceable by subdivision 1 as a condition of employment or continuing employment.</w:t>
      </w:r>
    </w:p>
    <w:p>
      <w:pPr>
        <w:pStyle w:val="TextBody"/>
        <w:bidi w:val="0"/>
        <w:spacing w:lineRule="auto" w:line="288" w:before="0" w:after="240"/>
        <w:jc w:val="left"/>
        <w:rPr/>
      </w:pPr>
      <w:r>
        <w:rPr>
          <w:rFonts w:ascii="Lato;sans-serif" w:hAnsi="Lato;sans-serif"/>
          <w:b w:val="false"/>
          <w:color w:val="000000"/>
          <w:sz w:val="20"/>
        </w:rPr>
        <w:t xml:space="preserve">Subd. 3. </w:t>
      </w:r>
      <w:r>
        <w:rPr>
          <w:rFonts w:ascii="Lato;sans-serif" w:hAnsi="Lato;sans-serif"/>
          <w:b/>
          <w:color w:val="000000"/>
          <w:sz w:val="20"/>
        </w:rPr>
        <w:t>Notice to employee</w:t>
      </w:r>
      <w:r>
        <w:rPr>
          <w:rFonts w:ascii="Lato;sans-serif" w:hAnsi="Lato;sans-serif"/>
          <w:b w:val="false"/>
          <w:color w:val="000000"/>
          <w:sz w:val="20"/>
        </w:rPr>
        <w:t>. If an employment agreement entered into after August 1, 1977 contains a provision requiring the employee to assign or offer to assign any of the employee’s rights in any invention to an employer, the employer must also, at the time the agreement is made, provide a written notification to the employee that the agreement does not apply to an invention for which no equipment, supplies, facility or trade secret information of the employer was used and which was developed entirely on the employee’s own time, and (1) which does not relate (a) directly to the business of the employer or (b) to the employer’s actual or demonstrably anticipated research or development, or (2) which does not result from any work performed by the employee for the employer.</w:t>
      </w:r>
    </w:p>
    <w:p>
      <w:pPr>
        <w:pStyle w:val="TextBody"/>
        <w:bidi w:val="0"/>
        <w:spacing w:lineRule="auto" w:line="288" w:before="0" w:after="240"/>
        <w:jc w:val="both"/>
        <w:rPr>
          <w:rFonts w:ascii="Lato;sans-serif" w:hAnsi="Lato;sans-serif"/>
          <w:b/>
          <w:i/>
          <w:color w:val="000000"/>
          <w:sz w:val="20"/>
        </w:rPr>
      </w:pPr>
      <w:r>
        <w:rPr>
          <w:rFonts w:ascii="Lato;sans-serif" w:hAnsi="Lato;sans-serif"/>
          <w:b/>
          <w:i/>
          <w:color w:val="000000"/>
          <w:sz w:val="20"/>
        </w:rPr>
        <w:t>For New Jersey employees: New Jersey Statutes Annotated Section 34:1B-265:</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 xml:space="preserve">1.a. (1) Any provision in an employment contract between an employee and employer, which provides that the employee shall assign or offer to assign any of the employee’s rights to an invention to that employer, shall not apply to an invention that the employee develops entirely on the employee’s own time, and without using the employer’s equipment, supplies, facilities or information, including any trade secret information, except for those inventions that: </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 xml:space="preserve">(a) relate to the employer’s business or actual or demonstrably anticipated research or development; or </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 xml:space="preserve">(b) result from any work performed by the employee on behalf of the employer. </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(2) To the extent any provision in an employment contract applies, or intends to apply, to an employee invention subject to this subsection, the provision shall be deemed against the public policy of this State and shall be unenforceable.</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b. No employer shall require a provision made void and unenforceable by this act as a condition of employment or continued employment. Nothing in this act shall be construed to forbid or restrict the right of an employer to provide in contracts of employment for:</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(1) disclosure, provided that any disclosure shall be received in confidence, of all of an employee’s inventions made solely or jointly with others during the term of the employee’s employment;</w:t>
      </w:r>
    </w:p>
    <w:p>
      <w:pPr>
        <w:pStyle w:val="TextBody"/>
        <w:bidi w:val="0"/>
        <w:spacing w:lineRule="auto" w:line="288" w:before="0" w:after="240"/>
        <w:ind w:left="0" w:right="0" w:firstLine="720"/>
        <w:jc w:val="left"/>
        <w:rPr>
          <w:rFonts w:ascii="Lato;sans-serif" w:hAnsi="Lato;sans-serif"/>
          <w:b w:val="false"/>
          <w:color w:val="000000"/>
          <w:sz w:val="20"/>
        </w:rPr>
      </w:pPr>
      <w:r>
        <w:rPr>
          <w:rFonts w:ascii="Lato;sans-serif" w:hAnsi="Lato;sans-serif"/>
          <w:b w:val="false"/>
          <w:color w:val="000000"/>
          <w:sz w:val="20"/>
        </w:rPr>
        <w:t>(2) a review process by the employer to determine any issues that may arise; and</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(3) full title to certain patents and inventions to be in the United States, as required by contracts between the employer and the United States or any of its agencies.</w:t>
      </w:r>
    </w:p>
    <w:p>
      <w:pPr>
        <w:pStyle w:val="TextBody"/>
        <w:bidi w:val="0"/>
        <w:spacing w:before="0" w:after="240"/>
        <w:jc w:val="center"/>
        <w:rPr/>
      </w:pPr>
      <w:r>
        <w:rPr/>
      </w:r>
      <w:r>
        <mc:AlternateContent>
          <mc:Choice Requires="wps">
            <w:drawing>
              <wp:anchor behindDoc="0" distT="0" distB="0" distL="0" distR="0" simplePos="0" locked="0" layoutInCell="1" allowOverlap="1" relativeHeight="115">
                <wp:simplePos x="0" y="0"/>
                <wp:positionH relativeFrom="character">
                  <wp:align>left</wp:align>
                </wp:positionH>
                <wp:positionV relativeFrom="line">
                  <wp:posOffset>635</wp:posOffset>
                </wp:positionV>
                <wp:extent cx="6480175" cy="175260"/>
                <wp:effectExtent l="0" t="0" r="0" b="0"/>
                <wp:wrapNone/>
                <wp:docPr id="114" name="Frame10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c. Nothing in this act shall be deemed to impede or otherwise diminish the rights of alienation of inventors or patent-owners.</w:t>
      </w:r>
    </w:p>
    <w:p>
      <w:pPr>
        <w:pStyle w:val="TextBody"/>
        <w:bidi w:val="0"/>
        <w:spacing w:lineRule="auto" w:line="288" w:before="0" w:after="240"/>
        <w:jc w:val="left"/>
        <w:rPr>
          <w:rFonts w:ascii="Lato;sans-serif" w:hAnsi="Lato;sans-serif"/>
          <w:b/>
          <w:i/>
          <w:color w:val="000000"/>
          <w:sz w:val="20"/>
        </w:rPr>
      </w:pPr>
      <w:r>
        <w:rPr>
          <w:rFonts w:ascii="Lato;sans-serif" w:hAnsi="Lato;sans-serif"/>
          <w:b/>
          <w:i/>
          <w:color w:val="000000"/>
          <w:sz w:val="20"/>
        </w:rPr>
        <w:t>For North Carolina employees: North Carolina General Statutes 66-57.1:</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 xml:space="preserve">Any provision in an employment agreement which provides that the employee shall assign or offer to assign any of his rights in an invention to his employer shall not apply to an invention that the employee developed entirely on his own time without using the employer’s equipment, supplies, facility or trade secret information except for those inventions that (i) relate to the employer’s business or actual or demonstrably anticipated research or development, or (ii) result from any work performed by the employee for the employer. To the extent a provision in an employment agreement purports to apply to the type of invention described, it is against the public policy of this State and is unenforceable. The employee shall bear the burden of proof in establishing that his invention qualifies under this section. </w:t>
      </w:r>
    </w:p>
    <w:p>
      <w:pPr>
        <w:pStyle w:val="TextBody"/>
        <w:bidi w:val="0"/>
        <w:spacing w:lineRule="auto" w:line="288" w:before="0" w:after="240"/>
        <w:jc w:val="left"/>
        <w:rPr>
          <w:rFonts w:ascii="Lato;sans-serif" w:hAnsi="Lato;sans-serif"/>
          <w:b/>
          <w:i/>
          <w:color w:val="000000"/>
          <w:sz w:val="20"/>
        </w:rPr>
      </w:pPr>
      <w:r>
        <w:rPr>
          <w:rFonts w:ascii="Lato;sans-serif" w:hAnsi="Lato;sans-serif"/>
          <w:b/>
          <w:i/>
          <w:color w:val="000000"/>
          <w:sz w:val="20"/>
        </w:rPr>
        <w:t>For Utah employees: U.C.A. 1953 §§ 34-39-2 and 34-39-3 of the Utah Code Annotated:</w:t>
      </w:r>
    </w:p>
    <w:p>
      <w:pPr>
        <w:pStyle w:val="TextBody"/>
        <w:bidi w:val="0"/>
        <w:spacing w:lineRule="auto" w:line="288" w:before="0" w:after="240"/>
        <w:jc w:val="both"/>
        <w:rPr>
          <w:rFonts w:ascii="Lato;sans-serif" w:hAnsi="Lato;sans-serif"/>
          <w:b/>
          <w:i/>
          <w:color w:val="000000"/>
          <w:sz w:val="20"/>
        </w:rPr>
      </w:pPr>
      <w:r>
        <w:rPr>
          <w:rFonts w:ascii="Lato;sans-serif" w:hAnsi="Lato;sans-serif"/>
          <w:b/>
          <w:i/>
          <w:color w:val="000000"/>
          <w:sz w:val="20"/>
        </w:rPr>
        <w:t xml:space="preserve">U.C.A. 1953 § 34-39-2 </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(1) “Employment invention” means any invention or part thereof conceived, developed, reduced to practice, or created by an employee which is: (a) conceived, developed, reduced to practice, or created by the employee: (i) within the scope of his employment; (ii) on his employer’s time; or (iii) with the aid, assistance, or use of any of his employer’s property, equipment, facilities, supplies, resources, or intellectual property; (b) the result of any work, services, or duties performed by an employee for his employer; (c) related to the industry or trade of the employer; or (d) related to the current or demonstrably anticipated business, research, or development of the employer.</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(2) “Intellectual property” means any and all patents, trade secrets, know-how, technology, confidential information, ideas, copyrights, trademarks, and service marks and any and all rights, applications, and registrations relating to them.</w:t>
      </w:r>
    </w:p>
    <w:p>
      <w:pPr>
        <w:pStyle w:val="TextBody"/>
        <w:bidi w:val="0"/>
        <w:spacing w:lineRule="auto" w:line="288" w:before="0" w:after="240"/>
        <w:jc w:val="both"/>
        <w:rPr>
          <w:rFonts w:ascii="Lato;sans-serif" w:hAnsi="Lato;sans-serif"/>
          <w:b/>
          <w:i/>
          <w:color w:val="000000"/>
          <w:sz w:val="20"/>
        </w:rPr>
      </w:pPr>
      <w:r>
        <w:rPr>
          <w:rFonts w:ascii="Lato;sans-serif" w:hAnsi="Lato;sans-serif"/>
          <w:b/>
          <w:i/>
          <w:color w:val="000000"/>
          <w:sz w:val="20"/>
        </w:rPr>
        <w:t>U.C.A. 1953 § 34-39-3</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(1) An employment agreement between an employee and his employer is not enforceable against the employee to the extent that the agreement requires the employee to assign or license, or to offer to assign or license, to the employer any right or intellectual property in or to an invention that is: (a) created by the employee entirely on his own time; and (b) not an employment invention.</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(2) An agreement between an employee and his employer may require the employee to assign or license, or to offer to assign or license, to his employer any or all of his rights and intellectual property in or to an employment invention.</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(3) Subsection (1) does not apply to: (a) any right, intellectual property or invention that is required by law or by contract between the employer and the United States government or a state or local government to be assigned or licensed to the United States; or (b) an agreement between an employee and his employer which is not an employment agreement.</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(4) Notwithstanding Subsection (1), an agreement is enforceable under Subsection (1) if the employee’s employment or continuation of employment is not conditioned on the employee’s acceptance of such agreement and the employee receives a consideration under such agreement which is not compensation for employment.</w:t>
      </w:r>
    </w:p>
    <w:p>
      <w:pPr>
        <w:pStyle w:val="TextBody"/>
        <w:bidi w:val="0"/>
        <w:spacing w:before="0" w:after="240"/>
        <w:jc w:val="center"/>
        <w:rPr/>
      </w:pPr>
      <w:r>
        <w:rPr/>
      </w:r>
      <w:r>
        <mc:AlternateContent>
          <mc:Choice Requires="wps">
            <w:drawing>
              <wp:anchor behindDoc="0" distT="0" distB="0" distL="0" distR="0" simplePos="0" locked="0" layoutInCell="1" allowOverlap="1" relativeHeight="116">
                <wp:simplePos x="0" y="0"/>
                <wp:positionH relativeFrom="character">
                  <wp:align>left</wp:align>
                </wp:positionH>
                <wp:positionV relativeFrom="line">
                  <wp:posOffset>635</wp:posOffset>
                </wp:positionV>
                <wp:extent cx="6480175" cy="175260"/>
                <wp:effectExtent l="0" t="0" r="0" b="0"/>
                <wp:wrapNone/>
                <wp:docPr id="115" name="Frame10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(5) Employment of the employee or the continuation of his employment is sufficient consideration to support the enforceability of an agreement under Subsection (2) whether or not the agreement recites such consideration.</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(6) An employer may require his employees to agree to an agreement within the scope of Subsection (2) as a condition of employment or the continuation of employment.</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(7) An employer may not require his employees to agree to anything unenforceable under Subsection (1) as a condition of employment or the continuation of employment.</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(8) Nothing in this chapter invalidates or renders unenforceable any employment agreement or provisions of an employment agreement unrelated to employment inventions.</w:t>
      </w:r>
    </w:p>
    <w:p>
      <w:pPr>
        <w:pStyle w:val="TextBody"/>
        <w:bidi w:val="0"/>
        <w:spacing w:lineRule="auto" w:line="288" w:before="0" w:after="240"/>
        <w:jc w:val="left"/>
        <w:rPr>
          <w:rFonts w:ascii="Lato;sans-serif" w:hAnsi="Lato;sans-serif"/>
          <w:b/>
          <w:i/>
          <w:color w:val="000000"/>
          <w:sz w:val="20"/>
        </w:rPr>
      </w:pPr>
      <w:r>
        <w:rPr>
          <w:rFonts w:ascii="Lato;sans-serif" w:hAnsi="Lato;sans-serif"/>
          <w:b/>
          <w:i/>
          <w:color w:val="000000"/>
          <w:sz w:val="20"/>
        </w:rPr>
        <w:t>For Washington employees: RCW 49.44.140 of the Revised Code of Washington:</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(1) A provision in an employment agreement which provides that an employee shall assign or offer to assign any of the employee’s rights in an invention to the employer does not apply to an invention for which no equipment, supplies, facilities, or trade secret information of the employer was used and which was developed entirely on the employee’s own time, unless (a) the invention relates (i) directly to the business of the employer, or (ii) to the employer’s actual or demonstrably anticipated research or development, or (b) the invention results from any work performed by the employee for the employer. Any provision which purports to apply to such an invention is to that extent against the public policy of this state and is to that extent void and unenforceable.</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(2) An employer shall not require a provision made void and unenforceable by subsection (1) of this section as a condition of employment or continuing employment.</w:t>
      </w:r>
    </w:p>
    <w:p>
      <w:pPr>
        <w:pStyle w:val="TextBody"/>
        <w:bidi w:val="0"/>
        <w:spacing w:lineRule="auto" w:line="288" w:before="0" w:after="240"/>
        <w:jc w:val="left"/>
        <w:rPr>
          <w:rFonts w:ascii="Lato;sans-serif" w:hAnsi="Lato;sans-serif"/>
          <w:b w:val="false"/>
          <w:color w:val="000000"/>
          <w:sz w:val="20"/>
        </w:rPr>
      </w:pPr>
      <w:r>
        <w:rPr>
          <w:rFonts w:ascii="Lato;sans-serif" w:hAnsi="Lato;sans-serif"/>
          <w:b w:val="false"/>
          <w:color w:val="000000"/>
          <w:sz w:val="20"/>
        </w:rPr>
        <w:t>(3) If an employment agreement entered into after September 1, 1979, contains a provision requiring the employee to assign any of the employee’s rights in any invention to the employer, the employer must also, at the time the agreement is made, provide a written notification to the employee that the agreement does not apply to an invention for which no equipment, supplies, facility, or trade secret information of the employer was used and which was developed entirely on the employee’s own time, unless (a) the invention relates (i) directly to the business of the employer, or (ii) to the employer’s actual or demonstrably anticipated research or development, or (b) the invention results from any work performed by the employee for the employer.</w:t>
      </w:r>
    </w:p>
    <w:p>
      <w:pPr>
        <w:pStyle w:val="TextBody"/>
        <w:bidi w:val="0"/>
        <w:spacing w:lineRule="auto" w:line="288" w:before="0" w:after="240"/>
        <w:jc w:val="left"/>
        <w:rPr>
          <w:rFonts w:ascii="Lato;sans-serif" w:hAnsi="Lato;sans-serif"/>
          <w:b/>
          <w:i/>
          <w:color w:val="000000"/>
          <w:sz w:val="20"/>
        </w:rPr>
      </w:pPr>
      <w:r>
        <w:rPr>
          <w:rFonts w:ascii="Lato;sans-serif" w:hAnsi="Lato;sans-serif"/>
          <w:b/>
          <w:i/>
          <w:color w:val="000000"/>
          <w:sz w:val="20"/>
        </w:rPr>
        <w:t xml:space="preserve">For employees in all other states (unless otherwise governed by applicable state law): </w:t>
      </w:r>
    </w:p>
    <w:p>
      <w:pPr>
        <w:pStyle w:val="TextBody"/>
        <w:bidi w:val="0"/>
        <w:spacing w:lineRule="auto" w:line="288"/>
        <w:jc w:val="left"/>
        <w:rPr>
          <w:rFonts w:ascii="Lato;sans-serif" w:hAnsi="Lato;sans-serif"/>
          <w:b w:val="false"/>
          <w:color w:val="000000"/>
          <w:sz w:val="20"/>
        </w:rPr>
      </w:pPr>
      <w:r>
        <w:rPr>
          <w:rFonts w:ascii="Lato;sans-serif" w:hAnsi="Lato;sans-serif"/>
          <w:b w:val="false"/>
          <w:color w:val="000000"/>
          <w:sz w:val="20"/>
        </w:rPr>
        <w:t>An agreement to assign inventions to the employer does not apply to an invention for which no equipment, supplies, facility or trade secret information of the employer was used and which was developed entirely on the employee’s own time, unless the invention (1) relates (a) directly to the business of the employer or (b) to the employer’s actual or demonstrably anticipated research or development, or (2) results from any work performed by the employee for the employer.</w:t>
      </w:r>
    </w:p>
    <w:p>
      <w:pPr>
        <w:pStyle w:val="TextBody"/>
        <w:bidi w:val="0"/>
        <w:spacing w:before="0" w:after="240"/>
        <w:jc w:val="center"/>
        <w:rPr/>
      </w:pPr>
      <w:r>
        <w:rPr/>
      </w:r>
      <w:r>
        <mc:AlternateContent>
          <mc:Choice Requires="wps">
            <w:drawing>
              <wp:anchor behindDoc="0" distT="0" distB="0" distL="0" distR="0" simplePos="0" locked="0" layoutInCell="1" allowOverlap="1" relativeHeight="117">
                <wp:simplePos x="0" y="0"/>
                <wp:positionH relativeFrom="character">
                  <wp:align>left</wp:align>
                </wp:positionH>
                <wp:positionV relativeFrom="line">
                  <wp:posOffset>635</wp:posOffset>
                </wp:positionV>
                <wp:extent cx="6480175" cy="175260"/>
                <wp:effectExtent l="0" t="0" r="0" b="0"/>
                <wp:wrapNone/>
                <wp:docPr id="116" name="Frame10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p>
      <w:pPr>
        <w:pStyle w:val="TextBody"/>
        <w:bidi w:val="0"/>
        <w:spacing w:lineRule="auto" w:line="288" w:before="0" w:after="240"/>
        <w:jc w:val="center"/>
        <w:rPr>
          <w:rFonts w:ascii="Lato;sans-serif" w:hAnsi="Lato;sans-serif"/>
          <w:b/>
          <w:color w:val="000000"/>
          <w:sz w:val="20"/>
          <w:u w:val="single"/>
        </w:rPr>
      </w:pPr>
      <w:r>
        <w:rPr>
          <w:rFonts w:ascii="Lato;sans-serif" w:hAnsi="Lato;sans-serif"/>
          <w:b/>
          <w:color w:val="000000"/>
          <w:sz w:val="20"/>
          <w:u w:val="single"/>
        </w:rPr>
        <w:t>Exhibit C</w:t>
      </w:r>
    </w:p>
    <w:p>
      <w:pPr>
        <w:pStyle w:val="TextBody"/>
        <w:bidi w:val="0"/>
        <w:spacing w:lineRule="auto" w:line="288" w:before="0" w:after="240"/>
        <w:jc w:val="center"/>
        <w:rPr>
          <w:rFonts w:ascii="Lato;sans-serif" w:hAnsi="Lato;sans-serif"/>
          <w:b/>
          <w:color w:val="000000"/>
          <w:sz w:val="20"/>
        </w:rPr>
      </w:pPr>
      <w:r>
        <w:rPr>
          <w:rFonts w:ascii="Lato;sans-serif" w:hAnsi="Lato;sans-serif"/>
          <w:b/>
          <w:color w:val="000000"/>
          <w:sz w:val="20"/>
        </w:rPr>
        <w:t>DEFEND TRADE SECRETS ACT, 18 U.S. CODE § 1833 NOTICE:</w:t>
      </w:r>
    </w:p>
    <w:p>
      <w:pPr>
        <w:pStyle w:val="TextBody"/>
        <w:bidi w:val="0"/>
        <w:spacing w:lineRule="auto" w:line="288" w:before="0" w:after="240"/>
        <w:jc w:val="both"/>
        <w:rPr>
          <w:rFonts w:ascii="Lato;sans-serif" w:hAnsi="Lato;sans-serif"/>
          <w:b w:val="false"/>
          <w:color w:val="000000"/>
          <w:sz w:val="20"/>
        </w:rPr>
      </w:pPr>
      <w:r>
        <w:rPr>
          <w:rFonts w:ascii="Lato;sans-serif" w:hAnsi="Lato;sans-serif"/>
          <w:b w:val="false"/>
          <w:color w:val="000000"/>
          <w:sz w:val="20"/>
        </w:rPr>
        <w:t>18 U.S. Code Section 1833 provides as follows:</w:t>
      </w:r>
    </w:p>
    <w:p>
      <w:pPr>
        <w:pStyle w:val="TextBody"/>
        <w:bidi w:val="0"/>
        <w:spacing w:lineRule="auto" w:line="288" w:before="0" w:after="240"/>
        <w:jc w:val="both"/>
        <w:rPr/>
      </w:pPr>
      <w:r>
        <w:rPr>
          <w:rFonts w:ascii="Lato;sans-serif" w:hAnsi="Lato;sans-serif"/>
          <w:b/>
          <w:color w:val="000000"/>
          <w:sz w:val="20"/>
        </w:rPr>
        <w:t>Immunity From Liability For Confidential Disclosure Of A Trade Secret To The Government Or In A Court Filing.</w:t>
      </w:r>
      <w:r>
        <w:rPr>
          <w:color w:val="000000"/>
        </w:rPr>
        <w:t xml:space="preserve"> </w:t>
      </w:r>
      <w:r>
        <w:rPr>
          <w:rFonts w:ascii="Lato;sans-serif" w:hAnsi="Lato;sans-serif"/>
          <w:b w:val="false"/>
          <w:color w:val="000000"/>
          <w:sz w:val="20"/>
        </w:rPr>
        <w:t>An individual shall not be held criminally or civilly liable under any Federal or State trade secret law for the disclosure of a trade secret that (A) is made, (i) in confidence to a Federal, State, or local government official, either directly or indirectly, or to an attorney; and (ii) solely for the purpose of reporting or investigating a suspected violation of law; or (B) is made in a complaint or other document filed in a lawsuit or other proceeding, if such filing is made under seal.</w:t>
      </w:r>
    </w:p>
    <w:p>
      <w:pPr>
        <w:pStyle w:val="TextBody"/>
        <w:bidi w:val="0"/>
        <w:spacing w:lineRule="auto" w:line="288" w:before="0" w:after="240"/>
        <w:jc w:val="both"/>
        <w:rPr/>
      </w:pPr>
      <w:r>
        <w:rPr>
          <w:rFonts w:ascii="Lato;sans-serif" w:hAnsi="Lato;sans-serif"/>
          <w:b/>
          <w:color w:val="000000"/>
          <w:sz w:val="20"/>
        </w:rPr>
        <w:t>Use of Trade Secret Information in Anti-Retaliation Lawsuit.</w:t>
      </w:r>
      <w:r>
        <w:rPr>
          <w:color w:val="000000"/>
        </w:rPr>
        <w:t xml:space="preserve"> </w:t>
      </w:r>
      <w:r>
        <w:rPr>
          <w:rFonts w:ascii="Lato;sans-serif" w:hAnsi="Lato;sans-serif"/>
          <w:b w:val="false"/>
          <w:color w:val="000000"/>
          <w:sz w:val="20"/>
        </w:rPr>
        <w:t>An individual who files a lawsuit for retaliation by an employer for reporting a suspected violation of law may disclose the trade secret to the attorney of the individual and use the trade secret information in the court proceeding, if the individual (A) files any document containing the trade secret under seal; and (B) does not disclose the trade secret, except pursuant to court order.</w:t>
      </w:r>
    </w:p>
    <w:p>
      <w:pPr>
        <w:pStyle w:val="TextBody"/>
        <w:bidi w:val="0"/>
        <w:spacing w:before="0" w:after="0"/>
        <w:jc w:val="left"/>
        <w:rPr/>
      </w:pPr>
      <w:r>
        <w:rPr/>
      </w:r>
    </w:p>
    <w:p>
      <w:pPr>
        <w:pStyle w:val="TextBody"/>
        <w:bidi w:val="0"/>
        <w:spacing w:before="0" w:after="240"/>
        <w:jc w:val="left"/>
        <w:rPr/>
      </w:pPr>
      <w:r>
        <w:rPr/>
      </w:r>
    </w:p>
    <w:p>
      <w:pPr>
        <w:pStyle w:val="TextBody"/>
        <w:bidi w:val="0"/>
        <w:spacing w:before="0" w:after="240"/>
        <w:jc w:val="center"/>
        <w:rPr/>
      </w:pPr>
      <w:r>
        <w:rPr/>
      </w:r>
      <w:r>
        <mc:AlternateContent>
          <mc:Choice Requires="wps">
            <w:drawing>
              <wp:anchor behindDoc="0" distT="0" distB="0" distL="0" distR="0" simplePos="0" locked="0" layoutInCell="1" allowOverlap="1" relativeHeight="118">
                <wp:simplePos x="0" y="0"/>
                <wp:positionH relativeFrom="character">
                  <wp:align>left</wp:align>
                </wp:positionH>
                <wp:positionV relativeFrom="line">
                  <wp:posOffset>635</wp:posOffset>
                </wp:positionV>
                <wp:extent cx="6480175" cy="175260"/>
                <wp:effectExtent l="0" t="0" r="0" b="0"/>
                <wp:wrapNone/>
                <wp:docPr id="117" name="Frame1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before="0" w:after="240"/>
        <w:jc w:val="left"/>
        <w:rPr/>
      </w:pPr>
      <w:r>
        <w:rPr/>
      </w:r>
    </w:p>
    <w:p>
      <w:pPr>
        <w:pStyle w:val="TextBody"/>
        <w:bidi w:val="0"/>
        <w:spacing w:before="0" w:after="240"/>
        <w:jc w:val="left"/>
        <w:rPr/>
      </w:pPr>
      <w:r>
        <w:rPr/>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Exhibit D</w:t>
      </w:r>
    </w:p>
    <w:p>
      <w:pPr>
        <w:pStyle w:val="TextBody"/>
        <w:bidi w:val="0"/>
        <w:spacing w:lineRule="auto" w:line="288" w:before="0" w:after="240"/>
        <w:jc w:val="center"/>
        <w:rPr>
          <w:rFonts w:ascii="Times New Roman;sans-serif" w:hAnsi="Times New Roman;sans-serif"/>
          <w:b/>
          <w:color w:val="000000"/>
          <w:sz w:val="24"/>
        </w:rPr>
      </w:pPr>
      <w:r>
        <w:rPr>
          <w:rFonts w:ascii="Times New Roman;sans-serif" w:hAnsi="Times New Roman;sans-serif"/>
          <w:b/>
          <w:color w:val="000000"/>
          <w:sz w:val="24"/>
        </w:rPr>
        <w:t>Arbitration Agreement</w:t>
      </w:r>
    </w:p>
    <w:p>
      <w:pPr>
        <w:pStyle w:val="TextBody"/>
        <w:bidi w:val="0"/>
        <w:spacing w:lineRule="auto" w:line="288" w:before="240" w:after="283"/>
        <w:jc w:val="both"/>
        <w:rPr>
          <w:rFonts w:ascii="Times New Roman;sans-serif" w:hAnsi="Times New Roman;sans-serif"/>
          <w:b/>
          <w:color w:val="000000"/>
          <w:sz w:val="20"/>
        </w:rPr>
      </w:pPr>
      <w:r>
        <w:rPr>
          <w:rFonts w:ascii="Times New Roman;sans-serif" w:hAnsi="Times New Roman;sans-serif"/>
          <w:b/>
          <w:color w:val="000000"/>
          <w:sz w:val="20"/>
        </w:rPr>
        <w:t>Dear Employee:</w:t>
      </w:r>
    </w:p>
    <w:p>
      <w:pPr>
        <w:pStyle w:val="TextBody"/>
        <w:bidi w:val="0"/>
        <w:spacing w:lineRule="auto" w:line="288" w:before="240" w:after="283"/>
        <w:jc w:val="both"/>
        <w:rPr/>
      </w:pPr>
      <w:r>
        <w:rPr>
          <w:rFonts w:ascii="Times New Roman;sans-serif" w:hAnsi="Times New Roman;sans-serif"/>
          <w:b w:val="false"/>
          <w:color w:val="000000"/>
          <w:sz w:val="20"/>
        </w:rPr>
        <w:t>The following pages contain an Arbitration Agreement (the “</w:t>
      </w:r>
      <w:r>
        <w:rPr>
          <w:rFonts w:ascii="Times New Roman;sans-serif" w:hAnsi="Times New Roman;sans-serif"/>
          <w:b/>
          <w:color w:val="000000"/>
          <w:sz w:val="20"/>
        </w:rPr>
        <w:t>Arbitration Agreement</w:t>
      </w:r>
      <w:r>
        <w:rPr>
          <w:color w:val="000000"/>
        </w:rPr>
        <w:t>”</w:t>
      </w:r>
      <w:r>
        <w:rPr>
          <w:rFonts w:ascii="Times New Roman;sans-serif" w:hAnsi="Times New Roman;sans-serif"/>
          <w:b w:val="false"/>
          <w:color w:val="000000"/>
          <w:sz w:val="20"/>
        </w:rPr>
        <w:t xml:space="preserve">). If there is a dispute between you and Nextdoor about your employment that cannot be resolved, this Arbitration Agreement relates to how such disputes would be decided. </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Under the Arbitration Agreement, in many, but not all cases, employment disputes would be decided by a neutral arbitrator, instead of in a court or administrative hearing. You also agree that any disputes covered by the Arbitration Agreement would not proceed as class actions or class arbitrations. This means that you would pursue most employment related claims as an individual on your own behalf and that the final resolution would be only of your claims.</w:t>
      </w:r>
    </w:p>
    <w:p>
      <w:pPr>
        <w:pStyle w:val="TextBody"/>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Arbitration Agreement provides that Nextdoor will pay for any administrative or hearing fees charged by the arbitrator or JAMS except that if you initiate arbitration, you must pay the filing fees up to the amount you would have paid had you filed a complaint in a court of law. The Arbitration Agreement does not ask you to waive any of the grounds on which you could make an employment-related claim or any types of remedies or damages that you could otherwise receive from a court or in an administrative hearing. </w:t>
      </w:r>
    </w:p>
    <w:p>
      <w:pPr>
        <w:pStyle w:val="TextBody"/>
        <w:bidi w:val="0"/>
        <w:spacing w:lineRule="auto" w:line="288" w:before="240" w:after="283"/>
        <w:jc w:val="both"/>
        <w:rPr/>
      </w:pPr>
      <w:r>
        <w:rPr>
          <w:rFonts w:ascii="Times New Roman;sans-serif" w:hAnsi="Times New Roman;sans-serif"/>
          <w:b w:val="false"/>
          <w:color w:val="000000"/>
          <w:sz w:val="20"/>
        </w:rPr>
        <w:t>The Judicial Arbitration &amp; Mediation Services, Inc.’s (“</w:t>
      </w:r>
      <w:r>
        <w:rPr>
          <w:rFonts w:ascii="Times New Roman;sans-serif" w:hAnsi="Times New Roman;sans-serif"/>
          <w:b/>
          <w:color w:val="000000"/>
          <w:sz w:val="20"/>
        </w:rPr>
        <w:t>JAMS</w:t>
      </w:r>
      <w:r>
        <w:rPr>
          <w:color w:val="000000"/>
        </w:rPr>
        <w:t>”</w:t>
      </w:r>
      <w:r>
        <w:rPr>
          <w:rFonts w:ascii="Times New Roman;sans-serif" w:hAnsi="Times New Roman;sans-serif"/>
          <w:b w:val="false"/>
          <w:color w:val="000000"/>
          <w:sz w:val="20"/>
        </w:rPr>
        <w:t>) Employment Rules &amp; Procedures (the “</w:t>
      </w:r>
      <w:r>
        <w:rPr>
          <w:rFonts w:ascii="Times New Roman;sans-serif" w:hAnsi="Times New Roman;sans-serif"/>
          <w:b/>
          <w:color w:val="000000"/>
          <w:sz w:val="20"/>
        </w:rPr>
        <w:t>JAMS Rules</w:t>
      </w:r>
      <w:r>
        <w:rPr>
          <w:color w:val="000000"/>
        </w:rPr>
        <w:t>”</w:t>
      </w:r>
      <w:r>
        <w:rPr>
          <w:rFonts w:ascii="Times New Roman;sans-serif" w:hAnsi="Times New Roman;sans-serif"/>
          <w:b w:val="false"/>
          <w:color w:val="000000"/>
          <w:sz w:val="20"/>
        </w:rPr>
        <w:t xml:space="preserve">) referenced in the Arbitration Agreement are available at </w:t>
      </w:r>
      <w:r>
        <w:rPr>
          <w:rFonts w:ascii="Times New Roman;sans-serif" w:hAnsi="Times New Roman;sans-serif"/>
          <w:b w:val="false"/>
          <w:color w:val="0000FF"/>
          <w:sz w:val="20"/>
          <w:u w:val="single"/>
        </w:rPr>
        <w:t>http://www.jamsadr.com/rules-employment-arbitration</w:t>
      </w:r>
      <w:r>
        <w:rPr>
          <w:rFonts w:ascii="Times New Roman;sans-serif" w:hAnsi="Times New Roman;sans-serif"/>
          <w:b w:val="false"/>
          <w:color w:val="000000"/>
          <w:sz w:val="20"/>
        </w:rPr>
        <w:t xml:space="preserve">. The JAMS Demand for Arbitration form referenced in the Arbitration Agreement is available at </w:t>
      </w:r>
      <w:r>
        <w:rPr>
          <w:rFonts w:ascii="Times New Roman;sans-serif" w:hAnsi="Times New Roman;sans-serif"/>
          <w:b w:val="false"/>
          <w:color w:val="0000FF"/>
          <w:sz w:val="20"/>
        </w:rPr>
        <w:t>https://www.jamsadr.com/files/Uploads/Documents/JAMS_Arbitration_Demand.pdf</w:t>
      </w:r>
      <w:r>
        <w:rPr>
          <w:rFonts w:ascii="Times New Roman;sans-serif" w:hAnsi="Times New Roman;sans-serif"/>
          <w:b w:val="false"/>
          <w:color w:val="000000"/>
          <w:sz w:val="20"/>
        </w:rPr>
        <w:t xml:space="preserve">. </w:t>
      </w:r>
    </w:p>
    <w:p>
      <w:pPr>
        <w:pStyle w:val="TextBody"/>
        <w:bidi w:val="0"/>
        <w:spacing w:lineRule="auto" w:line="288" w:before="0" w:after="0"/>
        <w:jc w:val="both"/>
        <w:rPr>
          <w:rFonts w:ascii="Times New Roman;sans-serif" w:hAnsi="Times New Roman;sans-serif"/>
          <w:b w:val="false"/>
          <w:color w:val="000000"/>
          <w:sz w:val="20"/>
        </w:rPr>
      </w:pPr>
      <w:r>
        <w:rPr>
          <w:rFonts w:ascii="Times New Roman;sans-serif" w:hAnsi="Times New Roman;sans-serif"/>
          <w:b w:val="false"/>
          <w:color w:val="000000"/>
          <w:sz w:val="20"/>
        </w:rPr>
        <w:t>Please read the Arbitration Agreement carefully and ask any questions you may have before you sign it. This letter is not intended to constitute a contract, but is merely intended to outline certain details of the Arbitration Agreement. If you have any questions, you should direct them to the Nextdoor People team at peopleteam@nextdoor.com.</w:t>
      </w:r>
    </w:p>
    <w:p>
      <w:pPr>
        <w:pStyle w:val="TextBody"/>
        <w:bidi w:val="0"/>
        <w:spacing w:lineRule="auto" w:line="288" w:before="240" w:after="283"/>
        <w:jc w:val="both"/>
        <w:rPr>
          <w:color w:val="000000"/>
        </w:rPr>
      </w:pPr>
      <w:r>
        <w:rPr>
          <w:color w:val="000000"/>
        </w:rPr>
        <w:t>    </w:t>
      </w:r>
      <w:r>
        <w:rPr>
          <w:rFonts w:ascii="Times New Roman;sans-serif" w:hAnsi="Times New Roman;sans-serif"/>
          <w:b w:val="false"/>
          <w:color w:val="000000"/>
          <w:sz w:val="20"/>
        </w:rPr>
        <w:t xml:space="preserve">I acknowledge receipt of this letter and a copy of the Arbitration Agreement. </w:t>
      </w:r>
    </w:p>
    <w:p>
      <w:pPr>
        <w:pStyle w:val="TextBody"/>
        <w:bidi w:val="0"/>
        <w:spacing w:lineRule="auto" w:line="288" w:before="240" w:after="283"/>
        <w:jc w:val="both"/>
        <w:rPr/>
      </w:pPr>
      <w:r>
        <w:rPr>
          <w:rFonts w:ascii="Times New Roman;sans-serif" w:hAnsi="Times New Roman;sans-serif"/>
          <w:b w:val="false"/>
          <w:color w:val="000000"/>
          <w:sz w:val="20"/>
        </w:rPr>
        <w:t xml:space="preserve">Date </w:t>
      </w:r>
      <w:r>
        <w:rPr>
          <w:rFonts w:ascii="Times New Roman;sans-serif" w:hAnsi="Times New Roman;sans-serif"/>
          <w:b w:val="false"/>
          <w:color w:val="000000"/>
          <w:sz w:val="20"/>
          <w:u w:val="single"/>
        </w:rPr>
        <w:t>3/6/2024</w:t>
      </w:r>
      <w:r>
        <w:rPr>
          <w:rFonts w:ascii="Times New Roman;sans-serif" w:hAnsi="Times New Roman;sans-serif"/>
          <w:b w:val="false"/>
          <w:color w:val="000000"/>
          <w:sz w:val="20"/>
        </w:rPr>
        <w:t>___________________</w:t>
      </w:r>
    </w:p>
    <w:p>
      <w:pPr>
        <w:pStyle w:val="TextBody"/>
        <w:bidi w:val="0"/>
        <w:spacing w:lineRule="auto" w:line="288" w:before="240" w:after="283"/>
        <w:jc w:val="both"/>
        <w:rPr/>
      </w:pPr>
      <w:r>
        <w:rPr>
          <w:rFonts w:ascii="Times New Roman;sans-serif" w:hAnsi="Times New Roman;sans-serif"/>
          <w:b w:val="false"/>
          <w:color w:val="000000"/>
          <w:sz w:val="20"/>
        </w:rPr>
        <w:t xml:space="preserve">Employee Signature </w:t>
      </w:r>
      <w:r>
        <w:rPr>
          <w:rFonts w:ascii="Times New Roman;sans-serif" w:hAnsi="Times New Roman;sans-serif"/>
          <w:b w:val="false"/>
          <w:color w:val="000000"/>
          <w:sz w:val="20"/>
          <w:u w:val="single"/>
        </w:rPr>
        <w:t>/s/ Nirav Tolia</w:t>
      </w:r>
      <w:r>
        <w:rPr>
          <w:rFonts w:ascii="Times New Roman;sans-serif" w:hAnsi="Times New Roman;sans-serif"/>
          <w:b w:val="false"/>
          <w:color w:val="000000"/>
          <w:sz w:val="20"/>
        </w:rPr>
        <w:t>______________________________</w:t>
      </w:r>
    </w:p>
    <w:p>
      <w:pPr>
        <w:pStyle w:val="TextBody"/>
        <w:bidi w:val="0"/>
        <w:spacing w:lineRule="auto" w:line="288" w:before="240" w:after="283"/>
        <w:jc w:val="both"/>
        <w:rPr/>
      </w:pPr>
      <w:r>
        <w:rPr>
          <w:rFonts w:ascii="Times New Roman;sans-serif" w:hAnsi="Times New Roman;sans-serif"/>
          <w:b w:val="false"/>
          <w:color w:val="000000"/>
          <w:sz w:val="20"/>
        </w:rPr>
        <w:t xml:space="preserve">Employee Printed Name </w:t>
      </w:r>
      <w:r>
        <w:rPr>
          <w:rFonts w:ascii="Times New Roman;sans-serif" w:hAnsi="Times New Roman;sans-serif"/>
          <w:b w:val="false"/>
          <w:color w:val="000000"/>
          <w:sz w:val="20"/>
          <w:u w:val="single"/>
        </w:rPr>
        <w:t>Nirav Tolia                </w:t>
      </w:r>
      <w:r>
        <w:rPr>
          <w:color w:val="000000"/>
        </w:rPr>
        <w:t>        </w:t>
      </w:r>
    </w:p>
    <w:p>
      <w:pPr>
        <w:pStyle w:val="TextBody"/>
        <w:bidi w:val="0"/>
        <w:spacing w:before="0" w:after="240"/>
        <w:jc w:val="center"/>
        <w:rPr/>
      </w:pPr>
      <w:r>
        <w:rPr/>
      </w:r>
      <w:r>
        <mc:AlternateContent>
          <mc:Choice Requires="wps">
            <w:drawing>
              <wp:anchor behindDoc="0" distT="0" distB="0" distL="0" distR="0" simplePos="0" locked="0" layoutInCell="1" allowOverlap="1" relativeHeight="119">
                <wp:simplePos x="0" y="0"/>
                <wp:positionH relativeFrom="character">
                  <wp:align>left</wp:align>
                </wp:positionH>
                <wp:positionV relativeFrom="line">
                  <wp:posOffset>635</wp:posOffset>
                </wp:positionV>
                <wp:extent cx="6480175" cy="175260"/>
                <wp:effectExtent l="0" t="0" r="0" b="0"/>
                <wp:wrapNone/>
                <wp:docPr id="118" name="Frame1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240" w:after="283"/>
        <w:jc w:val="center"/>
        <w:rPr>
          <w:rFonts w:ascii="Times New Roman;sans-serif" w:hAnsi="Times New Roman;sans-serif"/>
          <w:b/>
          <w:color w:val="000000"/>
          <w:sz w:val="20"/>
          <w:u w:val="single"/>
        </w:rPr>
      </w:pPr>
      <w:r>
        <w:rPr>
          <w:rFonts w:ascii="Times New Roman;sans-serif" w:hAnsi="Times New Roman;sans-serif"/>
          <w:b/>
          <w:color w:val="000000"/>
          <w:sz w:val="20"/>
          <w:u w:val="single"/>
        </w:rPr>
        <w:t>MUTUAL AGREEMENT TO ARBITRATE CLAIMS</w:t>
      </w:r>
    </w:p>
    <w:p>
      <w:pPr>
        <w:pStyle w:val="TextBody"/>
        <w:bidi w:val="0"/>
        <w:spacing w:before="240" w:after="283"/>
        <w:jc w:val="center"/>
        <w:rPr/>
      </w:pPr>
      <w:r>
        <w:rPr/>
      </w:r>
    </w:p>
    <w:p>
      <w:pPr>
        <w:pStyle w:val="TextBody"/>
        <w:bidi w:val="0"/>
        <w:spacing w:lineRule="auto" w:line="288" w:before="0" w:after="240"/>
        <w:ind w:left="0" w:right="0" w:hanging="721"/>
        <w:jc w:val="both"/>
        <w:rPr/>
      </w:pPr>
      <w:r>
        <w:rPr>
          <w:rFonts w:ascii="Arial;sans-serif" w:hAnsi="Arial;sans-serif"/>
          <w:b/>
          <w:color w:val="000000"/>
          <w:sz w:val="19"/>
        </w:rPr>
        <w:t>37.</w:t>
      </w:r>
      <w:r>
        <w:rPr>
          <w:rFonts w:ascii="Times New Roman;sans-serif" w:hAnsi="Times New Roman;sans-serif"/>
          <w:b w:val="false"/>
          <w:color w:val="000000"/>
          <w:sz w:val="20"/>
        </w:rPr>
        <w:t>IN CONSIDERATION OF MY APPLICATION FOR OR ACCEPTANCE OF EMPLOYMENT WITH NEXTDOOR, INC. AND/OR ITS SUBSIDIARIES, AFFILIATES, SUCCESSORS OR ASSIGNS (COLLECTIVELY “</w:t>
      </w:r>
      <w:r>
        <w:rPr>
          <w:rFonts w:ascii="Times New Roman;sans-serif" w:hAnsi="Times New Roman;sans-serif"/>
          <w:b/>
          <w:color w:val="000000"/>
          <w:sz w:val="20"/>
        </w:rPr>
        <w:t>COMPANY</w:t>
      </w:r>
      <w:r>
        <w:rPr>
          <w:color w:val="000000"/>
        </w:rPr>
        <w:t>”</w:t>
      </w:r>
      <w:r>
        <w:rPr>
          <w:rFonts w:ascii="Times New Roman;sans-serif" w:hAnsi="Times New Roman;sans-serif"/>
          <w:b w:val="false"/>
          <w:color w:val="000000"/>
          <w:sz w:val="20"/>
        </w:rPr>
        <w:t>), RECEIPT OF THE COMPENSATION AND OTHER BENEFITS PAID TO ME, AND THE MUTUAL PROMISES CONTAINED IN THIS MUTUAL AGREEMENT TO ARBITRATE CLAIMS (“ARBITRATION AGREEMENT” OR “AGREEMENT”), THE COMPANY AND I (COLLECTIVELY REFERRED TO HEREIN AS THE “</w:t>
      </w:r>
      <w:r>
        <w:rPr>
          <w:rFonts w:ascii="Times New Roman;sans-serif" w:hAnsi="Times New Roman;sans-serif"/>
          <w:b/>
          <w:color w:val="000000"/>
          <w:sz w:val="20"/>
        </w:rPr>
        <w:t>PARTIES</w:t>
      </w:r>
      <w:r>
        <w:rPr>
          <w:color w:val="000000"/>
        </w:rPr>
        <w:t xml:space="preserve">” </w:t>
      </w:r>
      <w:r>
        <w:rPr>
          <w:rFonts w:ascii="Times New Roman;sans-serif" w:hAnsi="Times New Roman;sans-serif"/>
          <w:b w:val="false"/>
          <w:color w:val="000000"/>
          <w:sz w:val="20"/>
        </w:rPr>
        <w:t>AND INDIVIDUALLY AS “</w:t>
      </w:r>
      <w:r>
        <w:rPr>
          <w:rFonts w:ascii="Times New Roman;sans-serif" w:hAnsi="Times New Roman;sans-serif"/>
          <w:b/>
          <w:color w:val="000000"/>
          <w:sz w:val="20"/>
        </w:rPr>
        <w:t>PARTY</w:t>
      </w:r>
      <w:r>
        <w:rPr>
          <w:color w:val="000000"/>
        </w:rPr>
        <w:t>”</w:t>
      </w:r>
      <w:r>
        <w:rPr>
          <w:rFonts w:ascii="Times New Roman;sans-serif" w:hAnsi="Times New Roman;sans-serif"/>
          <w:b w:val="false"/>
          <w:color w:val="000000"/>
          <w:sz w:val="20"/>
        </w:rPr>
        <w:t>) AGREE AS FOLLOWS:</w:t>
      </w:r>
    </w:p>
    <w:p>
      <w:pPr>
        <w:pStyle w:val="TextBody"/>
        <w:bidi w:val="0"/>
        <w:spacing w:lineRule="auto" w:line="288" w:before="240" w:after="283"/>
        <w:jc w:val="left"/>
        <w:rPr/>
      </w:pPr>
      <w:r>
        <w:rPr>
          <w:color w:val="000000"/>
        </w:rPr>
        <w:t>    </w:t>
      </w:r>
      <w:r>
        <w:rPr>
          <w:rFonts w:ascii="Times New Roman;sans-serif" w:hAnsi="Times New Roman;sans-serif"/>
          <w:b w:val="false"/>
          <w:color w:val="000000"/>
          <w:sz w:val="20"/>
        </w:rPr>
        <w:t>1.    </w:t>
      </w:r>
      <w:r>
        <w:rPr>
          <w:rFonts w:ascii="Times New Roman;sans-serif" w:hAnsi="Times New Roman;sans-serif"/>
          <w:b/>
          <w:color w:val="000000"/>
          <w:sz w:val="20"/>
        </w:rPr>
        <w:t>Acceptance of Agreement.</w:t>
      </w:r>
      <w:r>
        <w:rPr>
          <w:color w:val="000000"/>
        </w:rPr>
        <w:t xml:space="preserve"> </w:t>
      </w:r>
      <w:r>
        <w:rPr>
          <w:rFonts w:ascii="Times New Roman;sans-serif" w:hAnsi="Times New Roman;sans-serif"/>
          <w:b w:val="false"/>
          <w:color w:val="000000"/>
          <w:sz w:val="20"/>
        </w:rPr>
        <w:t>I acknowledge that my submission of an application for employment or acceptance of employment with the Company is deemed my acceptance of and agreement to be bound by all of the terms and provisions of this Arbitration Agreement. The issuance of this Arbitration Agreement is deemed the Company’s acceptance of and agreement to be bound by all of its terms and provisions.</w:t>
      </w:r>
    </w:p>
    <w:p>
      <w:pPr>
        <w:pStyle w:val="TextBody"/>
        <w:bidi w:val="0"/>
        <w:spacing w:before="0" w:after="0"/>
        <w:jc w:val="left"/>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2.</w:t>
      </w:r>
      <w:r>
        <w:rPr>
          <w:color w:val="000000"/>
        </w:rPr>
        <w:t>    </w:t>
      </w:r>
      <w:r>
        <w:rPr>
          <w:rFonts w:ascii="Times New Roman;sans-serif" w:hAnsi="Times New Roman;sans-serif"/>
          <w:b/>
          <w:color w:val="000000"/>
          <w:sz w:val="20"/>
        </w:rPr>
        <w:t>Claims Covered by this Arbitration Agreement</w:t>
      </w:r>
      <w:r>
        <w:rPr>
          <w:rFonts w:ascii="Times New Roman;sans-serif" w:hAnsi="Times New Roman;sans-serif"/>
          <w:b w:val="false"/>
          <w:color w:val="000000"/>
          <w:sz w:val="20"/>
        </w:rPr>
        <w:t>. This Agreement to arbitrate covers all controversies, claims, or disputes (</w:t>
      </w:r>
      <w:r>
        <w:rPr>
          <w:color w:val="000000"/>
        </w:rPr>
        <w:t>“</w:t>
      </w:r>
      <w:r>
        <w:rPr>
          <w:rFonts w:ascii="Times New Roman;sans-serif" w:hAnsi="Times New Roman;sans-serif"/>
          <w:b/>
          <w:color w:val="000000"/>
          <w:sz w:val="20"/>
        </w:rPr>
        <w:t>Covered Claims”</w:t>
      </w:r>
      <w:r>
        <w:rPr>
          <w:rFonts w:ascii="Times New Roman;sans-serif" w:hAnsi="Times New Roman;sans-serif"/>
          <w:b w:val="false"/>
          <w:color w:val="000000"/>
          <w:sz w:val="20"/>
        </w:rPr>
        <w:t xml:space="preserve">) arising out of, relating to, or resulting from my employment with the Company or the termination thereof, whether under federal, state or local laws, but not including Excluded Claims. Covered Claims include claims I may have against the Company or against any of its former and current owners, officers, directors, supervisors, managers, employees, insurers, attorneys, shareholders, benefit plan, and agents of the Company, or that the Company may have against me.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Covered Claims include, without limitation, claims for overtime, unpaid wages, bonuses or commissions, vacations, paid sick leave, paid time off, expense reimbursement, or other compensation or benefits, claims involving meal and rest breaks, background checks, privacy, trade secrets, copyright, trademark, license, patent, unfair competition, violation of public policy, wrongful discharge or wrongful termination, breach of contract (whether oral, electronic, or written, express or implied), breach of covenant of good faith and fair dealing (whether express or implied), all claims for any tort of any nature (including without limitation, intentional or negligent infliction of emotional distress, fraud, misrepresentation, interference with economic advantage, defamation, libel, slander, false light), benefits, classification of any kind, 401(k), leaves of absence, retaliation, discrimination and/or harassment (but not including a sexual harassment dispute or sexual assault dispute as defined under the Ending Forced Arbitration of Sexual Assault and Sexual Harassment Act of 2021, an Excluded Claim), and individual claims under the California Private Attorneys General Act (“PAGA”). Covered Claims also include claims for violation of any federal, state, local, or other government law, statutes, regulation, constitution, or ordinance (including but not limited to, claims arising under the Fair Credit Reporting Act, Defend Trade Secrets Act, Title VII of the Civil Rights Act of 1964, 42 U.S.C. §1981, Rehabilitation Act, Civil Rights Acts of 1866 and 1871, the Civil Rights Act of 1991, 8 U.S.C. § 1324b (unfair immigration related practices), the Pregnancy Discrimination Act, Equal Pay Act, Americans With Disabilities Act, Age Discrimination in Employment Act, Family Medical Leave Act, Fair Labor Standards Act, Employee Retirement Income Security Act (except for claims for employee benefits under any benefit plan sponsored by the Company and (a) covered by the Employee Retirement Income Security Act of 1974 or (b) funded by insurance), Affordable Care Act, Genetic Information Non-Discrimination Act, Uniformed Services Employment and Reemployment Rights Act, Worker Adjustment and Retraining Notification Act, Older Workers Benefits Protection Act of 1990, Occupational Safety and Health Act, Consolidated Omnibus Budget Reconciliation Act of 1985, False Claims Act, California Fair Employment and Housing Act, California Family Rights Act, California Industrial Welfare Wage Orders, California Labor Code, and any other applicable laws or regulations relating to employment). All claims in arbitration are subject to the same statutes of limitation that would apply in an administrative or court proceeding.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3.</w:t>
      </w:r>
      <w:r>
        <w:rPr>
          <w:color w:val="000000"/>
        </w:rPr>
        <w:t>    </w:t>
      </w:r>
      <w:r>
        <w:rPr>
          <w:rFonts w:ascii="Times New Roman;sans-serif" w:hAnsi="Times New Roman;sans-serif"/>
          <w:b/>
          <w:color w:val="000000"/>
          <w:sz w:val="20"/>
        </w:rPr>
        <w:t>Claims Not Covered</w:t>
      </w:r>
      <w:r>
        <w:rPr>
          <w:rFonts w:ascii="Times New Roman;sans-serif" w:hAnsi="Times New Roman;sans-serif"/>
          <w:b w:val="false"/>
          <w:color w:val="000000"/>
          <w:sz w:val="20"/>
        </w:rPr>
        <w:t>. Specifically excluded from this Arbitration Agreement are sexual harassment disputes or sexual assault disputes as defined under the Ending Forced Arbitration of Sexual Assault and Sexual Harassment Act of 2021, and any claims that are not arbitrable by law (collectively, the “</w:t>
      </w:r>
      <w:r>
        <w:rPr>
          <w:rFonts w:ascii="Times New Roman;sans-serif" w:hAnsi="Times New Roman;sans-serif"/>
          <w:b/>
          <w:color w:val="000000"/>
          <w:sz w:val="20"/>
        </w:rPr>
        <w:t>Excluded Claims</w:t>
      </w:r>
      <w:r>
        <w:rPr>
          <w:color w:val="000000"/>
        </w:rPr>
        <w:t>”</w:t>
      </w:r>
      <w:r>
        <w:rPr>
          <w:rFonts w:ascii="Times New Roman;sans-serif" w:hAnsi="Times New Roman;sans-serif"/>
          <w:b w:val="false"/>
          <w:color w:val="000000"/>
          <w:sz w:val="20"/>
        </w:rPr>
        <w:t>), which include the following:</w:t>
      </w:r>
    </w:p>
    <w:p>
      <w:pPr>
        <w:pStyle w:val="TextBody"/>
        <w:bidi w:val="0"/>
        <w:spacing w:before="0" w:after="240"/>
        <w:jc w:val="center"/>
        <w:rPr/>
      </w:pPr>
      <w:r>
        <w:rPr/>
      </w:r>
      <w:r>
        <mc:AlternateContent>
          <mc:Choice Requires="wps">
            <w:drawing>
              <wp:anchor behindDoc="0" distT="0" distB="0" distL="0" distR="0" simplePos="0" locked="0" layoutInCell="1" allowOverlap="1" relativeHeight="120">
                <wp:simplePos x="0" y="0"/>
                <wp:positionH relativeFrom="character">
                  <wp:align>left</wp:align>
                </wp:positionH>
                <wp:positionV relativeFrom="line">
                  <wp:posOffset>635</wp:posOffset>
                </wp:positionV>
                <wp:extent cx="6480175" cy="175260"/>
                <wp:effectExtent l="0" t="0" r="0" b="0"/>
                <wp:wrapNone/>
                <wp:docPr id="119" name="Frame1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claims for workers’ compensation benefits;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claims for unemployment compensation benefits;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(c) administrative claims filed with government agencies such as the Equal Employment Opportunity Commission (EEOC), California Department of Fair Employment and Housing (DFEH), equivalent applicable state agency, or the National Labor Relations Board (NLRB);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(d) claims that are expressly required to be arbitrated under a different procedure required by the Company's Executive benefit plans, if any;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(e) any application by either Party for any provisional remedy, including a temporary restraining order or preliminary injunction;</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(f) any claim that could be decided by a State of California Small Claims Court; and </w:t>
      </w:r>
    </w:p>
    <w:p>
      <w:pPr>
        <w:pStyle w:val="TextBody"/>
        <w:bidi w:val="0"/>
        <w:spacing w:lineRule="auto" w:line="288" w:before="0" w:after="24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(g) any claims which are otherwise expressly excluded from binding arbitration by governing law. </w:t>
      </w:r>
    </w:p>
    <w:p>
      <w:pPr>
        <w:pStyle w:val="TextBody"/>
        <w:bidi w:val="0"/>
        <w:spacing w:lineRule="auto" w:line="288" w:before="0" w:after="24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To the extent that the Parties’ dispute involves both timely filed Covered Claims and Excluded Claims, the Parties agree to bifurcate and stay the Excluded Claims pending the resolution of the arbitration proceedings. The Excluded Claims will be determined in a court or other required forum, unless the Company and I agree otherwise.</w:t>
      </w:r>
    </w:p>
    <w:p>
      <w:pPr>
        <w:pStyle w:val="TextBody"/>
        <w:bidi w:val="0"/>
        <w:spacing w:lineRule="auto" w:line="288" w:before="0" w:after="24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I understand that this Arbitration Agreement does not restrict my rights to engage in concerted activities under Section 7 of the National Labor Relations Act.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4.    </w:t>
      </w:r>
      <w:r>
        <w:rPr>
          <w:rFonts w:ascii="Times New Roman;sans-serif" w:hAnsi="Times New Roman;sans-serif"/>
          <w:b/>
          <w:color w:val="000000"/>
          <w:sz w:val="20"/>
        </w:rPr>
        <w:t>Class Action Waiver.</w:t>
      </w:r>
      <w:r>
        <w:rPr>
          <w:color w:val="000000"/>
        </w:rPr>
        <w:t xml:space="preserve"> </w:t>
      </w:r>
      <w:r>
        <w:rPr>
          <w:rFonts w:ascii="Times New Roman;sans-serif" w:hAnsi="Times New Roman;sans-serif"/>
          <w:b/>
          <w:color w:val="000000"/>
          <w:sz w:val="20"/>
        </w:rPr>
        <w:t>This Arbitration Agreement affects your ability to bring or participate in class, collective or representative actions.</w:t>
      </w:r>
      <w:r>
        <w:rPr>
          <w:color w:val="000000"/>
        </w:rPr>
        <w:t xml:space="preserve"> </w:t>
      </w:r>
      <w:r>
        <w:rPr>
          <w:rFonts w:ascii="Times New Roman;sans-serif" w:hAnsi="Times New Roman;sans-serif"/>
          <w:b w:val="false"/>
          <w:color w:val="000000"/>
          <w:sz w:val="20"/>
        </w:rPr>
        <w:t>Both the Company and I agree to bring any Covered Claim in arbitration on an individual basis only, and not on a class, collective, or representative action basis on behalf of others. There will be no right or authority for any Covered Claim to be brought, heard or arbitrated as a class, collective, or representative action. Except for those representative claims which cannot be waived under applicable law and which are therefore excluded from this Agreement, I expressly intend and agree that: (a) class, collective, or representative action procedures are hereby waived and shall not be asserted, nor will they apply, in any arbitration pursuant to this Arbitration Agreement; (b) each Party will not assert class, collective, or representative action claims against the other in arbitration, (c) I and the Company shall only submit our own individual claims in arbitration and will not seek to represent the interests of any other person in arbitration, or act as a participant in class, collective, or representative action against the Company, including claims made under PAGA; and (d) that any PAGA action I may file will be stayed pending a determination of whether I may lawfully bring a non-individual PAGA claim. In addition, to the extent that any charge is filed under the National Labor Relations Act with regard to this provision, the Company and I agree that such claim will also be similarly stayed pending the outcome of arbitration. (</w:t>
      </w:r>
      <w:r>
        <w:rPr>
          <w:color w:val="000000"/>
        </w:rPr>
        <w:t>“</w:t>
      </w:r>
      <w:r>
        <w:rPr>
          <w:rFonts w:ascii="Times New Roman;sans-serif" w:hAnsi="Times New Roman;sans-serif"/>
          <w:b/>
          <w:color w:val="000000"/>
          <w:sz w:val="20"/>
        </w:rPr>
        <w:t>Class Action Waiver”</w:t>
      </w:r>
      <w:r>
        <w:rPr>
          <w:rFonts w:ascii="Times New Roman;sans-serif" w:hAnsi="Times New Roman;sans-serif"/>
          <w:b w:val="false"/>
          <w:color w:val="000000"/>
          <w:sz w:val="20"/>
        </w:rPr>
        <w:t xml:space="preserve">).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Notwithstanding any other provision of this Arbitration Agreement or the JAMS Rules (defined below), disputes in court or arbitration regarding the validity, enforceability or breach of the Class Action Waiver may be resolved only by the court and not by an arbitrator. In any case in which (1) Covered Claim is filed as a class or collective action and (2) there is a final judicial determination that all or part of the Class Action Waiver is unenforceable, the class and/or collective action to that extent must be litigated in a civil court of competent jurisdiction, but the portion of the Class Action Waiver that is enforceable shall be enforced in arbitration. You will not be retaliated against, disciplined or threatened with discipline as a result of your filing of or participation in a class or collective action in any forum. However, the Company may lawfully seek enforcement of this Arbitration Agreement and the Class Action Waiver under the Federal Arbitration Act and seek dismissal of such class,collective, or representative actions or claims. The Class Action Waiver shall be severable in any case in which the dispute is filed as an individual action and severance is necessary to ensure that the individual action proceeds in arbitration.</w:t>
      </w:r>
    </w:p>
    <w:p>
      <w:pPr>
        <w:pStyle w:val="TextBody"/>
        <w:bidi w:val="0"/>
        <w:spacing w:before="0" w:after="240"/>
        <w:jc w:val="center"/>
        <w:rPr/>
      </w:pPr>
      <w:r>
        <w:rPr/>
      </w:r>
      <w:r>
        <mc:AlternateContent>
          <mc:Choice Requires="wps">
            <w:drawing>
              <wp:anchor behindDoc="0" distT="0" distB="0" distL="0" distR="0" simplePos="0" locked="0" layoutInCell="1" allowOverlap="1" relativeHeight="121">
                <wp:simplePos x="0" y="0"/>
                <wp:positionH relativeFrom="character">
                  <wp:align>left</wp:align>
                </wp:positionH>
                <wp:positionV relativeFrom="line">
                  <wp:posOffset>635</wp:posOffset>
                </wp:positionV>
                <wp:extent cx="6480175" cy="175260"/>
                <wp:effectExtent l="0" t="0" r="0" b="0"/>
                <wp:wrapNone/>
                <wp:docPr id="120" name="Frame11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5.    </w:t>
      </w:r>
      <w:r>
        <w:rPr>
          <w:rFonts w:ascii="Times New Roman;sans-serif" w:hAnsi="Times New Roman;sans-serif"/>
          <w:b/>
          <w:color w:val="000000"/>
          <w:sz w:val="20"/>
        </w:rPr>
        <w:t>Waiver of Right to Court or Jury Trial</w:t>
      </w:r>
      <w:r>
        <w:rPr>
          <w:rFonts w:ascii="Times New Roman;sans-serif" w:hAnsi="Times New Roman;sans-serif"/>
          <w:b w:val="false"/>
          <w:color w:val="000000"/>
          <w:sz w:val="20"/>
        </w:rPr>
        <w:t xml:space="preserve">. I understand that, by signing this Arbitration Agreement, both the Company and I are giving up any right we may have to a trial by judge or jury and are giving up rights of appeal following the rendering of a decision except as applicable law provides for judicial review of arbitration decisions. </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6.    </w:t>
      </w:r>
      <w:r>
        <w:rPr>
          <w:rFonts w:ascii="Times New Roman;sans-serif" w:hAnsi="Times New Roman;sans-serif"/>
          <w:b/>
          <w:color w:val="000000"/>
          <w:sz w:val="20"/>
        </w:rPr>
        <w:t xml:space="preserve">Arbitration Procedures. </w:t>
      </w:r>
      <w:r>
        <w:rPr>
          <w:rFonts w:ascii="Times New Roman;sans-serif" w:hAnsi="Times New Roman;sans-serif"/>
          <w:b w:val="false"/>
          <w:color w:val="000000"/>
          <w:sz w:val="20"/>
        </w:rPr>
        <w:t>The Company and I agree that any arbitration will be administered by Judicial Arbitration &amp; Mediation Services, Inc. (“</w:t>
      </w:r>
      <w:r>
        <w:rPr>
          <w:rFonts w:ascii="Times New Roman;sans-serif" w:hAnsi="Times New Roman;sans-serif"/>
          <w:b/>
          <w:color w:val="000000"/>
          <w:sz w:val="20"/>
        </w:rPr>
        <w:t>JAMS</w:t>
      </w:r>
      <w:r>
        <w:rPr>
          <w:color w:val="000000"/>
        </w:rPr>
        <w:t>”</w:t>
      </w:r>
      <w:r>
        <w:rPr>
          <w:rFonts w:ascii="Times New Roman;sans-serif" w:hAnsi="Times New Roman;sans-serif"/>
          <w:b w:val="false"/>
          <w:color w:val="000000"/>
          <w:sz w:val="20"/>
        </w:rPr>
        <w:t>), pursuant to its Employment Rules &amp; Procedures (the “</w:t>
      </w:r>
      <w:r>
        <w:rPr>
          <w:rFonts w:ascii="Times New Roman;sans-serif" w:hAnsi="Times New Roman;sans-serif"/>
          <w:b/>
          <w:color w:val="000000"/>
          <w:sz w:val="20"/>
        </w:rPr>
        <w:t>JAMS Rules</w:t>
      </w:r>
      <w:r>
        <w:rPr>
          <w:color w:val="000000"/>
        </w:rPr>
        <w:t>”</w:t>
      </w:r>
      <w:r>
        <w:rPr>
          <w:rFonts w:ascii="Times New Roman;sans-serif" w:hAnsi="Times New Roman;sans-serif"/>
          <w:b w:val="false"/>
          <w:color w:val="000000"/>
          <w:sz w:val="20"/>
        </w:rPr>
        <w:t>), which are available at http://www.jamsadr.com/rules-employment-arbitration/. Arbitration may be initiated using JAMS’ Demand for Arbitration form (the “</w:t>
      </w:r>
      <w:r>
        <w:rPr>
          <w:rFonts w:ascii="Times New Roman;sans-serif" w:hAnsi="Times New Roman;sans-serif"/>
          <w:b/>
          <w:color w:val="000000"/>
          <w:sz w:val="20"/>
        </w:rPr>
        <w:t>Demand</w:t>
      </w:r>
      <w:r>
        <w:rPr>
          <w:color w:val="000000"/>
        </w:rPr>
        <w:t>”</w:t>
      </w:r>
      <w:r>
        <w:rPr>
          <w:rFonts w:ascii="Times New Roman;sans-serif" w:hAnsi="Times New Roman;sans-serif"/>
          <w:b w:val="false"/>
          <w:color w:val="000000"/>
          <w:sz w:val="20"/>
        </w:rPr>
        <w:t xml:space="preserve">), and submitting a copy of it to JAMS.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A copy of the Demand form may be requested from JAMS or found on its website, https://www.jamsadr.com/files/Uploads/Documents/JAMS_Arbitration_Demand.pdf. Any arbitration procedure must be demanded or initiated within the same period of time that a civil action or administrative claim based on the Covered Claim could be commenced. Failure to make a written demand within the applicable statutory period constitutes a waiver to raise that claim in any forum. I agree to provide written notice of any claim by email to the Company’s Counsel Team at legal@nextdoor.com. Written notice of any claim by the Company will be mailed to my last known address. The written notice shall identify and describe the nature of all claims asserted and the facts upon which such claims are based.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and I agree that any arbitration under this Arbitration Agreement shall be submitted before a single arbitrator and conducted in San Francisco County or the site of the closest JAMS office to my most recent primary place of employment for the Company. The Company and I will attempt to agree upon an arbitrator within twenty-one (21) calendar days of notice to the non-initiating Party of the Demand. If the Parties are not able to agree upon a neutral arbitrator within that timeframe, the arbitrator will be selected pursuant to JAMS’ Employment Rules &amp; Procedures.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arbitrator must follow substantive state or federal law (and the laws of remedies, if applicable) as applicable to the claim(s) asserted. The Parties will be entitled to conduct reasonable discovery and the arbitrator will have the authority to determine what constitutes reasonable discovery. The Parties agree that the arbitrator shall have the power to decide any motions brought by any Party to the arbitration, including motions for summary judgment and/or adjudications, motions to dismiss and demurrers. The arbitrator may award only those remedies in law or equity which are requested by the Parties, allowed by law, and would have been available had the matter been heard in court.</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arbitrator’s decision must be in writing and contain findings of fact and conclusions of law on the issues submitted by the Parties. The arbitrator will not decide any issue not submitted. The Company and I agree that the decree or award rendered by the arbitrator may be entered as a final and binding judgment in any court having proper jurisdiction to compel arbitration under this Arbitration Agreement, and to confirm, modify, vacate or enforce an arbitration award, to the extent permitted by applicable law.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The Company agrees that it will pay for any administrative or hearing fees charged by the arbitrator or JAMS except that I shall pay any filing fees associated with any arbitration that I initiate, but only so much of the filing fees as I would have paid had I filed a complaint in the federal or state court in the jurisdiction in which the Covered Claim arose, whichever is less. Each Party is responsible for their own attorney fees and costs in any arbitration proceeding. However, if any Party prevails on a statutory claim which affords the prevailing Party attorney’s fees and costs, or if there is a written agreement providing for such attorney’s fees and costs, the arbitrator may award reasonable attorney’s fees and costs to the prevailing Party. Any dispute as to the reasonableness of any fee or cost shall be resolved by the arbitrator. </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arbitrator, and not any court or governmental agency, shall have the exclusive authority to resolve any controversy, dispute, or claim relating to the interpretation, enforceability or formation of the Arbitration Agreement, consistent with applicable law.</w:t>
      </w:r>
    </w:p>
    <w:p>
      <w:pPr>
        <w:pStyle w:val="TextBody"/>
        <w:bidi w:val="0"/>
        <w:spacing w:before="0" w:after="240"/>
        <w:jc w:val="center"/>
        <w:rPr/>
      </w:pPr>
      <w:r>
        <w:rPr/>
      </w:r>
      <w:r>
        <mc:AlternateContent>
          <mc:Choice Requires="wps">
            <w:drawing>
              <wp:anchor behindDoc="0" distT="0" distB="0" distL="0" distR="0" simplePos="0" locked="0" layoutInCell="1" allowOverlap="1" relativeHeight="122">
                <wp:simplePos x="0" y="0"/>
                <wp:positionH relativeFrom="character">
                  <wp:align>left</wp:align>
                </wp:positionH>
                <wp:positionV relativeFrom="line">
                  <wp:posOffset>635</wp:posOffset>
                </wp:positionV>
                <wp:extent cx="6480175" cy="175260"/>
                <wp:effectExtent l="0" t="0" r="0" b="0"/>
                <wp:wrapNone/>
                <wp:docPr id="121" name="Frame11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The decision of the arbitrator will be final and binding on the Parties and cannot be reviewed for error of fact or law of any kind, except as required by applicable law.</w:t>
      </w:r>
    </w:p>
    <w:p>
      <w:pPr>
        <w:pStyle w:val="TextBody"/>
        <w:bidi w:val="0"/>
        <w:spacing w:lineRule="auto" w:line="288" w:before="0" w:after="240"/>
        <w:ind w:left="0" w:right="0" w:firstLine="720"/>
        <w:jc w:val="both"/>
        <w:rPr>
          <w:rFonts w:ascii="Times New Roman;sans-serif" w:hAnsi="Times New Roman;sans-serif"/>
          <w:b w:val="false"/>
          <w:color w:val="000000"/>
          <w:sz w:val="20"/>
        </w:rPr>
      </w:pPr>
      <w:r>
        <w:rPr>
          <w:rFonts w:ascii="Times New Roman;sans-serif" w:hAnsi="Times New Roman;sans-serif"/>
          <w:b w:val="false"/>
          <w:color w:val="000000"/>
          <w:sz w:val="20"/>
        </w:rPr>
        <w:t>If the JAMS Rules are inconsistent with the terms of this Agreement, the terms of this Agreement shall govern unless such terms are not enforceable under applicable law.</w:t>
      </w:r>
    </w:p>
    <w:p>
      <w:pPr>
        <w:pStyle w:val="TextBody"/>
        <w:bidi w:val="0"/>
        <w:spacing w:lineRule="auto" w:line="288" w:before="0" w:after="240"/>
        <w:ind w:left="0" w:right="0" w:firstLine="630"/>
        <w:jc w:val="both"/>
        <w:rPr/>
      </w:pPr>
      <w:r>
        <w:rPr>
          <w:rFonts w:ascii="Times New Roman;sans-serif" w:hAnsi="Times New Roman;sans-serif"/>
          <w:b w:val="false"/>
          <w:color w:val="000000"/>
          <w:sz w:val="20"/>
        </w:rPr>
        <w:t>7.</w:t>
      </w:r>
      <w:r>
        <w:rPr>
          <w:color w:val="000000"/>
        </w:rPr>
        <w:t>    </w:t>
      </w:r>
      <w:r>
        <w:rPr>
          <w:rFonts w:ascii="Times New Roman;sans-serif" w:hAnsi="Times New Roman;sans-serif"/>
          <w:b/>
          <w:color w:val="000000"/>
          <w:sz w:val="20"/>
        </w:rPr>
        <w:t>Modification/Entire Agreement</w:t>
      </w:r>
      <w:r>
        <w:rPr>
          <w:rFonts w:ascii="Times New Roman;sans-serif" w:hAnsi="Times New Roman;sans-serif"/>
          <w:b w:val="false"/>
          <w:color w:val="000000"/>
          <w:sz w:val="20"/>
        </w:rPr>
        <w:t xml:space="preserve">. This Arbitration Agreement shall survive the termination of my employment with the Company. It can only be revoked or modified by a writing that specifically states an intent to revoke or modify this Arbitration Agreement and is signed by me and the Company’s Chief Legal Officer (“CLO”), except that upon 30 days’ written notice, the Company’s CLO may modify and/or terminate this Arbitration Agreement as to future controversy, dispute, or claim to the extent necessary or desired to comply with any future developments or changes in the law. This is the complete agreement of the Parties on the subject of arbitration of Covered Claims and supersedes any and all provisions of prior agreements between the Parties that cover the subject of arbitration (except for any arbitration agreement in connection with any pension or benefit plan). </w:t>
      </w:r>
    </w:p>
    <w:p>
      <w:pPr>
        <w:pStyle w:val="TextBody"/>
        <w:bidi w:val="0"/>
        <w:spacing w:lineRule="auto" w:line="288" w:before="0" w:after="24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No Party is relying on any representations, oral or written, on the subject of the effect, enforceability, or meaning of this Arbitration Agreement, except as specifically set forth in this Agreement. </w:t>
      </w:r>
    </w:p>
    <w:p>
      <w:pPr>
        <w:pStyle w:val="TextBody"/>
        <w:bidi w:val="0"/>
        <w:spacing w:lineRule="auto" w:line="288" w:before="0" w:after="240"/>
        <w:ind w:left="0" w:right="0" w:firstLine="630"/>
        <w:jc w:val="both"/>
        <w:rPr/>
      </w:pPr>
      <w:r>
        <w:rPr>
          <w:rFonts w:ascii="Times New Roman;sans-serif" w:hAnsi="Times New Roman;sans-serif"/>
          <w:b w:val="false"/>
          <w:color w:val="000000"/>
          <w:sz w:val="20"/>
        </w:rPr>
        <w:t>8.    </w:t>
      </w:r>
      <w:r>
        <w:rPr>
          <w:rFonts w:ascii="Times New Roman;sans-serif" w:hAnsi="Times New Roman;sans-serif"/>
          <w:b/>
          <w:color w:val="000000"/>
          <w:sz w:val="20"/>
        </w:rPr>
        <w:t>Severability.    </w:t>
      </w:r>
      <w:r>
        <w:rPr>
          <w:rFonts w:ascii="Times New Roman;sans-serif" w:hAnsi="Times New Roman;sans-serif"/>
          <w:b w:val="false"/>
          <w:color w:val="000000"/>
          <w:sz w:val="20"/>
        </w:rPr>
        <w:t>If any provision of this Arbitration Agreement is found by a court of competent jurisdiction or an arbitrator to be void or unenforceable, in whole or in part, the void or unenforceable provision shall be severed and such adjudication shall not affect the validity of the remainder of this Arbitration Agreement.</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9.    </w:t>
      </w:r>
      <w:r>
        <w:rPr>
          <w:rFonts w:ascii="Times New Roman;sans-serif" w:hAnsi="Times New Roman;sans-serif"/>
          <w:b/>
          <w:color w:val="000000"/>
          <w:sz w:val="20"/>
        </w:rPr>
        <w:t>Confidentiality</w:t>
      </w:r>
      <w:r>
        <w:rPr>
          <w:rFonts w:ascii="Times New Roman;sans-serif" w:hAnsi="Times New Roman;sans-serif"/>
          <w:b w:val="false"/>
          <w:color w:val="000000"/>
          <w:sz w:val="20"/>
        </w:rPr>
        <w:t>. The arbitration shall be confidential to the extent allowed by law, including, without limitation, the claims made, discovery conducted, pleadings and papers filed, proceedings, rulings, testimony, hearings and award, if any. I understand that nothing in this Agreement prevents me from disclosing information or facts about conduct in the workplace that I have reason to believe are unlawful (such as harassment or discrimination).</w:t>
      </w:r>
    </w:p>
    <w:p>
      <w:pPr>
        <w:pStyle w:val="TextBody"/>
        <w:bidi w:val="0"/>
        <w:spacing w:lineRule="auto" w:line="288" w:before="0" w:after="240"/>
        <w:ind w:left="0" w:right="0" w:firstLine="720"/>
        <w:jc w:val="both"/>
        <w:rPr/>
      </w:pPr>
      <w:r>
        <w:rPr>
          <w:rFonts w:ascii="Times New Roman;sans-serif" w:hAnsi="Times New Roman;sans-serif"/>
          <w:b w:val="false"/>
          <w:color w:val="000000"/>
          <w:sz w:val="20"/>
        </w:rPr>
        <w:t>10.    </w:t>
      </w:r>
      <w:r>
        <w:rPr>
          <w:rFonts w:ascii="Times New Roman;sans-serif" w:hAnsi="Times New Roman;sans-serif"/>
          <w:b/>
          <w:color w:val="000000"/>
          <w:sz w:val="20"/>
        </w:rPr>
        <w:t>Compelling Arbitration/Enforcing Award</w:t>
      </w:r>
      <w:r>
        <w:rPr>
          <w:rFonts w:ascii="Times New Roman;sans-serif" w:hAnsi="Times New Roman;sans-serif"/>
          <w:b w:val="false"/>
          <w:color w:val="000000"/>
          <w:sz w:val="20"/>
        </w:rPr>
        <w:t>. Either Party may bring an action in court to compel arbitration under this Agreement, and to confirm, modify, vacate or enforce an arbitration award.</w:t>
      </w:r>
    </w:p>
    <w:p>
      <w:pPr>
        <w:pStyle w:val="TextBody"/>
        <w:bidi w:val="0"/>
        <w:spacing w:lineRule="auto" w:line="288" w:before="240" w:after="283"/>
        <w:jc w:val="left"/>
        <w:rPr/>
      </w:pPr>
      <w:r>
        <w:rPr>
          <w:color w:val="000000"/>
        </w:rPr>
        <w:t>    </w:t>
      </w:r>
      <w:r>
        <w:rPr>
          <w:rFonts w:ascii="Times New Roman;sans-serif" w:hAnsi="Times New Roman;sans-serif"/>
          <w:b w:val="false"/>
          <w:color w:val="000000"/>
          <w:sz w:val="20"/>
        </w:rPr>
        <w:t>11.</w:t>
      </w:r>
      <w:r>
        <w:rPr>
          <w:color w:val="000000"/>
        </w:rPr>
        <w:t>    </w:t>
      </w:r>
      <w:r>
        <w:rPr>
          <w:rFonts w:ascii="Times New Roman;sans-serif" w:hAnsi="Times New Roman;sans-serif"/>
          <w:b/>
          <w:color w:val="000000"/>
          <w:sz w:val="20"/>
        </w:rPr>
        <w:t xml:space="preserve">Governed by Federal Arbitration Act. </w:t>
      </w:r>
      <w:r>
        <w:rPr>
          <w:rFonts w:ascii="Times New Roman;sans-serif" w:hAnsi="Times New Roman;sans-serif"/>
          <w:b w:val="false"/>
          <w:color w:val="000000"/>
          <w:sz w:val="20"/>
        </w:rPr>
        <w:t>The Company and I recognize that the Company operates in many states in interstate commerce. Therefore, it is agreed that this Agreement and any Covered Claims under this Agreement shall be governed by the Federal Arbitration Act (FAA) to the exclusion of any state law inconsistent with or preempted by the FAA. If it is determined by a court that the FAA does not apply to this Agreement and the Covered Claims, then the state law where the Covered Claims arose shall apply.</w:t>
      </w:r>
    </w:p>
    <w:p>
      <w:pPr>
        <w:pStyle w:val="TextBody"/>
        <w:bidi w:val="0"/>
        <w:spacing w:before="0" w:after="0"/>
        <w:jc w:val="left"/>
        <w:rPr/>
      </w:pPr>
      <w:r>
        <w:rPr/>
      </w:r>
    </w:p>
    <w:p>
      <w:pPr>
        <w:pStyle w:val="TextBody"/>
        <w:bidi w:val="0"/>
        <w:spacing w:lineRule="auto" w:line="288" w:before="0" w:after="240"/>
        <w:ind w:left="0" w:right="0" w:firstLine="630"/>
        <w:jc w:val="both"/>
        <w:rPr/>
      </w:pPr>
      <w:r>
        <w:rPr>
          <w:rFonts w:ascii="Times New Roman;sans-serif" w:hAnsi="Times New Roman;sans-serif"/>
          <w:b w:val="false"/>
          <w:color w:val="000000"/>
          <w:sz w:val="20"/>
        </w:rPr>
        <w:t>12.</w:t>
      </w:r>
      <w:r>
        <w:rPr>
          <w:color w:val="000000"/>
        </w:rPr>
        <w:t>    </w:t>
      </w:r>
      <w:r>
        <w:rPr>
          <w:rFonts w:ascii="Times New Roman;sans-serif" w:hAnsi="Times New Roman;sans-serif"/>
          <w:b/>
          <w:color w:val="000000"/>
          <w:sz w:val="20"/>
        </w:rPr>
        <w:t>Not an Employment Agreement</w:t>
      </w:r>
      <w:r>
        <w:rPr>
          <w:rFonts w:ascii="Times New Roman;sans-serif" w:hAnsi="Times New Roman;sans-serif"/>
          <w:b w:val="false"/>
          <w:color w:val="000000"/>
          <w:sz w:val="20"/>
        </w:rPr>
        <w:t>. This Arbitration Agreement is not and shall not be construed to create any contract of employment, express or implied. Nor does this Arbitration Agreement alter the at-will status of any employment.</w:t>
      </w:r>
    </w:p>
    <w:p>
      <w:pPr>
        <w:pStyle w:val="TextBody"/>
        <w:bidi w:val="0"/>
        <w:spacing w:lineRule="auto" w:line="288" w:before="0" w:after="240"/>
        <w:ind w:left="0" w:right="0" w:firstLine="630"/>
        <w:jc w:val="both"/>
        <w:rPr/>
      </w:pPr>
      <w:r>
        <w:rPr>
          <w:rFonts w:ascii="Times New Roman;sans-serif" w:hAnsi="Times New Roman;sans-serif"/>
          <w:b w:val="false"/>
          <w:color w:val="000000"/>
          <w:sz w:val="20"/>
        </w:rPr>
        <w:t>13.    </w:t>
      </w:r>
      <w:r>
        <w:rPr>
          <w:rFonts w:ascii="Times New Roman;sans-serif" w:hAnsi="Times New Roman;sans-serif"/>
          <w:b/>
          <w:color w:val="000000"/>
          <w:sz w:val="20"/>
        </w:rPr>
        <w:t>Acknowledgements</w:t>
      </w:r>
      <w:r>
        <w:rPr>
          <w:rFonts w:ascii="Times New Roman;sans-serif" w:hAnsi="Times New Roman;sans-serif"/>
          <w:b w:val="false"/>
          <w:color w:val="000000"/>
          <w:sz w:val="20"/>
        </w:rPr>
        <w:t>. The Company and I acknowledge my right to:</w:t>
      </w:r>
    </w:p>
    <w:p>
      <w:pPr>
        <w:pStyle w:val="TextBody"/>
        <w:bidi w:val="0"/>
        <w:spacing w:lineRule="auto" w:line="288" w:before="0" w:after="24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(a)    report any good faith allegation of unlawful employment practices to any appropriate federal, state, or local government agency that enforces anti-discrimination laws;</w:t>
      </w:r>
    </w:p>
    <w:p>
      <w:pPr>
        <w:pStyle w:val="TextBody"/>
        <w:bidi w:val="0"/>
        <w:spacing w:lineRule="auto" w:line="288" w:before="0" w:after="24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 xml:space="preserve">(b)    report any good faith allegation of criminal conduct to any appropriate federal, state, or local official; </w:t>
      </w:r>
    </w:p>
    <w:p>
      <w:pPr>
        <w:pStyle w:val="TextBody"/>
        <w:bidi w:val="0"/>
        <w:spacing w:lineRule="auto" w:line="288" w:before="0" w:after="24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(c)    participate in a proceeding with any appropriate federal, state, or local government agency that enforces anti-discrimination laws;</w:t>
      </w:r>
    </w:p>
    <w:p>
      <w:pPr>
        <w:pStyle w:val="TextBody"/>
        <w:bidi w:val="0"/>
        <w:spacing w:lineRule="auto" w:line="288" w:before="0" w:after="24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(d)    make any truthful statements or disclosures required by law, regulation, or legal process; and</w:t>
      </w:r>
    </w:p>
    <w:p>
      <w:pPr>
        <w:pStyle w:val="TextBody"/>
        <w:bidi w:val="0"/>
        <w:spacing w:before="0" w:after="240"/>
        <w:jc w:val="center"/>
        <w:rPr/>
      </w:pPr>
      <w:r>
        <w:rPr/>
      </w:r>
      <w:r>
        <mc:AlternateContent>
          <mc:Choice Requires="wps">
            <w:drawing>
              <wp:anchor behindDoc="0" distT="0" distB="0" distL="0" distR="0" simplePos="0" locked="0" layoutInCell="1" allowOverlap="1" relativeHeight="123">
                <wp:simplePos x="0" y="0"/>
                <wp:positionH relativeFrom="character">
                  <wp:align>left</wp:align>
                </wp:positionH>
                <wp:positionV relativeFrom="line">
                  <wp:posOffset>635</wp:posOffset>
                </wp:positionV>
                <wp:extent cx="6480175" cy="175260"/>
                <wp:effectExtent l="0" t="0" r="0" b="0"/>
                <wp:wrapNone/>
                <wp:docPr id="122" name="Frame11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lineRule="auto" w:line="288" w:before="0" w:after="240"/>
        <w:ind w:left="0" w:right="0" w:firstLine="630"/>
        <w:jc w:val="both"/>
        <w:rPr>
          <w:rFonts w:ascii="Times New Roman;sans-serif" w:hAnsi="Times New Roman;sans-serif"/>
          <w:b w:val="false"/>
          <w:color w:val="000000"/>
          <w:sz w:val="20"/>
        </w:rPr>
      </w:pPr>
      <w:r>
        <w:rPr>
          <w:rFonts w:ascii="Times New Roman;sans-serif" w:hAnsi="Times New Roman;sans-serif"/>
          <w:b w:val="false"/>
          <w:color w:val="000000"/>
          <w:sz w:val="20"/>
        </w:rPr>
        <w:t>(e)    request or receive confidential legal advice.</w:t>
      </w:r>
    </w:p>
    <w:p>
      <w:pPr>
        <w:pStyle w:val="TextBody"/>
        <w:bidi w:val="0"/>
        <w:spacing w:lineRule="auto" w:line="288" w:before="0" w:after="240"/>
        <w:ind w:left="0" w:right="0" w:firstLine="630"/>
        <w:jc w:val="center"/>
        <w:rPr/>
      </w:pPr>
      <w:r>
        <w:rPr>
          <w:rFonts w:ascii="Times New Roman;sans-serif" w:hAnsi="Times New Roman;sans-serif"/>
          <w:b w:val="false"/>
          <w:color w:val="000000"/>
          <w:sz w:val="20"/>
        </w:rPr>
        <w:t>[</w:t>
      </w:r>
      <w:r>
        <w:rPr>
          <w:rFonts w:ascii="Times New Roman;sans-serif" w:hAnsi="Times New Roman;sans-serif"/>
          <w:b w:val="false"/>
          <w:i/>
          <w:color w:val="000000"/>
          <w:sz w:val="20"/>
        </w:rPr>
        <w:t>Signature Page Follows</w:t>
      </w:r>
      <w:r>
        <w:rPr>
          <w:rFonts w:ascii="Times New Roman;sans-serif" w:hAnsi="Times New Roman;sans-serif"/>
          <w:b w:val="false"/>
          <w:color w:val="000000"/>
          <w:sz w:val="2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240"/>
        <w:jc w:val="center"/>
        <w:rPr/>
      </w:pPr>
      <w:r>
        <w:rPr/>
      </w:r>
      <w:r>
        <mc:AlternateContent>
          <mc:Choice Requires="wps">
            <w:drawing>
              <wp:anchor behindDoc="0" distT="0" distB="0" distL="0" distR="0" simplePos="0" locked="0" layoutInCell="1" allowOverlap="1" relativeHeight="124">
                <wp:simplePos x="0" y="0"/>
                <wp:positionH relativeFrom="character">
                  <wp:align>left</wp:align>
                </wp:positionH>
                <wp:positionV relativeFrom="line">
                  <wp:posOffset>635</wp:posOffset>
                </wp:positionV>
                <wp:extent cx="6480175" cy="175260"/>
                <wp:effectExtent l="0" t="0" r="0" b="0"/>
                <wp:wrapNone/>
                <wp:docPr id="123" name="Frame11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226.8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before="0" w:after="0"/>
        <w:jc w:val="center"/>
        <w:rPr/>
      </w:pPr>
      <w:r>
        <w:rPr/>
      </w:r>
    </w:p>
    <w:p>
      <w:pPr>
        <w:pStyle w:val="TextBody"/>
        <w:bidi w:val="0"/>
        <w:spacing w:before="0" w:after="0"/>
        <w:jc w:val="left"/>
        <w:rPr/>
      </w:pPr>
      <w:r>
        <w:rPr/>
      </w:r>
    </w:p>
    <w:tbl>
      <w:tblPr>
        <w:tblW w:w="10205" w:type="dxa"/>
        <w:jc w:val="left"/>
        <w:tblInd w:w="0" w:type="dxa"/>
        <w:tblLayout w:type="fixed"/>
        <w:tblCellMar>
          <w:top w:w="28" w:type="dxa"/>
          <w:left w:w="28" w:type="dxa"/>
          <w:bottom w:w="28" w:type="dxa"/>
          <w:right w:w="28" w:type="dxa"/>
        </w:tblCellMar>
      </w:tblPr>
      <w:tblGrid>
        <w:gridCol w:w="3400"/>
        <w:gridCol w:w="2806"/>
        <w:gridCol w:w="3999"/>
      </w:tblGrid>
      <w:tr>
        <w:trPr/>
        <w:tc>
          <w:tcPr>
            <w:tcW w:w="3400" w:type="dxa"/>
            <w:tcBorders/>
            <w:vAlign w:val="center"/>
          </w:tcPr>
          <w:p>
            <w:pPr>
              <w:pStyle w:val="TableContents"/>
              <w:bidi w:val="0"/>
              <w:spacing w:before="0" w:after="283"/>
              <w:jc w:val="left"/>
              <w:rPr>
                <w:sz w:val="4"/>
                <w:szCs w:val="4"/>
              </w:rPr>
            </w:pPr>
            <w:r>
              <w:rPr>
                <w:sz w:val="4"/>
                <w:szCs w:val="4"/>
              </w:rPr>
            </w:r>
          </w:p>
        </w:tc>
        <w:tc>
          <w:tcPr>
            <w:tcW w:w="2806" w:type="dxa"/>
            <w:tcBorders/>
            <w:vAlign w:val="center"/>
          </w:tcPr>
          <w:p>
            <w:pPr>
              <w:pStyle w:val="TableContents"/>
              <w:bidi w:val="0"/>
              <w:spacing w:before="0" w:after="283"/>
              <w:jc w:val="left"/>
              <w:rPr>
                <w:sz w:val="4"/>
                <w:szCs w:val="4"/>
              </w:rPr>
            </w:pPr>
            <w:r>
              <w:rPr>
                <w:sz w:val="4"/>
                <w:szCs w:val="4"/>
              </w:rPr>
            </w:r>
          </w:p>
        </w:tc>
        <w:tc>
          <w:tcPr>
            <w:tcW w:w="3999" w:type="dxa"/>
            <w:tcBorders/>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40" w:before="0" w:after="283"/>
              <w:jc w:val="both"/>
              <w:rPr>
                <w:rFonts w:ascii="Times New Roman;sans-serif" w:hAnsi="Times New Roman;sans-serif"/>
                <w:b w:val="false"/>
                <w:color w:val="000000"/>
                <w:sz w:val="20"/>
              </w:rPr>
            </w:pPr>
            <w:r>
              <w:rPr>
                <w:rFonts w:ascii="Times New Roman;sans-serif" w:hAnsi="Times New Roman;sans-serif"/>
                <w:b w:val="false"/>
                <w:color w:val="000000"/>
                <w:sz w:val="20"/>
              </w:rPr>
              <w:t>By signing below:</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 represent and acknowledge that I have read, understand and voluntarily agree to the terms of this Arbitration Agreement.</w:t>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 represent and acknowledge that I have been given sufficient time to fully review this Arbitration Agreement and an opportunity to ask questions about it before signing this document.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 represent and acknowledge that any questions I have about the Arbitration Agreement have been fully answered prior to my signing the Arbitration Agreement.</w:t>
            </w:r>
          </w:p>
        </w:tc>
      </w:tr>
      <w:tr>
        <w:trPr/>
        <w:tc>
          <w:tcPr>
            <w:tcW w:w="1020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0205" w:type="dxa"/>
            <w:gridSpan w:val="3"/>
            <w:tcBorders/>
            <w:tcMar>
              <w:top w:w="0" w:type="dxa"/>
              <w:left w:w="0" w:type="dxa"/>
              <w:bottom w:w="0" w:type="dxa"/>
              <w:right w:w="0" w:type="dxa"/>
            </w:tcMar>
            <w:vAlign w:val="center"/>
          </w:tcPr>
          <w:p>
            <w:pPr>
              <w:pStyle w:val="TableContents"/>
              <w:bidi w:val="0"/>
              <w:spacing w:lineRule="auto" w:line="288" w:before="240" w:after="283"/>
              <w:ind w:left="0" w:right="0" w:hanging="360"/>
              <w:jc w:val="both"/>
              <w:rPr/>
            </w:pPr>
            <w:r>
              <w:rPr>
                <w:color w:val="000000"/>
              </w:rPr>
              <w:t>•</w:t>
            </w:r>
            <w:r>
              <w:rPr>
                <w:rFonts w:ascii="Times New Roman;sans-serif" w:hAnsi="Times New Roman;sans-serif"/>
                <w:b w:val="false"/>
                <w:color w:val="000000"/>
                <w:sz w:val="20"/>
              </w:rPr>
              <w:t>In signing this Arbitration Agreement, I acknowledge and understand that I am relinquishing the right to a court or jury trial of any Covered Claim, except as otherwise provided by law or this Arbitration Agreement, and further that I have waived the right to proceed in a class action involving a Covered Claim.</w:t>
            </w:r>
          </w:p>
          <w:p>
            <w:pPr>
              <w:pStyle w:val="TableContents"/>
              <w:bidi w:val="0"/>
              <w:spacing w:before="240" w:after="283"/>
              <w:jc w:val="both"/>
              <w:rPr/>
            </w:pPr>
            <w:r>
              <w:rPr/>
            </w:r>
          </w:p>
          <w:p>
            <w:pPr>
              <w:pStyle w:val="TableContents"/>
              <w:bidi w:val="0"/>
              <w:spacing w:lineRule="auto" w:line="288" w:before="240" w:after="283"/>
              <w:jc w:val="both"/>
              <w:rPr>
                <w:rFonts w:ascii="Times New Roman;sans-serif" w:hAnsi="Times New Roman;sans-serif"/>
                <w:b w:val="false"/>
                <w:color w:val="000000"/>
                <w:sz w:val="20"/>
              </w:rPr>
            </w:pPr>
            <w:r>
              <w:rPr>
                <w:rFonts w:ascii="Times New Roman;sans-serif" w:hAnsi="Times New Roman;sans-serif"/>
                <w:b w:val="false"/>
                <w:color w:val="000000"/>
                <w:sz w:val="20"/>
              </w:rPr>
              <w:t>The signature of the Parties below indicates their agreement to be bound by this Arbitration Agreement.</w:t>
            </w:r>
          </w:p>
        </w:tc>
      </w:tr>
    </w:tbl>
    <w:p>
      <w:pPr>
        <w:pStyle w:val="TextBody"/>
        <w:bidi w:val="0"/>
        <w:spacing w:lineRule="auto" w:line="288" w:before="240" w:after="283"/>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 xml:space="preserve">EMPLOYEE </w:t>
      </w:r>
    </w:p>
    <w:p>
      <w:pPr>
        <w:pStyle w:val="TextBody"/>
        <w:bidi w:val="0"/>
        <w:spacing w:before="240" w:after="283"/>
        <w:ind w:left="0" w:right="0" w:firstLine="5040"/>
        <w:jc w:val="both"/>
        <w:rPr/>
      </w:pPr>
      <w:r>
        <w:rPr/>
      </w:r>
    </w:p>
    <w:p>
      <w:pPr>
        <w:pStyle w:val="TextBody"/>
        <w:bidi w:val="0"/>
        <w:spacing w:before="0" w:after="0"/>
        <w:ind w:left="0" w:right="0" w:firstLine="5040"/>
        <w:jc w:val="both"/>
        <w:rPr/>
      </w:pPr>
      <w:r>
        <w:rPr/>
      </w:r>
    </w:p>
    <w:p>
      <w:pPr>
        <w:pStyle w:val="TextBody"/>
        <w:bidi w:val="0"/>
        <w:spacing w:lineRule="auto" w:line="288" w:before="0" w:after="0"/>
        <w:ind w:left="0" w:right="0" w:firstLine="5040"/>
        <w:jc w:val="both"/>
        <w:rPr/>
      </w:pPr>
      <w:r>
        <w:rPr>
          <w:rFonts w:ascii="Times New Roman;sans-serif" w:hAnsi="Times New Roman;sans-serif"/>
          <w:b w:val="false"/>
          <w:color w:val="000000"/>
          <w:sz w:val="20"/>
        </w:rPr>
        <w:t>By:    /</w:t>
      </w:r>
      <w:r>
        <w:rPr>
          <w:rFonts w:ascii="Times New Roman;sans-serif" w:hAnsi="Times New Roman;sans-serif"/>
          <w:b w:val="false"/>
          <w:color w:val="000000"/>
          <w:sz w:val="20"/>
          <w:u w:val="single"/>
        </w:rPr>
        <w:t>s/ Nirav Tolia</w:t>
      </w:r>
    </w:p>
    <w:p>
      <w:pPr>
        <w:pStyle w:val="TextBody"/>
        <w:bidi w:val="0"/>
        <w:spacing w:lineRule="auto" w:line="288" w:before="0" w:after="0"/>
        <w:ind w:left="0" w:right="0" w:firstLine="5040"/>
        <w:jc w:val="both"/>
        <w:rPr>
          <w:color w:val="000000"/>
        </w:rPr>
      </w:pPr>
      <w:r>
        <w:rPr>
          <w:color w:val="000000"/>
        </w:rPr>
        <w:t>    </w:t>
      </w:r>
      <w:r>
        <w:rPr>
          <w:rFonts w:ascii="Times New Roman;sans-serif" w:hAnsi="Times New Roman;sans-serif"/>
          <w:b w:val="false"/>
          <w:color w:val="000000"/>
          <w:sz w:val="20"/>
        </w:rPr>
        <w:t>(Signature)</w:t>
      </w:r>
    </w:p>
    <w:p>
      <w:pPr>
        <w:pStyle w:val="TextBody"/>
        <w:bidi w:val="0"/>
        <w:spacing w:before="0" w:after="0"/>
        <w:ind w:left="0" w:right="0" w:firstLine="5040"/>
        <w:jc w:val="both"/>
        <w:rPr/>
      </w:pPr>
      <w:r>
        <w:rPr/>
      </w:r>
    </w:p>
    <w:p>
      <w:pPr>
        <w:pStyle w:val="TextBody"/>
        <w:bidi w:val="0"/>
        <w:spacing w:lineRule="auto" w:line="288" w:before="0" w:after="0"/>
        <w:ind w:left="0" w:right="0" w:firstLine="5040"/>
        <w:jc w:val="both"/>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Nirav Tolia</w:t>
      </w:r>
      <w:r>
        <w:rPr>
          <w:rFonts w:ascii="Times New Roman;sans-serif" w:hAnsi="Times New Roman;sans-serif"/>
          <w:b w:val="false"/>
          <w:color w:val="000000"/>
          <w:sz w:val="20"/>
        </w:rPr>
        <w:t>______________________</w:t>
      </w:r>
    </w:p>
    <w:p>
      <w:pPr>
        <w:pStyle w:val="TextBody"/>
        <w:bidi w:val="0"/>
        <w:spacing w:lineRule="auto" w:line="288" w:before="0" w:after="0"/>
        <w:ind w:left="0" w:right="0" w:firstLine="5040"/>
        <w:jc w:val="both"/>
        <w:rPr>
          <w:color w:val="000000"/>
        </w:rPr>
      </w:pPr>
      <w:r>
        <w:rPr>
          <w:color w:val="000000"/>
        </w:rPr>
        <w:t>    </w:t>
      </w:r>
      <w:r>
        <w:rPr>
          <w:rFonts w:ascii="Times New Roman;sans-serif" w:hAnsi="Times New Roman;sans-serif"/>
          <w:b w:val="false"/>
          <w:color w:val="000000"/>
          <w:sz w:val="20"/>
        </w:rPr>
        <w:t>(Print)</w:t>
      </w:r>
    </w:p>
    <w:p>
      <w:pPr>
        <w:pStyle w:val="TextBody"/>
        <w:bidi w:val="0"/>
        <w:spacing w:lineRule="auto" w:line="288" w:before="240" w:after="283"/>
        <w:ind w:left="0" w:right="0" w:firstLine="720"/>
        <w:jc w:val="both"/>
        <w:rPr>
          <w:rFonts w:ascii="Times New Roman;sans-serif" w:hAnsi="Times New Roman;sans-serif"/>
          <w:b w:val="false"/>
          <w:i/>
          <w:color w:val="000000"/>
          <w:sz w:val="20"/>
        </w:rPr>
      </w:pPr>
      <w:r>
        <w:rPr>
          <w:rFonts w:ascii="Times New Roman;sans-serif" w:hAnsi="Times New Roman;sans-serif"/>
          <w:b w:val="false"/>
          <w:i/>
          <w:color w:val="000000"/>
          <w:sz w:val="20"/>
        </w:rPr>
        <w:t>Accepted and Agreed to:</w:t>
      </w:r>
    </w:p>
    <w:p>
      <w:pPr>
        <w:pStyle w:val="TextBody"/>
        <w:bidi w:val="0"/>
        <w:spacing w:lineRule="auto" w:line="288" w:before="240" w:after="283"/>
        <w:ind w:left="0" w:right="0" w:firstLine="720"/>
        <w:jc w:val="both"/>
        <w:rPr>
          <w:rFonts w:ascii="Times New Roman;sans-serif" w:hAnsi="Times New Roman;sans-serif"/>
          <w:b/>
          <w:color w:val="000000"/>
          <w:sz w:val="20"/>
        </w:rPr>
      </w:pPr>
      <w:r>
        <w:rPr>
          <w:rFonts w:ascii="Times New Roman;sans-serif" w:hAnsi="Times New Roman;sans-serif"/>
          <w:b/>
          <w:color w:val="000000"/>
          <w:sz w:val="20"/>
        </w:rPr>
        <w:t>NEXTDOOR, INC.</w:t>
      </w:r>
    </w:p>
    <w:p>
      <w:pPr>
        <w:pStyle w:val="TextBody"/>
        <w:bidi w:val="0"/>
        <w:spacing w:before="240" w:after="283"/>
        <w:ind w:left="0" w:right="0" w:firstLine="720"/>
        <w:jc w:val="both"/>
        <w:rPr/>
      </w:pPr>
      <w:r>
        <w:rPr/>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By: </w:t>
      </w:r>
      <w:r>
        <w:rPr>
          <w:rFonts w:ascii="Times New Roman;sans-serif" w:hAnsi="Times New Roman;sans-serif"/>
          <w:b w:val="false"/>
          <w:color w:val="000000"/>
          <w:sz w:val="20"/>
          <w:u w:val="single"/>
        </w:rPr>
        <w:t>/s/ Bryan Power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 xml:space="preserve">Name: </w:t>
      </w:r>
      <w:r>
        <w:rPr>
          <w:rFonts w:ascii="Times New Roman;sans-serif" w:hAnsi="Times New Roman;sans-serif"/>
          <w:b w:val="false"/>
          <w:color w:val="000000"/>
          <w:sz w:val="20"/>
          <w:u w:val="single"/>
        </w:rPr>
        <w:t>Bryan Power    </w:t>
      </w:r>
    </w:p>
    <w:p>
      <w:pPr>
        <w:pStyle w:val="TextBody"/>
        <w:bidi w:val="0"/>
        <w:spacing w:lineRule="auto" w:line="288" w:before="240" w:after="283"/>
        <w:ind w:left="0" w:right="0" w:firstLine="720"/>
        <w:jc w:val="both"/>
        <w:rPr/>
      </w:pPr>
      <w:r>
        <w:rPr>
          <w:rFonts w:ascii="Times New Roman;sans-serif" w:hAnsi="Times New Roman;sans-serif"/>
          <w:b w:val="false"/>
          <w:color w:val="000000"/>
          <w:sz w:val="20"/>
        </w:rPr>
        <w:t>Title:</w:t>
      </w:r>
      <w:r>
        <w:rPr>
          <w:color w:val="000000"/>
          <w:u w:val="single"/>
        </w:rPr>
        <w:t xml:space="preserve"> </w:t>
      </w:r>
      <w:r>
        <w:rPr>
          <w:rFonts w:ascii="Times New Roman;sans-serif" w:hAnsi="Times New Roman;sans-serif"/>
          <w:b w:val="false"/>
          <w:color w:val="000000"/>
          <w:sz w:val="20"/>
          <w:u w:val="single"/>
        </w:rPr>
        <w:t>Head of People     </w:t>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5">
                <wp:simplePos x="0" y="0"/>
                <wp:positionH relativeFrom="character">
                  <wp:align>left</wp:align>
                </wp:positionH>
                <wp:positionV relativeFrom="line">
                  <wp:posOffset>635</wp:posOffset>
                </wp:positionV>
                <wp:extent cx="6480175" cy="175260"/>
                <wp:effectExtent l="0" t="0" r="0" b="0"/>
                <wp:wrapNone/>
                <wp:docPr id="124" name="Frame11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lineRule="auto" w:line="288" w:before="0" w:after="240"/>
                              <w:jc w:val="left"/>
                              <w:rPr>
                                <w:color w:val="000000"/>
                              </w:rPr>
                            </w:pPr>
                            <w:r>
                              <w:rPr>
                                <w:color w:val="000000"/>
                              </w:rPr>
                              <w:t>        </w:t>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lineRule="auto" w:line="288" w:before="0" w:after="240"/>
                        <w:jc w:val="left"/>
                        <w:rPr>
                          <w:color w:val="000000"/>
                        </w:rPr>
                      </w:pPr>
                      <w:r>
                        <w:rPr>
                          <w:color w:val="000000"/>
                        </w:rPr>
                        <w:t>        </w:t>
                      </w:r>
                    </w:p>
                  </w:txbxContent>
                </v:textbox>
                <w10:wrap type="none"/>
              </v:rect>
            </w:pict>
          </mc:Fallback>
        </mc:AlternateContent>
      </w:r>
    </w:p>
    <w:p>
      <w:pPr>
        <w:pStyle w:val="TextBody"/>
        <w:bidi w:val="0"/>
        <w:spacing w:lineRule="auto" w:line="333" w:before="0" w:after="0"/>
        <w:jc w:val="right"/>
        <w:rPr>
          <w:rFonts w:ascii="Times New Roman;sans-serif" w:hAnsi="Times New Roman;sans-serif"/>
          <w:b/>
          <w:color w:val="000000"/>
          <w:sz w:val="20"/>
        </w:rPr>
      </w:pPr>
      <w:r>
        <w:rPr>
          <w:rFonts w:ascii="Times New Roman;sans-serif" w:hAnsi="Times New Roman;sans-serif"/>
          <w:b/>
          <w:color w:val="000000"/>
          <w:sz w:val="20"/>
        </w:rPr>
        <w:t>EXHIBIT 31.1</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EXECUTIVE OFFICER PURSUANT TO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AND 15D-14(A) UNDER THE EXCHANGE ACT, </w:t>
      </w:r>
    </w:p>
    <w:p>
      <w:pPr>
        <w:pStyle w:val="TextBody"/>
        <w:bidi w:val="0"/>
        <w:spacing w:lineRule="auto" w:line="288"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rFonts w:ascii="Times New Roman;sans-serif" w:hAnsi="Times New Roman;sans-serif"/>
          <w:b w:val="false"/>
          <w:color w:val="000000"/>
          <w:sz w:val="20"/>
        </w:rPr>
      </w:pPr>
      <w:r>
        <w:rPr>
          <w:rFonts w:ascii="Times New Roman;sans-serif" w:hAnsi="Times New Roman;sans-serif"/>
          <w:b w:val="false"/>
          <w:color w:val="000000"/>
          <w:sz w:val="20"/>
        </w:rPr>
        <w:t>I, Sarah Friar,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Nextdoor Holdings, Inc. (the “registrant”);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before="0" w:after="0"/>
        <w:jc w:val="left"/>
        <w:rPr/>
      </w:pPr>
      <w:r>
        <w:rPr/>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b.Any fraud, whether or not material, that involves management or other employees who have a significant role in the registrant’s internal controls over financial reporting. </w:t>
      </w:r>
    </w:p>
    <w:tbl>
      <w:tblPr>
        <w:tblW w:w="8348"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479"/>
        <w:gridCol w:w="479"/>
        <w:gridCol w:w="487"/>
        <w:gridCol w:w="1428"/>
        <w:gridCol w:w="1428"/>
        <w:gridCol w:w="202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79" w:type="dxa"/>
            <w:tcBorders/>
            <w:vAlign w:val="center"/>
          </w:tcPr>
          <w:p>
            <w:pPr>
              <w:pStyle w:val="TableContents"/>
              <w:bidi w:val="0"/>
              <w:spacing w:before="0" w:after="283"/>
              <w:jc w:val="left"/>
              <w:rPr>
                <w:sz w:val="4"/>
                <w:szCs w:val="4"/>
              </w:rPr>
            </w:pPr>
            <w:r>
              <w:rPr>
                <w:sz w:val="4"/>
                <w:szCs w:val="4"/>
              </w:rPr>
            </w:r>
          </w:p>
        </w:tc>
        <w:tc>
          <w:tcPr>
            <w:tcW w:w="487"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1428" w:type="dxa"/>
            <w:tcBorders/>
            <w:vAlign w:val="center"/>
          </w:tcPr>
          <w:p>
            <w:pPr>
              <w:pStyle w:val="TableContents"/>
              <w:bidi w:val="0"/>
              <w:spacing w:before="0" w:after="283"/>
              <w:jc w:val="left"/>
              <w:rPr>
                <w:sz w:val="4"/>
                <w:szCs w:val="4"/>
              </w:rPr>
            </w:pPr>
            <w:r>
              <w:rPr>
                <w:sz w:val="4"/>
                <w:szCs w:val="4"/>
              </w:rPr>
            </w:r>
          </w:p>
        </w:tc>
        <w:tc>
          <w:tcPr>
            <w:tcW w:w="202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4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882"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53" w:after="30"/>
              <w:jc w:val="left"/>
              <w:rPr/>
            </w:pPr>
            <w:r>
              <w:rPr>
                <w:rFonts w:ascii="Times New Roman;sans-serif" w:hAnsi="Times New Roman;sans-serif"/>
                <w:b w:val="false"/>
                <w:color w:val="000000"/>
                <w:sz w:val="20"/>
              </w:rPr>
              <w:t xml:space="preserve">/s/ </w:t>
            </w:r>
            <w:r>
              <w:rPr>
                <w:rFonts w:ascii="Times New Roman;sans-serif" w:hAnsi="Times New Roman;sans-serif"/>
                <w:b w:val="false"/>
                <w:i/>
                <w:color w:val="000000"/>
                <w:sz w:val="20"/>
              </w:rPr>
              <w:t>Sarah Friar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Friar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Chairperson of the Board of Directors</w:t>
            </w:r>
          </w:p>
        </w:tc>
      </w:tr>
    </w:tbl>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6">
                <wp:simplePos x="0" y="0"/>
                <wp:positionH relativeFrom="character">
                  <wp:align>left</wp:align>
                </wp:positionH>
                <wp:positionV relativeFrom="line">
                  <wp:posOffset>635</wp:posOffset>
                </wp:positionV>
                <wp:extent cx="6480175" cy="175260"/>
                <wp:effectExtent l="0" t="0" r="0" b="0"/>
                <wp:wrapNone/>
                <wp:docPr id="125" name="Frame11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right"/>
        <w:rPr>
          <w:rFonts w:ascii="Times New Roman;sans-serif" w:hAnsi="Times New Roman;sans-serif"/>
          <w:b/>
          <w:color w:val="000000"/>
          <w:sz w:val="20"/>
        </w:rPr>
      </w:pPr>
      <w:r>
        <w:rPr>
          <w:rFonts w:ascii="Times New Roman;sans-serif" w:hAnsi="Times New Roman;sans-serif"/>
          <w:b/>
          <w:color w:val="000000"/>
          <w:sz w:val="20"/>
        </w:rPr>
        <w:t>EXHIBIT 31.2</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CERTIFICATION OF PRINCIPAL FINANCIAL OFFICER PURSUANT TO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RULE 13A-14(A) AND 15D-14(A) UNDER THE EXCHANGE ACT, </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AS ADOPTED PURSUANT TO SECTION 302 OF THE SARBANES-OXLEY ACT OF 2002</w:t>
      </w:r>
    </w:p>
    <w:p>
      <w:pPr>
        <w:pStyle w:val="TextBody"/>
        <w:bidi w:val="0"/>
        <w:spacing w:before="0" w:after="0"/>
        <w:jc w:val="center"/>
        <w:rPr/>
      </w:pPr>
      <w:r>
        <w:rPr/>
      </w:r>
    </w:p>
    <w:p>
      <w:pPr>
        <w:pStyle w:val="TextBody"/>
        <w:bidi w:val="0"/>
        <w:spacing w:lineRule="auto" w:line="288" w:before="0" w:after="0"/>
        <w:jc w:val="left"/>
        <w:rPr/>
      </w:pPr>
      <w:r>
        <w:rPr>
          <w:rFonts w:ascii="Times New Roman;sans-serif" w:hAnsi="Times New Roman;sans-serif"/>
          <w:b w:val="false"/>
          <w:color w:val="000000"/>
          <w:sz w:val="20"/>
        </w:rPr>
        <w:t xml:space="preserve">I, </w:t>
      </w:r>
      <w:r>
        <w:rPr>
          <w:rFonts w:ascii="Times New Roman;sans-serif" w:hAnsi="Times New Roman;sans-serif"/>
          <w:b w:val="false"/>
          <w:color w:val="201F1E"/>
          <w:sz w:val="20"/>
        </w:rPr>
        <w:t>Matt Anderson</w:t>
      </w:r>
      <w:r>
        <w:rPr>
          <w:rFonts w:ascii="Times New Roman;sans-serif" w:hAnsi="Times New Roman;sans-serif"/>
          <w:b w:val="false"/>
          <w:color w:val="000000"/>
          <w:sz w:val="20"/>
        </w:rPr>
        <w:t>, certify that:</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1.I have reviewed this Quarterly Report on Form 10-Q of Nextdoor Holdings, Inc. (the “registrant”);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3.Based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4.The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 xml:space="preserve">a.Designed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 </w:t>
      </w:r>
    </w:p>
    <w:p>
      <w:pPr>
        <w:pStyle w:val="TextBody"/>
        <w:bidi w:val="0"/>
        <w:spacing w:lineRule="auto" w:line="288"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pStyle w:val="TextBody"/>
        <w:bidi w:val="0"/>
        <w:spacing w:before="0" w:after="0"/>
        <w:jc w:val="left"/>
        <w:rPr/>
      </w:pPr>
      <w:r>
        <w:rPr/>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c.Evaluated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d.Disclosed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5.The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a.All significant deficiencies and material weaknesses in the design or operation of internal control over financial reporting which are reasonably likely to adversely affect the registrant’s ability to record, process, summarize and report financial information; and</w:t>
      </w:r>
    </w:p>
    <w:p>
      <w:pPr>
        <w:pStyle w:val="TextBody"/>
        <w:bidi w:val="0"/>
        <w:spacing w:lineRule="auto" w:line="288" w:before="0" w:after="18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b.Any fraud, whether or not material, that involves management or other employees who have a significant role in the registrant’s internal controls over financial reporting.</w:t>
      </w:r>
    </w:p>
    <w:tbl>
      <w:tblPr>
        <w:tblW w:w="517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210"/>
        <w:gridCol w:w="210"/>
        <w:gridCol w:w="213"/>
        <w:gridCol w:w="735"/>
        <w:gridCol w:w="735"/>
        <w:gridCol w:w="10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jc w:val="left"/>
              <w:rPr/>
            </w:pPr>
            <w:r>
              <w:rPr>
                <w:rFonts w:ascii="Times New Roman;sans-serif" w:hAnsi="Times New Roman;sans-serif"/>
                <w:b w:val="false"/>
                <w:i/>
                <w:color w:val="000000"/>
                <w:sz w:val="20"/>
              </w:rPr>
              <w:t xml:space="preserve">/s/ </w:t>
            </w:r>
            <w:r>
              <w:rPr>
                <w:rFonts w:ascii="Times New Roman;sans-serif" w:hAnsi="Times New Roman;sans-serif"/>
                <w:b w:val="false"/>
                <w:i/>
                <w:color w:val="201F1E"/>
                <w:sz w:val="20"/>
              </w:rPr>
              <w:t>Matt Anderson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201F1E"/>
                <w:sz w:val="20"/>
              </w:rPr>
            </w:pPr>
            <w:r>
              <w:rPr>
                <w:rFonts w:ascii="Times New Roman;sans-serif" w:hAnsi="Times New Roman;sans-serif"/>
                <w:b w:val="false"/>
                <w:color w:val="201F1E"/>
                <w:sz w:val="20"/>
              </w:rPr>
              <w:t>Matt Anderson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7">
                <wp:simplePos x="0" y="0"/>
                <wp:positionH relativeFrom="character">
                  <wp:align>left</wp:align>
                </wp:positionH>
                <wp:positionV relativeFrom="line">
                  <wp:posOffset>635</wp:posOffset>
                </wp:positionV>
                <wp:extent cx="6480175" cy="175260"/>
                <wp:effectExtent l="0" t="0" r="0" b="0"/>
                <wp:wrapNone/>
                <wp:docPr id="126" name="Frame11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386" w:before="0" w:after="0"/>
        <w:jc w:val="right"/>
        <w:rPr>
          <w:rFonts w:ascii="Times New Roman;sans-serif" w:hAnsi="Times New Roman;sans-serif"/>
          <w:b/>
          <w:color w:val="000000"/>
          <w:sz w:val="20"/>
        </w:rPr>
      </w:pPr>
      <w:r>
        <w:rPr>
          <w:rFonts w:ascii="Times New Roman;sans-serif" w:hAnsi="Times New Roman;sans-serif"/>
          <w:b/>
          <w:color w:val="000000"/>
          <w:sz w:val="20"/>
        </w:rPr>
        <w:t>EXHIBIT 32.1</w:t>
      </w:r>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EXECUTIVE OFFICER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AS ADOPTED PURSUANT TO SECTION 906 </w:t>
        <w:br/>
        <w:t>OF THE SARBANES-OXLEY ACT OF 2002</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333"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Nextdoor Holdings, Inc. (the “Company”) on Form 10-Q for the quarter ended March 31, 2024,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pStyle w:val="TextBody"/>
        <w:bidi w:val="0"/>
        <w:spacing w:lineRule="auto" w:line="333"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33"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8348"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471"/>
        <w:gridCol w:w="471"/>
        <w:gridCol w:w="478"/>
        <w:gridCol w:w="1435"/>
        <w:gridCol w:w="1435"/>
        <w:gridCol w:w="2037"/>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1" w:type="dxa"/>
            <w:tcBorders/>
            <w:vAlign w:val="center"/>
          </w:tcPr>
          <w:p>
            <w:pPr>
              <w:pStyle w:val="TableContents"/>
              <w:bidi w:val="0"/>
              <w:spacing w:before="0" w:after="283"/>
              <w:jc w:val="left"/>
              <w:rPr>
                <w:sz w:val="4"/>
                <w:szCs w:val="4"/>
              </w:rPr>
            </w:pPr>
            <w:r>
              <w:rPr>
                <w:sz w:val="4"/>
                <w:szCs w:val="4"/>
              </w:rPr>
            </w:r>
          </w:p>
        </w:tc>
        <w:tc>
          <w:tcPr>
            <w:tcW w:w="478"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1435" w:type="dxa"/>
            <w:tcBorders/>
            <w:vAlign w:val="center"/>
          </w:tcPr>
          <w:p>
            <w:pPr>
              <w:pStyle w:val="TableContents"/>
              <w:bidi w:val="0"/>
              <w:spacing w:before="0" w:after="283"/>
              <w:jc w:val="left"/>
              <w:rPr>
                <w:sz w:val="4"/>
                <w:szCs w:val="4"/>
              </w:rPr>
            </w:pPr>
            <w:r>
              <w:rPr>
                <w:sz w:val="4"/>
                <w:szCs w:val="4"/>
              </w:rPr>
            </w:r>
          </w:p>
        </w:tc>
        <w:tc>
          <w:tcPr>
            <w:tcW w:w="2037"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4907"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333" w:before="53" w:after="30"/>
              <w:jc w:val="left"/>
              <w:rPr/>
            </w:pPr>
            <w:r>
              <w:rPr>
                <w:rFonts w:ascii="Times New Roman;sans-serif" w:hAnsi="Times New Roman;sans-serif"/>
                <w:b w:val="false"/>
                <w:color w:val="000000"/>
                <w:sz w:val="24"/>
              </w:rPr>
              <w:t>/s/</w:t>
            </w:r>
            <w:r>
              <w:rPr>
                <w:color w:val="000000"/>
              </w:rPr>
              <w:t xml:space="preserve"> </w:t>
            </w:r>
            <w:r>
              <w:rPr>
                <w:rFonts w:ascii="Times New Roman;sans-serif" w:hAnsi="Times New Roman;sans-serif"/>
                <w:b w:val="false"/>
                <w:i/>
                <w:color w:val="000000"/>
                <w:sz w:val="20"/>
              </w:rPr>
              <w:t>Sarah Friar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Sarah Friar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27"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Executive Officer, President and Chairperson of the Board of Directors</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2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90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right"/>
        <w:rPr/>
      </w:pPr>
      <w:r>
        <w:rPr/>
      </w:r>
      <w:r>
        <mc:AlternateContent>
          <mc:Choice Requires="wps">
            <w:drawing>
              <wp:anchor behindDoc="0" distT="0" distB="0" distL="0" distR="0" simplePos="0" locked="0" layoutInCell="1" allowOverlap="1" relativeHeight="128">
                <wp:simplePos x="0" y="0"/>
                <wp:positionH relativeFrom="character">
                  <wp:align>left</wp:align>
                </wp:positionH>
                <wp:positionV relativeFrom="line">
                  <wp:posOffset>635</wp:posOffset>
                </wp:positionV>
                <wp:extent cx="6480175" cy="175260"/>
                <wp:effectExtent l="0" t="0" r="0" b="0"/>
                <wp:wrapNone/>
                <wp:docPr id="127" name="Frame12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481.35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448" w:before="0" w:after="0"/>
        <w:jc w:val="right"/>
        <w:rPr>
          <w:rFonts w:ascii="Times New Roman;sans-serif" w:hAnsi="Times New Roman;sans-serif"/>
          <w:b/>
          <w:color w:val="000000"/>
          <w:sz w:val="20"/>
        </w:rPr>
      </w:pPr>
      <w:r>
        <w:rPr>
          <w:rFonts w:ascii="Times New Roman;sans-serif" w:hAnsi="Times New Roman;sans-serif"/>
          <w:b/>
          <w:color w:val="000000"/>
          <w:sz w:val="20"/>
        </w:rPr>
        <w:t>EXHIBIT 32.2</w:t>
      </w:r>
    </w:p>
    <w:p>
      <w:pPr>
        <w:pStyle w:val="TextBody"/>
        <w:bidi w:val="0"/>
        <w:spacing w:before="0" w:after="0"/>
        <w:jc w:val="right"/>
        <w:rPr/>
      </w:pPr>
      <w:r>
        <w:rPr/>
      </w:r>
    </w:p>
    <w:p>
      <w:pPr>
        <w:pStyle w:val="TextBody"/>
        <w:bidi w:val="0"/>
        <w:spacing w:before="0" w:after="0"/>
        <w:jc w:val="right"/>
        <w:rPr/>
      </w:pPr>
      <w:r>
        <w:rPr/>
      </w:r>
    </w:p>
    <w:p>
      <w:pPr>
        <w:pStyle w:val="TextBody"/>
        <w:bidi w:val="0"/>
        <w:spacing w:lineRule="auto" w:line="386" w:before="0" w:after="0"/>
        <w:jc w:val="center"/>
        <w:rPr>
          <w:rFonts w:ascii="Times New Roman;sans-serif" w:hAnsi="Times New Roman;sans-serif"/>
          <w:b/>
          <w:color w:val="000000"/>
          <w:sz w:val="20"/>
        </w:rPr>
      </w:pPr>
      <w:r>
        <w:rPr>
          <w:rFonts w:ascii="Times New Roman;sans-serif" w:hAnsi="Times New Roman;sans-serif"/>
          <w:b/>
          <w:color w:val="000000"/>
          <w:sz w:val="20"/>
        </w:rPr>
        <w:t>CERTIFICATION OF CHIEF FINANCIAL OFFICER PURSUANT TO</w:t>
      </w:r>
    </w:p>
    <w:p>
      <w:pPr>
        <w:pStyle w:val="TextBody"/>
        <w:bidi w:val="0"/>
        <w:spacing w:lineRule="auto" w:line="333" w:before="0" w:after="0"/>
        <w:jc w:val="center"/>
        <w:rPr>
          <w:rFonts w:ascii="Times New Roman;sans-serif" w:hAnsi="Times New Roman;sans-serif"/>
          <w:b/>
          <w:color w:val="000000"/>
          <w:sz w:val="20"/>
        </w:rPr>
      </w:pPr>
      <w:r>
        <w:rPr>
          <w:rFonts w:ascii="Times New Roman;sans-serif" w:hAnsi="Times New Roman;sans-serif"/>
          <w:b/>
          <w:color w:val="000000"/>
          <w:sz w:val="20"/>
        </w:rPr>
        <w:t xml:space="preserve">18 U.S.C. SECTION 1350, AS ADOPTED PURSUANT TO SECTION 906 </w:t>
        <w:br/>
        <w:t>OF THE SARBANES-OXLEY ACT OF 2002</w:t>
      </w:r>
    </w:p>
    <w:p>
      <w:pPr>
        <w:pStyle w:val="TextBody"/>
        <w:bidi w:val="0"/>
        <w:spacing w:before="0" w:after="0"/>
        <w:jc w:val="left"/>
        <w:rPr/>
      </w:pPr>
      <w:r>
        <w:rPr/>
      </w:r>
    </w:p>
    <w:p>
      <w:pPr>
        <w:pStyle w:val="TextBody"/>
        <w:bidi w:val="0"/>
        <w:spacing w:before="0" w:after="240"/>
        <w:jc w:val="left"/>
        <w:rPr/>
      </w:pPr>
      <w:r>
        <w:rPr/>
      </w:r>
    </w:p>
    <w:p>
      <w:pPr>
        <w:pStyle w:val="TextBody"/>
        <w:bidi w:val="0"/>
        <w:spacing w:lineRule="auto" w:line="386" w:before="0" w:after="240"/>
        <w:jc w:val="left"/>
        <w:rPr>
          <w:rFonts w:ascii="Times New Roman;sans-serif" w:hAnsi="Times New Roman;sans-serif"/>
          <w:b w:val="false"/>
          <w:color w:val="000000"/>
          <w:sz w:val="20"/>
        </w:rPr>
      </w:pPr>
      <w:r>
        <w:rPr>
          <w:rFonts w:ascii="Times New Roman;sans-serif" w:hAnsi="Times New Roman;sans-serif"/>
          <w:b w:val="false"/>
          <w:color w:val="000000"/>
          <w:sz w:val="20"/>
        </w:rPr>
        <w:t>In connection with the Quarterly Report of Nextdoor Holdings, Inc. (the “Company”) on Form 10-Q for the quarter ended March 31, 2024, as filed with the Securities and Exchange Commission on the date hereof (the “Report”), I certify, pursuant to Rule 13a-14(b) of the Securities Exchange Act of 1934, as amended (the “Exchange Act”), and 18 U.S.C. Section 1350, as adopted pursuant to Section 906 of the Sarbanes-Oxley Act of 2002, that, to the best of my knowledge:</w:t>
      </w:r>
    </w:p>
    <w:p>
      <w:pPr>
        <w:pStyle w:val="TextBody"/>
        <w:bidi w:val="0"/>
        <w:spacing w:lineRule="auto" w:line="386" w:before="0" w:after="24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(1)the Report fully complies with the requirements of Section 13(a) or 15(d) of the Securities Exchange Act of 1934; and</w:t>
      </w:r>
    </w:p>
    <w:p>
      <w:pPr>
        <w:pStyle w:val="TextBody"/>
        <w:bidi w:val="0"/>
        <w:spacing w:lineRule="auto" w:line="386" w:before="0" w:after="0"/>
        <w:ind w:left="0" w:right="0" w:hanging="360"/>
        <w:jc w:val="left"/>
        <w:rPr>
          <w:rFonts w:ascii="Times New Roman;sans-serif" w:hAnsi="Times New Roman;sans-serif"/>
          <w:b w:val="false"/>
          <w:color w:val="000000"/>
          <w:sz w:val="20"/>
        </w:rPr>
      </w:pPr>
      <w:r>
        <w:rPr>
          <w:rFonts w:ascii="Times New Roman;sans-serif" w:hAnsi="Times New Roman;sans-serif"/>
          <w:b w:val="false"/>
          <w:color w:val="000000"/>
          <w:sz w:val="20"/>
        </w:rPr>
        <w:t>(2)the information contained in the Report fairly presents, in all material respects, the financial condition and results of operations of the Company.</w:t>
      </w:r>
    </w:p>
    <w:p>
      <w:pPr>
        <w:pStyle w:val="TextBody"/>
        <w:bidi w:val="0"/>
        <w:spacing w:before="0" w:after="0"/>
        <w:jc w:val="left"/>
        <w:rPr/>
      </w:pPr>
      <w:r>
        <w:rPr/>
      </w:r>
    </w:p>
    <w:p>
      <w:pPr>
        <w:pStyle w:val="TextBody"/>
        <w:bidi w:val="0"/>
        <w:spacing w:before="0" w:after="0"/>
        <w:jc w:val="left"/>
        <w:rPr/>
      </w:pPr>
      <w:r>
        <w:rPr/>
      </w:r>
    </w:p>
    <w:tbl>
      <w:tblPr>
        <w:tblW w:w="5170" w:type="dxa"/>
        <w:jc w:val="left"/>
        <w:tblInd w:w="0" w:type="dxa"/>
        <w:tblLayout w:type="fixed"/>
        <w:tblCellMar>
          <w:top w:w="28" w:type="dxa"/>
          <w:left w:w="28" w:type="dxa"/>
          <w:bottom w:w="28" w:type="dxa"/>
          <w:right w:w="28" w:type="dxa"/>
        </w:tblCellMar>
      </w:tblPr>
      <w:tblGrid>
        <w:gridCol w:w="200"/>
        <w:gridCol w:w="177"/>
        <w:gridCol w:w="178"/>
        <w:gridCol w:w="379"/>
        <w:gridCol w:w="379"/>
        <w:gridCol w:w="381"/>
        <w:gridCol w:w="109"/>
        <w:gridCol w:w="109"/>
        <w:gridCol w:w="109"/>
        <w:gridCol w:w="210"/>
        <w:gridCol w:w="210"/>
        <w:gridCol w:w="213"/>
        <w:gridCol w:w="735"/>
        <w:gridCol w:w="735"/>
        <w:gridCol w:w="1046"/>
      </w:tblGrid>
      <w:tr>
        <w:trPr/>
        <w:tc>
          <w:tcPr>
            <w:tcW w:w="200" w:type="dxa"/>
            <w:tcBorders/>
            <w:vAlign w:val="center"/>
          </w:tcPr>
          <w:p>
            <w:pPr>
              <w:pStyle w:val="TableContents"/>
              <w:bidi w:val="0"/>
              <w:spacing w:before="0" w:after="283"/>
              <w:jc w:val="left"/>
              <w:rPr>
                <w:sz w:val="4"/>
                <w:szCs w:val="4"/>
              </w:rPr>
            </w:pPr>
            <w:r>
              <w:rPr>
                <w:sz w:val="4"/>
                <w:szCs w:val="4"/>
              </w:rPr>
            </w:r>
          </w:p>
        </w:tc>
        <w:tc>
          <w:tcPr>
            <w:tcW w:w="177"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79" w:type="dxa"/>
            <w:tcBorders/>
            <w:vAlign w:val="center"/>
          </w:tcPr>
          <w:p>
            <w:pPr>
              <w:pStyle w:val="TableContents"/>
              <w:bidi w:val="0"/>
              <w:spacing w:before="0" w:after="283"/>
              <w:jc w:val="left"/>
              <w:rPr>
                <w:sz w:val="4"/>
                <w:szCs w:val="4"/>
              </w:rPr>
            </w:pPr>
            <w:r>
              <w:rPr>
                <w:sz w:val="4"/>
                <w:szCs w:val="4"/>
              </w:rPr>
            </w:r>
          </w:p>
        </w:tc>
        <w:tc>
          <w:tcPr>
            <w:tcW w:w="38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0" w:type="dxa"/>
            <w:tcBorders/>
            <w:vAlign w:val="center"/>
          </w:tcPr>
          <w:p>
            <w:pPr>
              <w:pStyle w:val="TableContents"/>
              <w:bidi w:val="0"/>
              <w:spacing w:before="0" w:after="283"/>
              <w:jc w:val="left"/>
              <w:rPr>
                <w:sz w:val="4"/>
                <w:szCs w:val="4"/>
              </w:rPr>
            </w:pPr>
            <w:r>
              <w:rPr>
                <w:sz w:val="4"/>
                <w:szCs w:val="4"/>
              </w:rPr>
            </w:r>
          </w:p>
        </w:tc>
        <w:tc>
          <w:tcPr>
            <w:tcW w:w="213"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735" w:type="dxa"/>
            <w:tcBorders/>
            <w:vAlign w:val="center"/>
          </w:tcPr>
          <w:p>
            <w:pPr>
              <w:pStyle w:val="TableContents"/>
              <w:bidi w:val="0"/>
              <w:spacing w:before="0" w:after="283"/>
              <w:jc w:val="left"/>
              <w:rPr>
                <w:sz w:val="4"/>
                <w:szCs w:val="4"/>
              </w:rPr>
            </w:pPr>
            <w:r>
              <w:rPr>
                <w:sz w:val="4"/>
                <w:szCs w:val="4"/>
              </w:rPr>
            </w:r>
          </w:p>
        </w:tc>
        <w:tc>
          <w:tcPr>
            <w:tcW w:w="1046" w:type="dxa"/>
            <w:tcBorders/>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Date:</w:t>
            </w:r>
          </w:p>
        </w:tc>
        <w:tc>
          <w:tcPr>
            <w:tcW w:w="113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ans-serif" w:hAnsi="Times New Roman;sans-serif"/>
                <w:b w:val="false"/>
                <w:color w:val="000000"/>
                <w:sz w:val="20"/>
              </w:rPr>
            </w:pPr>
            <w:r>
              <w:rPr>
                <w:rFonts w:ascii="Times New Roman;sans-serif" w:hAnsi="Times New Roman;sans-serif"/>
                <w:b w:val="false"/>
                <w:color w:val="000000"/>
                <w:sz w:val="20"/>
              </w:rPr>
              <w:t>May 7, 2024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By:</w:t>
            </w:r>
          </w:p>
        </w:tc>
        <w:tc>
          <w:tcPr>
            <w:tcW w:w="2516"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ans-serif" w:hAnsi="Times New Roman;sans-serif"/>
                <w:b w:val="false"/>
                <w:i/>
                <w:color w:val="000000"/>
                <w:sz w:val="20"/>
              </w:rPr>
            </w:pPr>
            <w:r>
              <w:rPr>
                <w:rFonts w:ascii="Times New Roman;sans-serif" w:hAnsi="Times New Roman;sans-serif"/>
                <w:b w:val="false"/>
                <w:i/>
                <w:color w:val="000000"/>
                <w:sz w:val="20"/>
              </w:rPr>
              <w:t>/s/ Matt Anderson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Matt Anderson</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149" w:type="dxa"/>
            <w:gridSpan w:val="6"/>
            <w:tcBorders/>
            <w:tcMar>
              <w:top w:w="0" w:type="dxa"/>
              <w:left w:w="0" w:type="dxa"/>
              <w:bottom w:w="0" w:type="dxa"/>
              <w:right w:w="0" w:type="dxa"/>
            </w:tcMar>
            <w:vAlign w:val="center"/>
          </w:tcPr>
          <w:p>
            <w:pPr>
              <w:pStyle w:val="TableContents"/>
              <w:bidi w:val="0"/>
              <w:spacing w:lineRule="auto" w:line="240" w:before="0" w:after="283"/>
              <w:jc w:val="left"/>
              <w:rPr>
                <w:rFonts w:ascii="Times New Roman;sans-serif" w:hAnsi="Times New Roman;sans-serif"/>
                <w:b w:val="false"/>
                <w:color w:val="000000"/>
                <w:sz w:val="20"/>
              </w:rPr>
            </w:pPr>
            <w:r>
              <w:rPr>
                <w:rFonts w:ascii="Times New Roman;sans-serif" w:hAnsi="Times New Roman;sans-serif"/>
                <w:b w:val="false"/>
                <w:color w:val="000000"/>
                <w:sz w:val="20"/>
              </w:rPr>
              <w:t>Chief Financial Officer and Treasurer</w:t>
            </w:r>
          </w:p>
        </w:tc>
      </w:tr>
      <w:tr>
        <w:trPr/>
        <w:tc>
          <w:tcPr>
            <w:tcW w:w="555"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13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3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1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20" w:after="283"/>
        <w:jc w:val="left"/>
        <w:rPr/>
      </w:pPr>
      <w:r>
        <w:rPr/>
      </w:r>
    </w:p>
    <w:p>
      <w:pPr>
        <w:pStyle w:val="TextBody"/>
        <w:bidi w:val="0"/>
        <w:spacing w:before="0" w:after="283"/>
        <w:jc w:val="left"/>
        <w:rPr/>
      </w:pPr>
      <w:r>
        <w:rPr/>
      </w:r>
      <w:r>
        <mc:AlternateContent>
          <mc:Choice Requires="wps">
            <w:drawing>
              <wp:anchor behindDoc="0" distT="0" distB="0" distL="0" distR="0" simplePos="0" locked="0" layoutInCell="1" allowOverlap="1" relativeHeight="129">
                <wp:simplePos x="0" y="0"/>
                <wp:positionH relativeFrom="character">
                  <wp:align>left</wp:align>
                </wp:positionH>
                <wp:positionV relativeFrom="line">
                  <wp:posOffset>635</wp:posOffset>
                </wp:positionV>
                <wp:extent cx="6480175" cy="175260"/>
                <wp:effectExtent l="0" t="0" r="0" b="0"/>
                <wp:wrapNone/>
                <wp:docPr id="128" name="Frame12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ans-serif"/>
    <w:charset w:val="01"/>
    <w:family w:val="auto"/>
    <w:pitch w:val="default"/>
  </w:font>
  <w:font w:name="Lato">
    <w:altName w:val="sans-serif"/>
    <w:charset w:val="01"/>
    <w:family w:val="auto"/>
    <w:pitch w:val="default"/>
  </w:font>
  <w:font w:name="Arial">
    <w:altName w:val="sans-serif"/>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png"/><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61</Pages>
  <Words>63589</Words>
  <Characters>349513</Characters>
  <CharactersWithSpaces>411833</CharactersWithSpaces>
  <Paragraphs>3036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