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(Mark One)</w:t>
      </w:r>
    </w:p>
    <w:tbl>
      <w:tblPr>
        <w:tblW w:w="9075" w:type="dxa"/>
        <w:jc w:val="center"/>
        <w:tblInd w:w="0" w:type="dxa"/>
        <w:tblLayout w:type="fixed"/>
        <w:tblCellMar>
          <w:top w:w="28" w:type="dxa"/>
          <w:left w:w="28" w:type="dxa"/>
          <w:bottom w:w="28" w:type="dxa"/>
          <w:right w:w="28" w:type="dxa"/>
        </w:tblCellMar>
      </w:tblPr>
      <w:tblGrid>
        <w:gridCol w:w="141"/>
        <w:gridCol w:w="124"/>
        <w:gridCol w:w="126"/>
        <w:gridCol w:w="2538"/>
        <w:gridCol w:w="2538"/>
        <w:gridCol w:w="36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quarterly period ended March 31, 2026</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 the transition period from to </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Commission file number 001-40246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Nextdoor Holdings,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156" w:type="dxa"/>
        <w:jc w:val="left"/>
        <w:tblInd w:w="0" w:type="dxa"/>
        <w:tblLayout w:type="fixed"/>
        <w:tblCellMar>
          <w:top w:w="28" w:type="dxa"/>
          <w:left w:w="28" w:type="dxa"/>
          <w:bottom w:w="28" w:type="dxa"/>
          <w:right w:w="28" w:type="dxa"/>
        </w:tblCellMar>
      </w:tblPr>
      <w:tblGrid>
        <w:gridCol w:w="1091"/>
        <w:gridCol w:w="957"/>
        <w:gridCol w:w="967"/>
        <w:gridCol w:w="109"/>
        <w:gridCol w:w="109"/>
        <w:gridCol w:w="109"/>
        <w:gridCol w:w="528"/>
        <w:gridCol w:w="528"/>
        <w:gridCol w:w="758"/>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86-1776836</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(State or Other Jurisdiction of</w:t>
            </w:r>
          </w:p>
          <w:p>
            <w:pPr>
              <w:pStyle w:val="TableContents"/>
              <w:bidi w:val="0"/>
              <w:spacing w:lineRule="auto" w:line="24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(I.R.S. Employer</w:t>
            </w:r>
          </w:p>
          <w:p>
            <w:pPr>
              <w:pStyle w:val="TableContents"/>
              <w:bidi w:val="0"/>
              <w:spacing w:lineRule="auto" w:line="24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Identification Number)</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420 Taylor Street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San Francisco, California</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94102</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5156" w:type="dxa"/>
            <w:gridSpan w:val="9"/>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(415) 344-0333</w:t>
            </w:r>
          </w:p>
          <w:p>
            <w:pPr>
              <w:pStyle w:val="TableContents"/>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bl>
    <w:tbl>
      <w:tblPr>
        <w:tblW w:w="8384" w:type="dxa"/>
        <w:jc w:val="left"/>
        <w:tblInd w:w="0" w:type="dxa"/>
        <w:tblLayout w:type="fixed"/>
        <w:tblCellMar>
          <w:top w:w="28" w:type="dxa"/>
          <w:left w:w="28" w:type="dxa"/>
          <w:bottom w:w="28" w:type="dxa"/>
          <w:right w:w="28" w:type="dxa"/>
        </w:tblCellMar>
      </w:tblPr>
      <w:tblGrid>
        <w:gridCol w:w="1354"/>
        <w:gridCol w:w="1182"/>
        <w:gridCol w:w="1199"/>
        <w:gridCol w:w="474"/>
        <w:gridCol w:w="474"/>
        <w:gridCol w:w="476"/>
        <w:gridCol w:w="945"/>
        <w:gridCol w:w="945"/>
        <w:gridCol w:w="1335"/>
      </w:tblGrid>
      <w:tr>
        <w:trPr/>
        <w:tc>
          <w:tcPr>
            <w:tcW w:w="135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7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$0.0001 per share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NXDR</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345"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   No  ☐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64"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before="0" w:after="180"/>
        <w:jc w:val="left"/>
        <w:rPr/>
      </w:pPr>
      <w:r>
        <w:rPr/>
      </w:r>
    </w:p>
    <w:p>
      <w:pPr>
        <w:pStyle w:val="TextBody"/>
        <w:bidi w:val="0"/>
        <w:spacing w:lineRule="auto" w:line="345" w:before="0" w:after="180"/>
        <w:jc w:val="both"/>
        <w:rPr>
          <w:rFonts w:ascii="Times New Roman;serif" w:hAnsi="Times New Roman;serif"/>
          <w:b w:val="false"/>
          <w:color w:val="000000"/>
          <w:sz w:val="16"/>
        </w:rPr>
      </w:pPr>
      <w:r>
        <w:rPr>
          <w:rFonts w:ascii="Times New Roman;serif" w:hAnsi="Times New Roman;serif"/>
          <w:b w:val="false"/>
          <w:color w:val="000000"/>
          <w:sz w:val="16"/>
        </w:rPr>
        <w:t xml:space="preserve">As of May 4, 2026, there were 253,892,530 shares of the registrant’s Class A common stock outstanding and 127,495,195 shares of the registrant’s Class B common stock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83"/>
        <w:gridCol w:w="687"/>
        <w:gridCol w:w="687"/>
        <w:gridCol w:w="2518"/>
        <w:gridCol w:w="2471"/>
        <w:gridCol w:w="2516"/>
        <w:gridCol w:w="158"/>
        <w:gridCol w:w="158"/>
        <w:gridCol w:w="227"/>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24e2b2a891b4d719816f3ae255292e2_13">
              <w:r>
                <w:rPr>
                  <w:rStyle w:val="InternetLink"/>
                  <w:rFonts w:ascii="Times New Roman;serif" w:hAnsi="Times New Roman;serif"/>
                  <w:b w:val="false"/>
                  <w:color w:val="0000FF"/>
                  <w:sz w:val="20"/>
                  <w:u w:val="single"/>
                </w:rPr>
                <w:t>Special Note Regarding Forward-Looking Statements</w:t>
              </w:r>
            </w:hyperlink>
          </w:p>
        </w:tc>
        <w:tc>
          <w:tcPr>
            <w:tcW w:w="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d24e2b2a891b4d719816f3ae255292e2_13">
              <w:r>
                <w:rPr>
                  <w:rStyle w:val="InternetLink"/>
                  <w:rFonts w:ascii="Times New Roman;serif" w:hAnsi="Times New Roman;serif"/>
                  <w:b w:val="false"/>
                  <w:color w:val="0000FF"/>
                  <w:sz w:val="20"/>
                  <w:u w:val="single"/>
                </w:rPr>
                <w:t>2</w:t>
              </w:r>
            </w:hyperlink>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24e2b2a891b4d719816f3ae255292e2_16">
              <w:r>
                <w:rPr>
                  <w:rStyle w:val="InternetLink"/>
                  <w:rFonts w:ascii="Times New Roman;serif" w:hAnsi="Times New Roman;serif"/>
                  <w:b w:val="false"/>
                  <w:color w:val="0000FF"/>
                  <w:sz w:val="20"/>
                  <w:u w:val="single"/>
                </w:rPr>
                <w:t>Risk Factor Summary</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16">
              <w:r>
                <w:rPr>
                  <w:rStyle w:val="InternetLink"/>
                  <w:rFonts w:ascii="Times New Roman;serif" w:hAnsi="Times New Roman;serif"/>
                  <w:b w:val="false"/>
                  <w:color w:val="0000FF"/>
                  <w:sz w:val="20"/>
                  <w:u w:val="single"/>
                </w:rPr>
                <w:t>4</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19">
              <w:r>
                <w:rPr>
                  <w:rStyle w:val="InternetLink"/>
                  <w:rFonts w:ascii="Times New Roman;serif" w:hAnsi="Times New Roman;serif"/>
                  <w:b w:val="false"/>
                  <w:color w:val="0000FF"/>
                  <w:sz w:val="20"/>
                  <w:u w:val="single"/>
                </w:rPr>
                <w:t>Part I - Financial Information</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4e2b2a891b4d719816f3ae255292e2_22">
              <w:r>
                <w:rPr>
                  <w:rStyle w:val="InternetLink"/>
                  <w:rFonts w:ascii="Times New Roman;serif" w:hAnsi="Times New Roman;serif"/>
                  <w:b w:val="false"/>
                  <w:color w:val="0000FF"/>
                  <w:sz w:val="20"/>
                  <w:u w:val="single"/>
                </w:rPr>
                <w:t>Financial Statements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22">
              <w:r>
                <w:rPr>
                  <w:rStyle w:val="InternetLink"/>
                  <w:rFonts w:ascii="Times New Roman;serif" w:hAnsi="Times New Roman;serif"/>
                  <w:b w:val="false"/>
                  <w:color w:val="0000FF"/>
                  <w:sz w:val="20"/>
                  <w:u w:val="single"/>
                </w:rPr>
                <w:t>6</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4e2b2a891b4d719816f3ae255292e2_25">
              <w:r>
                <w:rPr>
                  <w:rStyle w:val="InternetLink"/>
                  <w:rFonts w:ascii="Times New Roman;serif" w:hAnsi="Times New Roman;serif"/>
                  <w:b w:val="false"/>
                  <w:color w:val="0000FF"/>
                  <w:sz w:val="20"/>
                  <w:u w:val="single"/>
                </w:rPr>
                <w:t>Condensed Consolidated Balance Sheets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25">
              <w:r>
                <w:rPr>
                  <w:rStyle w:val="InternetLink"/>
                  <w:rFonts w:ascii="Times New Roman;serif" w:hAnsi="Times New Roman;serif"/>
                  <w:b w:val="false"/>
                  <w:color w:val="0000FF"/>
                  <w:sz w:val="20"/>
                  <w:u w:val="single"/>
                </w:rPr>
                <w:t>6</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4e2b2a891b4d719816f3ae255292e2_31">
              <w:r>
                <w:rPr>
                  <w:rStyle w:val="InternetLink"/>
                  <w:rFonts w:ascii="Times New Roman;serif" w:hAnsi="Times New Roman;serif"/>
                  <w:b w:val="false"/>
                  <w:color w:val="0000FF"/>
                  <w:sz w:val="20"/>
                  <w:u w:val="single"/>
                </w:rPr>
                <w:t>Condensed Consolidated Statements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31">
              <w:r>
                <w:rPr>
                  <w:rStyle w:val="InternetLink"/>
                  <w:rFonts w:ascii="Times New Roman;serif" w:hAnsi="Times New Roman;serif"/>
                  <w:b w:val="false"/>
                  <w:color w:val="0000FF"/>
                  <w:sz w:val="20"/>
                  <w:u w:val="single"/>
                </w:rPr>
                <w:t>7</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4e2b2a891b4d719816f3ae255292e2_34">
              <w:r>
                <w:rPr>
                  <w:rStyle w:val="InternetLink"/>
                  <w:rFonts w:ascii="Times New Roman;serif" w:hAnsi="Times New Roman;serif"/>
                  <w:b w:val="false"/>
                  <w:color w:val="0000FF"/>
                  <w:sz w:val="20"/>
                  <w:u w:val="single"/>
                </w:rPr>
                <w:t>Condensed Consolidated Statements of Comprehensive Loss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34">
              <w:r>
                <w:rPr>
                  <w:rStyle w:val="InternetLink"/>
                  <w:rFonts w:ascii="Times New Roman;serif" w:hAnsi="Times New Roman;serif"/>
                  <w:b w:val="false"/>
                  <w:color w:val="0000FF"/>
                  <w:sz w:val="20"/>
                  <w:u w:val="single"/>
                </w:rPr>
                <w:t>8</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4e2b2a891b4d719816f3ae255292e2_37">
              <w:r>
                <w:rPr>
                  <w:rStyle w:val="InternetLink"/>
                  <w:rFonts w:ascii="Times New Roman;serif" w:hAnsi="Times New Roman;serif"/>
                  <w:b w:val="false"/>
                  <w:color w:val="0000FF"/>
                  <w:sz w:val="20"/>
                  <w:u w:val="single"/>
                </w:rPr>
                <w:t>Condensed Consolidated Statements of Stockholders’ Equity</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37">
              <w:r>
                <w:rPr>
                  <w:rStyle w:val="InternetLink"/>
                  <w:rFonts w:ascii="Times New Roman;serif" w:hAnsi="Times New Roman;serif"/>
                  <w:b w:val="false"/>
                  <w:color w:val="0000FF"/>
                  <w:sz w:val="20"/>
                  <w:u w:val="single"/>
                </w:rPr>
                <w:t>9</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4e2b2a891b4d719816f3ae255292e2_40">
              <w:r>
                <w:rPr>
                  <w:rStyle w:val="InternetLink"/>
                  <w:rFonts w:ascii="Times New Roman;serif" w:hAnsi="Times New Roman;serif"/>
                  <w:b w:val="false"/>
                  <w:color w:val="0000FF"/>
                  <w:sz w:val="20"/>
                  <w:u w:val="single"/>
                </w:rPr>
                <w:t>Condensed Consolidated Statements of Cash Flows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40">
              <w:r>
                <w:rPr>
                  <w:rStyle w:val="InternetLink"/>
                  <w:rFonts w:ascii="Times New Roman;serif" w:hAnsi="Times New Roman;serif"/>
                  <w:b w:val="false"/>
                  <w:color w:val="0000FF"/>
                  <w:sz w:val="20"/>
                  <w:u w:val="single"/>
                </w:rPr>
                <w:t>10</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4e2b2a891b4d719816f3ae255292e2_43">
              <w:r>
                <w:rPr>
                  <w:rStyle w:val="InternetLink"/>
                  <w:rFonts w:ascii="Times New Roman;serif" w:hAnsi="Times New Roman;serif"/>
                  <w:b w:val="false"/>
                  <w:color w:val="0000FF"/>
                  <w:sz w:val="20"/>
                  <w:u w:val="single"/>
                </w:rPr>
                <w:t>Notes to Condensed Consolidated 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43">
              <w:r>
                <w:rPr>
                  <w:rStyle w:val="InternetLink"/>
                  <w:rFonts w:ascii="Times New Roman;serif" w:hAnsi="Times New Roman;serif"/>
                  <w:b w:val="false"/>
                  <w:color w:val="0000FF"/>
                  <w:sz w:val="20"/>
                  <w:u w:val="single"/>
                </w:rPr>
                <w:t>11</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4e2b2a891b4d719816f3ae255292e2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88">
              <w:r>
                <w:rPr>
                  <w:rStyle w:val="InternetLink"/>
                  <w:rFonts w:ascii="Times New Roman;serif" w:hAnsi="Times New Roman;serif"/>
                  <w:b w:val="false"/>
                  <w:color w:val="0000FF"/>
                  <w:sz w:val="20"/>
                  <w:u w:val="single"/>
                </w:rPr>
                <w:t>20</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3. </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4e2b2a891b4d719816f3ae255292e2_118">
              <w:r>
                <w:rPr>
                  <w:rStyle w:val="InternetLink"/>
                  <w:rFonts w:ascii="Times New Roman;serif" w:hAnsi="Times New Roman;serif"/>
                  <w:b w:val="false"/>
                  <w:color w:val="0000FF"/>
                  <w:sz w:val="20"/>
                  <w:u w:val="single"/>
                </w:rPr>
                <w:t>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118">
              <w:r>
                <w:rPr>
                  <w:rStyle w:val="InternetLink"/>
                  <w:rFonts w:ascii="Times New Roman;serif" w:hAnsi="Times New Roman;serif"/>
                  <w:b w:val="false"/>
                  <w:color w:val="0000FF"/>
                  <w:sz w:val="20"/>
                  <w:u w:val="single"/>
                </w:rPr>
                <w:t>28</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4e2b2a891b4d719816f3ae255292e2_121">
              <w:r>
                <w:rPr>
                  <w:rStyle w:val="InternetLink"/>
                  <w:rFonts w:ascii="Times New Roman;serif" w:hAnsi="Times New Roman;serif"/>
                  <w:b w:val="false"/>
                  <w:color w:val="0000FF"/>
                  <w:sz w:val="20"/>
                  <w:u w:val="single"/>
                </w:rPr>
                <w:t>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121">
              <w:r>
                <w:rPr>
                  <w:rStyle w:val="InternetLink"/>
                  <w:rFonts w:ascii="Times New Roman;serif" w:hAnsi="Times New Roman;serif"/>
                  <w:b w:val="false"/>
                  <w:color w:val="0000FF"/>
                  <w:sz w:val="20"/>
                  <w:u w:val="single"/>
                </w:rPr>
                <w:t>28</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124">
              <w:r>
                <w:rPr>
                  <w:rStyle w:val="InternetLink"/>
                  <w:rFonts w:ascii="Times New Roman;serif" w:hAnsi="Times New Roman;serif"/>
                  <w:b w:val="false"/>
                  <w:color w:val="0000FF"/>
                  <w:sz w:val="20"/>
                  <w:u w:val="single"/>
                </w:rPr>
                <w:t>Part II - Other Information</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4e2b2a891b4d719816f3ae255292e2_127">
              <w:r>
                <w:rPr>
                  <w:rStyle w:val="InternetLink"/>
                  <w:rFonts w:ascii="Times New Roman;serif" w:hAnsi="Times New Roman;serif"/>
                  <w:b w:val="false"/>
                  <w:color w:val="0000FF"/>
                  <w:sz w:val="20"/>
                  <w:u w:val="single"/>
                </w:rPr>
                <w:t>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127">
              <w:r>
                <w:rPr>
                  <w:rStyle w:val="InternetLink"/>
                  <w:rFonts w:ascii="Times New Roman;serif" w:hAnsi="Times New Roman;serif"/>
                  <w:b w:val="false"/>
                  <w:color w:val="0000FF"/>
                  <w:sz w:val="20"/>
                  <w:u w:val="single"/>
                </w:rPr>
                <w:t>29</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FF"/>
                <w:sz w:val="20"/>
                <w:u w:val="single"/>
              </w:rPr>
              <w:t>R</w:t>
            </w:r>
            <w:hyperlink w:anchor="id24e2b2a891b4d719816f3ae255292e2_130">
              <w:r>
                <w:rPr>
                  <w:rStyle w:val="InternetLink"/>
                  <w:rFonts w:ascii="Times New Roman;serif" w:hAnsi="Times New Roman;serif"/>
                  <w:b w:val="false"/>
                  <w:color w:val="000080"/>
                  <w:sz w:val="20"/>
                  <w:u w:val="single"/>
                </w:rPr>
                <w:t>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130">
              <w:r>
                <w:rPr>
                  <w:rStyle w:val="InternetLink"/>
                  <w:rFonts w:ascii="Times New Roman;serif" w:hAnsi="Times New Roman;serif"/>
                  <w:b w:val="false"/>
                  <w:color w:val="0000FF"/>
                  <w:sz w:val="20"/>
                  <w:u w:val="single"/>
                </w:rPr>
                <w:t>29</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4e2b2a891b4d719816f3ae255292e2_133">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133">
              <w:r>
                <w:rPr>
                  <w:rStyle w:val="InternetLink"/>
                  <w:rFonts w:ascii="Times New Roman;serif" w:hAnsi="Times New Roman;serif"/>
                  <w:b w:val="false"/>
                  <w:color w:val="0000FF"/>
                  <w:sz w:val="20"/>
                  <w:u w:val="single"/>
                </w:rPr>
                <w:t>61</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4e2b2a891b4d719816f3ae255292e2_136">
              <w:r>
                <w:rPr>
                  <w:rStyle w:val="InternetLink"/>
                  <w:rFonts w:ascii="Times New Roman;serif" w:hAnsi="Times New Roman;serif"/>
                  <w:b w:val="false"/>
                  <w:color w:val="0000FF"/>
                  <w:sz w:val="20"/>
                  <w:u w:val="single"/>
                </w:rPr>
                <w:t>Defaults Upon Senior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136">
              <w:r>
                <w:rPr>
                  <w:rStyle w:val="InternetLink"/>
                  <w:rFonts w:ascii="Times New Roman;serif" w:hAnsi="Times New Roman;serif"/>
                  <w:b w:val="false"/>
                  <w:color w:val="0000FF"/>
                  <w:sz w:val="20"/>
                  <w:u w:val="single"/>
                </w:rPr>
                <w:t>62</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4e2b2a891b4d719816f3ae255292e2_139">
              <w:r>
                <w:rPr>
                  <w:rStyle w:val="InternetLink"/>
                  <w:rFonts w:ascii="Times New Roman;serif" w:hAnsi="Times New Roman;serif"/>
                  <w:b w:val="false"/>
                  <w:color w:val="0000FF"/>
                  <w:sz w:val="20"/>
                  <w:u w:val="single"/>
                </w:rPr>
                <w:t>Mine Safety Disclosures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139">
              <w:r>
                <w:rPr>
                  <w:rStyle w:val="InternetLink"/>
                  <w:rFonts w:ascii="Times New Roman;serif" w:hAnsi="Times New Roman;serif"/>
                  <w:b w:val="false"/>
                  <w:color w:val="0000FF"/>
                  <w:sz w:val="20"/>
                  <w:u w:val="single"/>
                </w:rPr>
                <w:t>62</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4e2b2a891b4d719816f3ae255292e2_142">
              <w:r>
                <w:rPr>
                  <w:rStyle w:val="InternetLink"/>
                  <w:rFonts w:ascii="Times New Roman;serif" w:hAnsi="Times New Roman;serif"/>
                  <w:b w:val="false"/>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142">
              <w:r>
                <w:rPr>
                  <w:rStyle w:val="InternetLink"/>
                  <w:rFonts w:ascii="Times New Roman;serif" w:hAnsi="Times New Roman;serif"/>
                  <w:b w:val="false"/>
                  <w:color w:val="0000FF"/>
                  <w:sz w:val="20"/>
                  <w:u w:val="single"/>
                </w:rPr>
                <w:t>62</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4e2b2a891b4d719816f3ae255292e2_148">
              <w:r>
                <w:rPr>
                  <w:rStyle w:val="InternetLink"/>
                  <w:rFonts w:ascii="Times New Roman;serif" w:hAnsi="Times New Roman;serif"/>
                  <w:b w:val="false"/>
                  <w:color w:val="0000FF"/>
                  <w:sz w:val="20"/>
                  <w:u w:val="single"/>
                </w:rPr>
                <w:t>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148">
              <w:r>
                <w:rPr>
                  <w:rStyle w:val="InternetLink"/>
                  <w:rFonts w:ascii="Times New Roman;serif" w:hAnsi="Times New Roman;serif"/>
                  <w:b w:val="false"/>
                  <w:color w:val="0000FF"/>
                  <w:sz w:val="20"/>
                  <w:u w:val="single"/>
                </w:rPr>
                <w:t>63</w:t>
              </w:r>
            </w:hyperlink>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24e2b2a891b4d719816f3ae255292e2_151">
              <w:r>
                <w:rPr>
                  <w:rStyle w:val="InternetLink"/>
                  <w:rFonts w:ascii="Times New Roman;serif" w:hAnsi="Times New Roman;serif"/>
                  <w:b w:val="false"/>
                  <w:color w:val="0000FF"/>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4e2b2a891b4d719816f3ae255292e2_151">
              <w:r>
                <w:rPr>
                  <w:rStyle w:val="InternetLink"/>
                  <w:rFonts w:ascii="Times New Roman;serif" w:hAnsi="Times New Roman;serif"/>
                  <w:b w:val="false"/>
                  <w:color w:val="0000FF"/>
                  <w:sz w:val="20"/>
                  <w:u w:val="single"/>
                </w:rPr>
                <w:t>64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w:t>
                      </w:r>
                    </w:p>
                  </w:txbxContent>
                </v:textbox>
                <w10:wrap type="none"/>
              </v:rect>
            </w:pict>
          </mc:Fallback>
        </mc:AlternateContent>
      </w:r>
    </w:p>
    <w:p>
      <w:pPr>
        <w:pStyle w:val="TextBody"/>
        <w:bidi w:val="0"/>
        <w:spacing w:lineRule="auto" w:line="288" w:before="0" w:after="180"/>
        <w:jc w:val="left"/>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0"/>
        <w:ind w:left="0" w:right="0" w:firstLine="720"/>
        <w:jc w:val="both"/>
        <w:rPr/>
      </w:pPr>
      <w:r>
        <w:rPr>
          <w:rFonts w:ascii="Times New Roman;serif" w:hAnsi="Times New Roman;serif"/>
          <w:b w:val="false"/>
          <w:color w:val="000000"/>
          <w:sz w:val="20"/>
        </w:rPr>
        <w:t>This Quarterly Report on Form 10-Q (“Quarterly Report”) contains forward-looking statements within the meaning of the federal securities laws. All statements contained in this Quarterly Report, other than statements of historical fact, including statements regarding our or our management team’s expectations, hopes, beliefs, intentions, strategies, future operating results and financial position, potential growth or growth prospects, are forward-looking statements. Words such as “believes,” “may,” “will,” “estimates,” “potential,” “continues,” “anticipates,” “intends,” “expects,” “could,” “would,” “projects,” “plans,” “targets,” and variations of such words and similar expressions are intended to identify forward-looking statements.</w:t>
      </w:r>
      <w:r>
        <w:rPr>
          <w:color w:val="000000"/>
        </w:rPr>
        <w:t xml:space="preserve"> </w:t>
      </w:r>
      <w:r>
        <w:rPr>
          <w:rFonts w:ascii="Times New Roman;serif" w:hAnsi="Times New Roman;serif"/>
          <w:b w:val="false"/>
          <w:color w:val="000000"/>
          <w:sz w:val="20"/>
        </w:rPr>
        <w:t>Forward-looking statements in this Quarterly Report may include, for example, statements about:</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anticipated growth, including our ability to scale new neighbor growth, our ability to grow engagement by our existing neighbor base and our ability to increase monetization of our platform;</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ability to scale our business and monetization efforts;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development of, or investment in, new products or enhancements to our platform, including as part of our new Nextdoor initiative;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political, economic, and macroeconomic climate, whether in the advertising industry in general, or among specific types of advertisers or within particular geographies, including but not limited to the impacts related to significant political, trade, or regulatory developments, turmoil in the global banking system, labor shortages, supply chain disruptions, a potential recession, a potential temporary federal government shutdown, inflation, and changing interest rates;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expand our business operations abroad by opening new and expanding within existing neighborhoods outside of the United States;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respond to general economic conditions;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invest in, and the ultimate success of, technologies, including artificial intelligence, aimed at enhancing our business solutions and delivering additional value to customers on our platform;</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ability to scale our business effectively;</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ability to achieve and maintain profitability in the future;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ability to access sources of capital to finance operations and growth;</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the success of strategic relationships with third parties;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ability to maintain the listing of our Class A common stock on the New York Stock Exchange;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changes in applicable laws or regulations, both within and outside of the United States;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the impact of the regulatory environment and complexities with compliance related to such environment;</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the inability to develop and maintain effective internal controls;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on our business as a result of interruptions, delays, or failures resulting from earthquakes, fires, floods, adverse weather conditions, other natural disasters, power loss, terrorism, pandemics, geopolitical conflict, other physical security threats, cyber-attacks, or other catastrophic events;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raise financing in the future;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success in retaining or recruiting, or changes required in, our officers, key employees, or directors;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financial performance;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p>
                  </w:txbxContent>
                </v:textbox>
                <w10:wrap type="none"/>
              </v:rect>
            </w:pict>
          </mc:Fallback>
        </mc:AlternateContent>
      </w:r>
    </w:p>
    <w:p>
      <w:pPr>
        <w:pStyle w:val="TextBody"/>
        <w:bidi w:val="0"/>
        <w:spacing w:lineRule="auto" w:line="288" w:before="0" w:after="180"/>
        <w:jc w:val="left"/>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other factors detailed in Part II, Item 1A, “Risk Factors” in this Quarterly Report.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as of the date of this filing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in this Quarterly Report. Readers are urged to carefully review and consider the various disclosures made in this Quarterly Report and in other documents we file from time to time with the Securities and Exchange Commission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Quarterly Report may not occur and actual results could differ materially and adversely from those anticipated or implied in the forward-looking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Quarterly Report are made as of the date of this filing, and we do not undertake, and expressly disclaim any duty, to update such statements for any reason after the date of this Quarterly Report or to conform statements to actual results or revised expectations, except as required by law.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and the documents that we reference herein and have filed with the SEC as exhibits to this Quarterly Report with the understanding that our actual future results, performance, and events and circumstances may be materially different from what we expect.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used in this Quarterly Report, the terms “Nextdoor,” “we,” “us,” “Registrant,” and “our” mean Nextdoor Holdings, Inc. and its subsidiaries unless the context indicates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w:t>
                      </w:r>
                    </w:p>
                  </w:txbxContent>
                </v:textbox>
                <w10:wrap type="none"/>
              </v:rect>
            </w:pict>
          </mc:Fallback>
        </mc:AlternateContent>
      </w:r>
    </w:p>
    <w:p>
      <w:pPr>
        <w:pStyle w:val="TextBody"/>
        <w:bidi w:val="0"/>
        <w:spacing w:lineRule="auto" w:line="288" w:before="0" w:after="180"/>
        <w:jc w:val="left"/>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those described in Part II, Item 1A, “Risk Factors” in this Quarterly Report. You should carefully consider these risks and uncertainties when investing in our Class A common stock. Some of the principal risks and uncertainties include the following:</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are still scaling up our monetization efforts, which makes it difficult to evaluate our current business and future prospects, and there is no assurance we will be able to scale our business for future growth.</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Adverse global economic and financial conditions could harm our business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currently generate substantially all of our revenue from advertising. If advertisers reduce or eliminate their spending with us, our business, operating results, and financial condition would be adversely impacted.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business is highly competitive. Competition presents an ongoing threat to the success of our business.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If we fail to scale our business effectively, our business, operating results, and financial condition would be adversely affected.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not be successful in our artificial intelligence (“AI”) initiatives, which could adversely affect our business, reputation, or financial results.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our efforts to build strong brand identity and reputation are not successful, we may not be able to attract or retain neighbors, and our business, operating results, and financial condition will be adversely affected.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business depends largely on our ability to attract,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are dependent on third-party software and service providers, including ads platforms and programmatic advertising partners, for management and delivery of certain advertisements on the Nextdoor platform. Any failure or interruption experienced by such third parties could result in the inability of certain businesses to advertise on our platform, and adversely impact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rely on third-party software and service providers, including Amazon Web Services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Technologies have been developed that can block the display of advertisements on the Nextdoor platform, which could adversely impact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Security breaches, including improper access to or disclosure of our data or our neighbors’ data, or other hacking and phishing attacks on our or third-party systems, could harm our reputation, adversely affect our business, and result in legal liability.</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Certain of our market opportunities and key metric estimates could prove to be inaccurate, and have been inaccurate in the past, and any real or perceived inaccuracies may harm our reputation and negatively affect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w:t>
                      </w:r>
                    </w:p>
                  </w:txbxContent>
                </v:textbox>
                <w10:wrap type="none"/>
              </v:rect>
            </w:pict>
          </mc:Fallback>
        </mc:AlternateContent>
      </w:r>
    </w:p>
    <w:p>
      <w:pPr>
        <w:pStyle w:val="TextBody"/>
        <w:bidi w:val="0"/>
        <w:spacing w:lineRule="auto" w:line="288" w:before="0" w:after="180"/>
        <w:jc w:val="left"/>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have greater than anticipated tax liabilities, which could harm our business, revenue and financial results.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liable as a result of content or information that is published or made available on our platform.</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business is subject to complex and evolving U.S. and foreign laws, regulations, and industry standards, many of which are subject to change and uncertain interpretations, which uncertainty could harm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are currently, and in the future may be, involved in legal disputes that are expensive and time consuming, and, if resolved adversely, could harm our business, operating results, and financial condition.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price of our Class A common stock has been and may continue to be volatile.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dual class structure of our common stock has the effect of concentrating voting power with our management and other existing stockholders, which will limit your ability to influence the outcome of important transactions, including a 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w:t>
                      </w:r>
                    </w:p>
                  </w:txbxContent>
                </v:textbox>
                <w10:wrap type="none"/>
              </v:rect>
            </w:pict>
          </mc:Fallback>
        </mc:AlternateContent>
      </w:r>
    </w:p>
    <w:p>
      <w:pPr>
        <w:pStyle w:val="TextBody"/>
        <w:bidi w:val="0"/>
        <w:spacing w:lineRule="auto" w:line="288" w:before="0" w:after="180"/>
        <w:jc w:val="left"/>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Nextdoor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789"/>
        <w:gridCol w:w="2288"/>
        <w:gridCol w:w="2246"/>
        <w:gridCol w:w="221"/>
        <w:gridCol w:w="866"/>
        <w:gridCol w:w="114"/>
        <w:gridCol w:w="109"/>
        <w:gridCol w:w="109"/>
        <w:gridCol w:w="109"/>
        <w:gridCol w:w="239"/>
        <w:gridCol w:w="938"/>
        <w:gridCol w:w="177"/>
      </w:tblGrid>
      <w:tr>
        <w:trPr/>
        <w:tc>
          <w:tcPr>
            <w:tcW w:w="2789"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7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Assets </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63,341 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$432 and $491 as of March 31, 2026 and December 31, 2025, respectively</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34,385 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448,239 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15,760 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486,803 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8,900 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20,550 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23,351 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2,500,000 shares authorized, 250,105 and 262,446 shares issued and outstanding as of March 31, 2026 and December 31, 2025, respectively</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common stock, $0.0001 par value; 500,000 shares authorized, 127,511 and 127,681 shares issued and outstanding as of March 31, 2026 and December 31, 2025, respectively</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1,330,804 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1,347,968 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(929,704)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(918,287)</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401,481 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431,283 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452,516 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486,803 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w:t>
                      </w:r>
                    </w:p>
                  </w:txbxContent>
                </v:textbox>
                <w10:wrap type="none"/>
              </v:rect>
            </w:pict>
          </mc:Fallback>
        </mc:AlternateContent>
      </w:r>
    </w:p>
    <w:p>
      <w:pPr>
        <w:pStyle w:val="TextBody"/>
        <w:bidi w:val="0"/>
        <w:spacing w:lineRule="auto" w:line="288" w:before="0" w:after="180"/>
        <w:jc w:val="left"/>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Nextdoor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715"/>
        <w:gridCol w:w="2235"/>
        <w:gridCol w:w="2263"/>
        <w:gridCol w:w="211"/>
        <w:gridCol w:w="771"/>
        <w:gridCol w:w="109"/>
        <w:gridCol w:w="109"/>
        <w:gridCol w:w="109"/>
        <w:gridCol w:w="109"/>
        <w:gridCol w:w="211"/>
        <w:gridCol w:w="771"/>
        <w:gridCol w:w="109"/>
        <w:gridCol w:w="109"/>
        <w:gridCol w:w="109"/>
        <w:gridCol w:w="109"/>
        <w:gridCol w:w="156"/>
      </w:tblGrid>
      <w:tr>
        <w:trPr/>
        <w:tc>
          <w:tcPr>
            <w:tcW w:w="2715"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Class A and Class B common stockholders,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computing net loss per share attributable to Class A and Class B common stockholders, basic and diluted</w:t>
            </w:r>
          </w:p>
        </w:tc>
        <w:tc>
          <w:tcPr>
            <w:tcW w:w="9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386,822 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384,335 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jc w:val="left"/>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Nextdoor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LOSS </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9249" w:type="dxa"/>
        <w:jc w:val="left"/>
        <w:tblInd w:w="0" w:type="dxa"/>
        <w:tblLayout w:type="fixed"/>
        <w:tblCellMar>
          <w:top w:w="28" w:type="dxa"/>
          <w:left w:w="28" w:type="dxa"/>
          <w:bottom w:w="28" w:type="dxa"/>
          <w:right w:w="28" w:type="dxa"/>
        </w:tblCellMar>
      </w:tblPr>
      <w:tblGrid>
        <w:gridCol w:w="2249"/>
        <w:gridCol w:w="1961"/>
        <w:gridCol w:w="1999"/>
        <w:gridCol w:w="211"/>
        <w:gridCol w:w="796"/>
        <w:gridCol w:w="109"/>
        <w:gridCol w:w="109"/>
        <w:gridCol w:w="109"/>
        <w:gridCol w:w="109"/>
        <w:gridCol w:w="211"/>
        <w:gridCol w:w="796"/>
        <w:gridCol w:w="109"/>
        <w:gridCol w:w="109"/>
        <w:gridCol w:w="109"/>
        <w:gridCol w:w="109"/>
        <w:gridCol w:w="154"/>
      </w:tblGrid>
      <w:tr>
        <w:trPr/>
        <w:tc>
          <w:tcPr>
            <w:tcW w:w="2249"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 (loss) on available-for-sale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Nextdoor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1790" w:type="dxa"/>
        <w:jc w:val="center"/>
        <w:tblInd w:w="0" w:type="dxa"/>
        <w:tblLayout w:type="fixed"/>
        <w:tblCellMar>
          <w:top w:w="28" w:type="dxa"/>
          <w:left w:w="28" w:type="dxa"/>
          <w:bottom w:w="28" w:type="dxa"/>
          <w:right w:w="28" w:type="dxa"/>
        </w:tblCellMar>
      </w:tblPr>
      <w:tblGrid>
        <w:gridCol w:w="649"/>
        <w:gridCol w:w="268"/>
        <w:gridCol w:w="269"/>
        <w:gridCol w:w="368"/>
        <w:gridCol w:w="368"/>
        <w:gridCol w:w="196"/>
        <w:gridCol w:w="109"/>
        <w:gridCol w:w="109"/>
        <w:gridCol w:w="109"/>
        <w:gridCol w:w="251"/>
        <w:gridCol w:w="331"/>
        <w:gridCol w:w="109"/>
        <w:gridCol w:w="109"/>
        <w:gridCol w:w="109"/>
        <w:gridCol w:w="109"/>
        <w:gridCol w:w="368"/>
        <w:gridCol w:w="368"/>
        <w:gridCol w:w="196"/>
        <w:gridCol w:w="109"/>
        <w:gridCol w:w="109"/>
        <w:gridCol w:w="109"/>
        <w:gridCol w:w="251"/>
        <w:gridCol w:w="331"/>
        <w:gridCol w:w="109"/>
        <w:gridCol w:w="109"/>
        <w:gridCol w:w="109"/>
        <w:gridCol w:w="109"/>
        <w:gridCol w:w="196"/>
        <w:gridCol w:w="871"/>
        <w:gridCol w:w="109"/>
        <w:gridCol w:w="109"/>
        <w:gridCol w:w="109"/>
        <w:gridCol w:w="109"/>
        <w:gridCol w:w="276"/>
        <w:gridCol w:w="785"/>
        <w:gridCol w:w="155"/>
        <w:gridCol w:w="109"/>
        <w:gridCol w:w="109"/>
        <w:gridCol w:w="109"/>
        <w:gridCol w:w="196"/>
        <w:gridCol w:w="751"/>
        <w:gridCol w:w="109"/>
        <w:gridCol w:w="109"/>
        <w:gridCol w:w="109"/>
        <w:gridCol w:w="109"/>
        <w:gridCol w:w="292"/>
        <w:gridCol w:w="1098"/>
        <w:gridCol w:w="231"/>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6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127,681 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(918,287)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431,283 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 net of tax withholdings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on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(4,767)</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(28,659)</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from Class B to Class A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14,762 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(11,417)</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March 31, 2026</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250,105 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127,511 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401,481 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6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224,488 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158,134 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(864,083)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453,488 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 net of tax withholdings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on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(6,019)</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(9,130)</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from Class B to Class A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17,091 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(21,952)</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as of March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235,007 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(886,035)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436,069 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72" w:type="dxa"/>
            <w:gridSpan w:val="42"/>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331" w:type="dxa"/>
            <w:gridSpan w:val="12"/>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7" w:type="dxa"/>
            <w:gridSpan w:val="15"/>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72" w:type="dxa"/>
            <w:gridSpan w:val="42"/>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331" w:type="dxa"/>
            <w:gridSpan w:val="12"/>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7" w:type="dxa"/>
            <w:gridSpan w:val="15"/>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Nextdoor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9743" w:type="dxa"/>
        <w:jc w:val="left"/>
        <w:tblInd w:w="0" w:type="dxa"/>
        <w:tblLayout w:type="fixed"/>
        <w:tblCellMar>
          <w:top w:w="28" w:type="dxa"/>
          <w:left w:w="28" w:type="dxa"/>
          <w:bottom w:w="28" w:type="dxa"/>
          <w:right w:w="28" w:type="dxa"/>
        </w:tblCellMar>
      </w:tblPr>
      <w:tblGrid>
        <w:gridCol w:w="2646"/>
        <w:gridCol w:w="2320"/>
        <w:gridCol w:w="2338"/>
        <w:gridCol w:w="197"/>
        <w:gridCol w:w="727"/>
        <w:gridCol w:w="109"/>
        <w:gridCol w:w="109"/>
        <w:gridCol w:w="109"/>
        <w:gridCol w:w="109"/>
        <w:gridCol w:w="197"/>
        <w:gridCol w:w="727"/>
        <w:gridCol w:w="155"/>
      </w:tblGrid>
      <w:tr>
        <w:trPr/>
        <w:tc>
          <w:tcPr>
            <w:tcW w:w="2646"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(21,952)</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investments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(79,381)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marketable securities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62,454 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marketable securities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upon exercise of stock options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employee stock purchase plan</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on restricted stock units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(6,019)</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56,721 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to the consolidated balance sheets</w:t>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57,338 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65,798 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Description of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Nextdoor Holdings, Inc. (“Nextdoor” or the “Company”) is headquartered in San Francisco, California. Nextdoor is the essential neighborhood network connecting over 110 million Verified Neighbors to the people, places, and information that matter most in their local communities.</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November 5, 2021 (the “Closing”), the Company consummated the transactions contemplated by the Agreement and Plan of Merger, dated July 6, 2021, as amended on September 30, 2021, by and among Khosla Ventures Acquisition Co. II (“KVSB”), a special purpose acquisition company, Lorelei Merger Sub Inc., and Nextdoor, Inc. (“Legacy Nextdoor”), with Legacy Nextdoor surviving as a wholly owned subsidiary of KVSB (the “Merger” and, collectively with the other transactions that occurred in connection with the Merger, the “Reverse Recapitalization”). In connection with the Closing, KVSB was renamed to Nextdoor Holdings, Inc.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have been prepared in accordance with U.S. generally accepted accounting principles (“GAAP”) and include the accounts of the Company and its wholly owned subsidiaries. All intercompany balances and transactions have been eliminated in consolidation. The Company’s fiscal year ends on December 31.</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as of December 31, 2025 included herein was derived from the audited financial statements as of that date. The Company has condensed or omitted certain information and note disclosures normally included in financial statements prepared in accordance with GAAP pursuant to the applicable required disclosures and regulations of the U.S. Securities and Exchange Commission (“SEC”). As such, these unaudited condensed consolidated financial statements should be read in conjunction with the audited consolidated financial statements and the related notes thereto included in the Company’s Annual Report on Form 10-K for the year ended December 31, 2025.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management’s opinion, the unaudited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and cash flows. The results for the interim periods presented are not necessarily indicative of the results to be expected for the full year ending December 31, 2026 or any other future interim or annual period.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in the unaudited condensed consolidated financial statements and accompanying notes. Estimates include, but are not limited to, valuation of financial instruments, valuation of stock-based awards, revenue recognition, collectability of accounts receivable, valuation of acquired intangible assets and goodwill, useful lives of intangible assets, useful lives of property and equipment, the incremental borrowing rate applied in lease accounting, income taxes and deferred income tax assets and associated valuation allowances. The Company bases these estimates and assumptions on historical experience and various other assumptions that it considers reasonable. The actual results could differ materially from these estimates.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to the Company’s significant accounting policies disclosed in Note 2 to the consolidated financial statements described in the Company’s Annual Report on Form 10-K as of and for the year ended December 31, 2025 that have had a material impact on the Company’s condensed consolidated financial statements and related notes.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which requires incremental disclosures to disaggregate income statement expense items. ASU 2024-03 is effective for annual periods beginning after December 15, 2026, and interim periods within fiscal years beginning after December 15, 2027 with early adoption permitted. The Company is currently evaluating the impact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Deferred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certain advertising arrangements the Company requires payment upfront from its customers. The Company records deferred revenue when it collects cash from customers in advance of revenue recognition. As of March 31, 2026 and December 31, 2025, deferred revenue was $7.5 million and $8.0 million, respectively, and included within accrued expenses and other current liabilities on the condensed consolidated balance sheets. For the three months ended March 31, 2026 and 2025, revenue recognized from deferred revenue at the beginning of each period was $3.5 million and $2.7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Cash Equivalents and Marketable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amortized costs, unrealized gains and losses, and estimated fair values of the Company’s cash equivalents and marketable securities were as follows (in thousands):</w:t>
      </w:r>
    </w:p>
    <w:tbl>
      <w:tblPr>
        <w:tblW w:w="7409" w:type="dxa"/>
        <w:jc w:val="left"/>
        <w:tblInd w:w="0" w:type="dxa"/>
        <w:tblLayout w:type="fixed"/>
        <w:tblCellMar>
          <w:top w:w="28" w:type="dxa"/>
          <w:left w:w="28" w:type="dxa"/>
          <w:bottom w:w="28" w:type="dxa"/>
          <w:right w:w="28" w:type="dxa"/>
        </w:tblCellMar>
      </w:tblPr>
      <w:tblGrid>
        <w:gridCol w:w="837"/>
        <w:gridCol w:w="734"/>
        <w:gridCol w:w="739"/>
        <w:gridCol w:w="211"/>
        <w:gridCol w:w="826"/>
        <w:gridCol w:w="109"/>
        <w:gridCol w:w="109"/>
        <w:gridCol w:w="109"/>
        <w:gridCol w:w="109"/>
        <w:gridCol w:w="237"/>
        <w:gridCol w:w="525"/>
        <w:gridCol w:w="124"/>
        <w:gridCol w:w="109"/>
        <w:gridCol w:w="109"/>
        <w:gridCol w:w="109"/>
        <w:gridCol w:w="233"/>
        <w:gridCol w:w="541"/>
        <w:gridCol w:w="121"/>
        <w:gridCol w:w="109"/>
        <w:gridCol w:w="109"/>
        <w:gridCol w:w="109"/>
        <w:gridCol w:w="211"/>
        <w:gridCol w:w="82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50" w:type="dxa"/>
        <w:jc w:val="left"/>
        <w:tblInd w:w="0" w:type="dxa"/>
        <w:tblLayout w:type="fixed"/>
        <w:tblCellMar>
          <w:top w:w="28" w:type="dxa"/>
          <w:left w:w="28" w:type="dxa"/>
          <w:bottom w:w="28" w:type="dxa"/>
          <w:right w:w="28" w:type="dxa"/>
        </w:tblCellMar>
      </w:tblPr>
      <w:tblGrid>
        <w:gridCol w:w="837"/>
        <w:gridCol w:w="734"/>
        <w:gridCol w:w="739"/>
        <w:gridCol w:w="211"/>
        <w:gridCol w:w="826"/>
        <w:gridCol w:w="109"/>
        <w:gridCol w:w="109"/>
        <w:gridCol w:w="109"/>
        <w:gridCol w:w="109"/>
        <w:gridCol w:w="211"/>
        <w:gridCol w:w="616"/>
        <w:gridCol w:w="109"/>
        <w:gridCol w:w="109"/>
        <w:gridCol w:w="109"/>
        <w:gridCol w:w="109"/>
        <w:gridCol w:w="257"/>
        <w:gridCol w:w="495"/>
        <w:gridCol w:w="134"/>
        <w:gridCol w:w="109"/>
        <w:gridCol w:w="109"/>
        <w:gridCol w:w="109"/>
        <w:gridCol w:w="211"/>
        <w:gridCol w:w="82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All marketable securities are designated as available-for-sale securities as of March 31, 2026 and December 31, 2025. No investments had been in an unrealized loss position for greater than 12 months as of March 31,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contractual maturities of the Company’s marketable securities (in thousands):</w:t>
      </w:r>
    </w:p>
    <w:tbl>
      <w:tblPr>
        <w:tblW w:w="5636" w:type="dxa"/>
        <w:jc w:val="left"/>
        <w:tblInd w:w="0" w:type="dxa"/>
        <w:tblLayout w:type="fixed"/>
        <w:tblCellMar>
          <w:top w:w="28" w:type="dxa"/>
          <w:left w:w="28" w:type="dxa"/>
          <w:bottom w:w="28" w:type="dxa"/>
          <w:right w:w="28" w:type="dxa"/>
        </w:tblCellMar>
      </w:tblPr>
      <w:tblGrid>
        <w:gridCol w:w="842"/>
        <w:gridCol w:w="738"/>
        <w:gridCol w:w="744"/>
        <w:gridCol w:w="229"/>
        <w:gridCol w:w="898"/>
        <w:gridCol w:w="118"/>
        <w:gridCol w:w="109"/>
        <w:gridCol w:w="109"/>
        <w:gridCol w:w="109"/>
        <w:gridCol w:w="308"/>
        <w:gridCol w:w="1207"/>
        <w:gridCol w:w="225"/>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Estimated Fair Value </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110,152 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to three years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316,919 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317,004 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36" w:type="dxa"/>
        <w:jc w:val="left"/>
        <w:tblInd w:w="0" w:type="dxa"/>
        <w:tblLayout w:type="fixed"/>
        <w:tblCellMar>
          <w:top w:w="28" w:type="dxa"/>
          <w:left w:w="28" w:type="dxa"/>
          <w:bottom w:w="28" w:type="dxa"/>
          <w:right w:w="28" w:type="dxa"/>
        </w:tblCellMar>
      </w:tblPr>
      <w:tblGrid>
        <w:gridCol w:w="842"/>
        <w:gridCol w:w="738"/>
        <w:gridCol w:w="744"/>
        <w:gridCol w:w="229"/>
        <w:gridCol w:w="898"/>
        <w:gridCol w:w="118"/>
        <w:gridCol w:w="109"/>
        <w:gridCol w:w="109"/>
        <w:gridCol w:w="109"/>
        <w:gridCol w:w="308"/>
        <w:gridCol w:w="1207"/>
        <w:gridCol w:w="225"/>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p>
        </w:tc>
        <w:tc>
          <w:tcPr>
            <w:tcW w:w="3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Estimated Fair Value </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113,832 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114,172 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to three years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227,257 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340,187 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341,429 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Fair Value Measurements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measured at fair value on a recurring basis are classified by level within the fair value hierarchy. There were no financial assets or liabilities measured using Level 3 inputs as of March 31, 2026 and December 31, 2025. The following tables present information about the Company’s financial assets that are measured at fair value on a recurring basis (in thousands):</w:t>
      </w:r>
    </w:p>
    <w:tbl>
      <w:tblPr>
        <w:tblW w:w="8081" w:type="dxa"/>
        <w:jc w:val="left"/>
        <w:tblInd w:w="0" w:type="dxa"/>
        <w:tblLayout w:type="fixed"/>
        <w:tblCellMar>
          <w:top w:w="28" w:type="dxa"/>
          <w:left w:w="28" w:type="dxa"/>
          <w:bottom w:w="28" w:type="dxa"/>
          <w:right w:w="28" w:type="dxa"/>
        </w:tblCellMar>
      </w:tblPr>
      <w:tblGrid>
        <w:gridCol w:w="1467"/>
        <w:gridCol w:w="1287"/>
        <w:gridCol w:w="1295"/>
        <w:gridCol w:w="211"/>
        <w:gridCol w:w="721"/>
        <w:gridCol w:w="109"/>
        <w:gridCol w:w="109"/>
        <w:gridCol w:w="109"/>
        <w:gridCol w:w="109"/>
        <w:gridCol w:w="211"/>
        <w:gridCol w:w="826"/>
        <w:gridCol w:w="109"/>
        <w:gridCol w:w="109"/>
        <w:gridCol w:w="109"/>
        <w:gridCol w:w="109"/>
        <w:gridCol w:w="211"/>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tbl>
      <w:tblPr>
        <w:tblW w:w="8081" w:type="dxa"/>
        <w:jc w:val="left"/>
        <w:tblInd w:w="0" w:type="dxa"/>
        <w:tblLayout w:type="fixed"/>
        <w:tblCellMar>
          <w:top w:w="28" w:type="dxa"/>
          <w:left w:w="28" w:type="dxa"/>
          <w:bottom w:w="28" w:type="dxa"/>
          <w:right w:w="28" w:type="dxa"/>
        </w:tblCellMar>
      </w:tblPr>
      <w:tblGrid>
        <w:gridCol w:w="1467"/>
        <w:gridCol w:w="1287"/>
        <w:gridCol w:w="1295"/>
        <w:gridCol w:w="211"/>
        <w:gridCol w:w="721"/>
        <w:gridCol w:w="109"/>
        <w:gridCol w:w="109"/>
        <w:gridCol w:w="109"/>
        <w:gridCol w:w="109"/>
        <w:gridCol w:w="211"/>
        <w:gridCol w:w="826"/>
        <w:gridCol w:w="109"/>
        <w:gridCol w:w="109"/>
        <w:gridCol w:w="109"/>
        <w:gridCol w:w="109"/>
        <w:gridCol w:w="211"/>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classifies its cash equivalents and marketable securities within Level 1 or Level 2 because it determines their fair values using quoted market prices or alternative pricing sources and models utilizing market observable inputs. There were no transfers between levels of the fair value hierarchy during the periods presented.</w:t>
      </w:r>
    </w:p>
    <w:p>
      <w:pPr>
        <w:pStyle w:val="TextBody"/>
        <w:bidi w:val="0"/>
        <w:spacing w:lineRule="auto" w:line="288" w:before="0" w:after="180"/>
        <w:jc w:val="both"/>
        <w:rPr/>
      </w:pPr>
      <w:r>
        <w:rPr>
          <w:rFonts w:ascii="Times New Roman;serif" w:hAnsi="Times New Roman;serif"/>
          <w:b w:val="false"/>
          <w:color w:val="000000"/>
          <w:sz w:val="20"/>
        </w:rPr>
        <w:br/>
      </w:r>
      <w:r>
        <w:rPr>
          <w:rFonts w:ascii="Times New Roman;serif" w:hAnsi="Times New Roman;serif"/>
          <w:b/>
          <w:i/>
          <w:color w:val="000000"/>
          <w:sz w:val="20"/>
        </w:rPr>
        <w:t xml:space="preserve">Assets and Liabilities Measured at Fair Value on a Recurring Basis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certain financial instruments, including cash held in banks, accounts receivable, and accounts payable approximate fair value due to their short-term maturities and are excluded from the fair value table above.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Financial Instruments, Assets, and Liabilities Not Recorded at Fair Value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Opportunity Finance Network Loan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June 2022, the Company entered into a credit agreement with Opportunity Finance Network (“OFN”) to lend up to an aggregate of $15.0 million, unsecured, over the course of 24 months. As of March 31, 2026, the note receivable from OFN totaled $15.0 million and is recorded under other assets on the condensed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fair value hierarchy of assets not recorded at fair value (in thousands):</w:t>
      </w:r>
    </w:p>
    <w:tbl>
      <w:tblPr>
        <w:tblW w:w="7691" w:type="dxa"/>
        <w:jc w:val="left"/>
        <w:tblInd w:w="0" w:type="dxa"/>
        <w:tblLayout w:type="fixed"/>
        <w:tblCellMar>
          <w:top w:w="28" w:type="dxa"/>
          <w:left w:w="28" w:type="dxa"/>
          <w:bottom w:w="28" w:type="dxa"/>
          <w:right w:w="28" w:type="dxa"/>
        </w:tblCellMar>
      </w:tblPr>
      <w:tblGrid>
        <w:gridCol w:w="504"/>
        <w:gridCol w:w="444"/>
        <w:gridCol w:w="447"/>
        <w:gridCol w:w="285"/>
        <w:gridCol w:w="977"/>
        <w:gridCol w:w="147"/>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receivable</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91" w:type="dxa"/>
        <w:jc w:val="left"/>
        <w:tblInd w:w="0" w:type="dxa"/>
        <w:tblLayout w:type="fixed"/>
        <w:tblCellMar>
          <w:top w:w="28" w:type="dxa"/>
          <w:left w:w="28" w:type="dxa"/>
          <w:bottom w:w="28" w:type="dxa"/>
          <w:right w:w="28" w:type="dxa"/>
        </w:tblCellMar>
      </w:tblPr>
      <w:tblGrid>
        <w:gridCol w:w="504"/>
        <w:gridCol w:w="444"/>
        <w:gridCol w:w="447"/>
        <w:gridCol w:w="285"/>
        <w:gridCol w:w="977"/>
        <w:gridCol w:w="147"/>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receivable</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there were no other financial instruments or liabilities that were not recorded at fair value.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6. Commitments and Contingencies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litigation discussed below, 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potential losses when they are reasonably possible. In the Company’s opinion, resolution of such pending matters is not likely to have a material adverse impact on its consolidated results of operations,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 There were no such material matters as of March 31,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matters discussed below summarize the Company’s current significant ongoing pending legal proceedings as of March 31, 2026.</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Securities and Derivative Litigation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February 28, 2024, a securities class action complaint was filed against the Company and certain of its former executive officers (collectively, the “Defendants”) in the U.S. District Court for the Northern District of California. The lawsuit alleges that Defendants violated the Securities Exchange Act of 1934, as amended, by making materially false and misleading statements about the Company’s business and prospects for future growth in the period between July 6, 2021 and November 8, 2022. On November 20, 2025, the court granted the Company’s motion to dismiss with prejudice and entered judgment in favor of Defendants, and the lead plaintiff did not appeal the order.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26, 2024, a purported shareholder derivative complaint was filed in the U.S. District Court for the Northern District of California. The complaint named as defendants certain of the Company’s former and current officers and directors, as well as the Company as nominal defendant, and asserted state and federal claims based on some of the same alleged misstatements as the securities class action complaint described above. The complaint sought unspecified damages, attorneys’ fees, and other costs. On January 7, 2026, the lawsuit was dismissed.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Class Action Litigation</w:t>
      </w:r>
    </w:p>
    <w:p>
      <w:pPr>
        <w:pStyle w:val="TextBody"/>
        <w:bidi w:val="0"/>
        <w:spacing w:lineRule="auto" w:line="268" w:before="0" w:after="0"/>
        <w:jc w:val="left"/>
        <w:rPr/>
      </w:pPr>
      <w:r>
        <w:rPr>
          <w:rFonts w:ascii="Times New Roman;serif" w:hAnsi="Times New Roman;serif"/>
          <w:b w:val="false"/>
          <w:color w:val="000000"/>
          <w:sz w:val="20"/>
        </w:rPr>
        <w:t>On October 28, 2024 and October 29, 2024, two class action complaints were filed in the Delaware Court of Chancery against the Company, certain of the Company’s former officers, certain of the former officers and directors of the special purpose acquisition company KVSB into which the Company merged on November 5, 2021, the sponsor of the Company’s special purpose acquisition merger Khosla Ventures SPAC Sponsor II LLC (the “Sponsor”), and certain entities allegedly related to the Sponsor. The two complaints were consolidated on December 6, 2024 and the plaintiffs filed a consolidated complaint on December 26, 2024. The consolidated complaint is brought on behalf of a class of KVSB stockholders who could have, but did not, choose to redeem their KVSB shares in connection with the November 5, 2021 merger between KVSB and the Company. The consolidated complaint alleges that defendants breached various duties to KVSB stockholders by making false or misleading statements and/or aided and abetted such breaches. The consolidated complaint also alleges claims for unjust enrichment. The consolidated complaint seeks damages, disgorgement, attorneys’ fees, and other costs. Defendants answered the consolidated complaint on February 10, 2025, following which discovery commenced. The Company filed an amended answer on December 12, 2025.</w:t>
      </w:r>
      <w:r>
        <w:rPr>
          <w:color w:val="000000"/>
        </w:rPr>
        <w:t xml:space="preserve"> </w:t>
      </w:r>
      <w:r>
        <w:rPr>
          <w:rFonts w:ascii="Times New Roman;serif" w:hAnsi="Times New Roman;serif"/>
          <w:b w:val="false"/>
          <w:color w:val="000000"/>
          <w:sz w:val="20"/>
        </w:rPr>
        <w:t>On February 17, 2026, the plaintiffs filed an amended complaint, which brings the same claims and seeks the same relief as did the consolidated complaint.</w:t>
      </w:r>
      <w:r>
        <w:rPr>
          <w:color w:val="000000"/>
        </w:rPr>
        <w:t xml:space="preserve"> </w:t>
      </w:r>
      <w:r>
        <w:rPr>
          <w:rFonts w:ascii="Times New Roman;serif" w:hAnsi="Times New Roman;serif"/>
          <w:b w:val="false"/>
          <w:color w:val="000000"/>
          <w:sz w:val="20"/>
        </w:rPr>
        <w:t>The Company filed a motion to dismiss the amended complaint on April 6, 2026, which is currently pending.</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intends to vigorously defend against the claims in these actions. Given the procedural posture and the nature of such litigation matters, the Company is currently unable to estimate the reasonably possible loss or range of loss, if any, that may result from these matters. Any litigation is inherently uncertain, and any judgment or injunctive relief entered against the Company or any adverse settlement could materially and adversely impact its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often includes standard indemnification provisions in its arrangements with its customers,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For the three months ended March 31, 2026 and 2025, the Company did not incur material costs to defend lawsuits or settle claims related to these indemnifications. The Company believes the fair value of these liabilities is not material and accordingly has no liabilities recorded for these agreements as of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Stockholders’ Equity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Equity Incentive Plans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2021 Equity Incentive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November 2021, the Company’s Board of Directors and stockholders approved the Company’s 2021 Equity Incentive Plan (the “2021 Plan”) as a successor to the 2018 Equity Incentive Plan (the “2018 Plan”), with the purpose of granting stock-based awards to employees, directors, officers, and consultants, including stock options, restricted stock awards, and restricted stock units (“RSUs”).</w:t>
        <w:br/>
        <w:br/>
        <w:t xml:space="preserve">The Company initially reserved for issuance under the 2021 Plan (a) 46,008,885 shares of Class A common stock, plus (b) shares that are subject to issuance upon exercise of options granted under the 2018 Plan prior to the Closing but which, after the Closing, cease to be subject to the option for any reason other than exercise of the option, (c) shares that are subject to awards granted under the 2018 Plan prior to the Closing that, after the Closing, are forfeited or are repurchased by the Company at the original issue price, (d) shares that are subject to awards granted under the 2018 Plan prior to the Closing that, after the Closing, otherwise terminate without such shares being issued, and (e) shares that, after the Closing, are used to pay the exercise price of a stock option issued under the 2018 Plan prior to the Closing or are withheld to satisfy the tax withholding obligations related to any award issued under the 2018 Plan prior to the Closing. The number of shares available for grant and issuance under the 2021 Plan will increase automatically on January 1 of each of 2022 through 2031 by the number of shares equal to the lesser of (i) five percent (5%) of the number of shares (rounded down to the nearest whole share) of Class A common stock and Class B common stock issued and outstanding on each December 31 immediately prior to the date of increase, or (ii) such number of shares determined by the Company’s Board of Directors.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2021 Employee Stock Purchase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November 2021, the Company’s Board of Directors and stockholders approved the Company’s 2021 Employee Stock Purchase Plan (the “2021 ESPP”). Over a series of offering periods, each of which may consist of one or more purchase periods, eligible employees will be offered the option to purchase shares of Class A common stock at 85% of the lesser of the fair market value of Class A common stock on (i) the first business day of the applicable offering period and (ii) the date of purchase. Under the 2021 ESPP, the Company initially reserved 8,901,159 shares of Class A common stock for issuance, and the aggregate number of shares reserved will increase automatically on January 1 of each of 2022 through 2031 by the number of shares equal to the lesser of (i) one percent (1%) of the total number of outstanding shares of Class A common stock and Class B common stock as of the immediately preceding December 31, or (ii) a number of shares as may be determined by the Company’s Board of Directors. The aggregate number of shares issued over the term of the 2021 ESPP, subject to adjustments for stock-splits, recapitalizations, or similar events, may not exceed 89,011,590 shares. In February 2022, the Company commenced its first offering period under the 2021 ESPP. During the three months ended March 31, 2026 and 2025, 307,511 and 408,404 shares of Class A common stock were purchased under the 2021 ESPP,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Share Repurchase Programs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2022, the Company’s Board of Directors authorized and approved a share repurchase program to repurchase up to $100.0 million in aggregate of the Company’s Class A common stock, with the authorization to expire on June 30, 2024. The timing of any repurchases depended on market conditions and other investment opportunities, and repurchases were made at the Company’s discretion. The share repurchase program did not obligate the Company to repurchase any dollar amount or number of shares, and the program could be extended, modified, suspended, or discontinued at any time. In February 2024, the Company’s Board of Directors authorized and approved an increase of $150.0 million to the share repurchase program and extended the expiration date to March 31,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When the Company repurchases shares under share repurchase programs, it reduces the common stock component of stockholders’ equity by the par value of the repurchased shares. The excess of the repurchase price over par value is recorded to additional paid-in capital. All repurchased shares are retired and become authorized and unissued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repurchased and retired 16,992,982 shares of Class A common stock at an average purchase price of $1.69 per share for an aggregate repurchase price of $28.7 million. During the three months ended March 31, 2025, the Company repurchased and retired 4,720,415 shares of Class A common stock at an average purchase price of $1.92 per share for an aggregate repurchase price of $9.1 million. This share repurchase program expired on March 31,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April 2026, the Company’s Board of Directors authorized and approved a new share repurchase program to repurchase up to $100.0 million in aggregate of the Company’s Class A common stock, with the authorization to expire on June 30, 2028. The timing of any repurchases will depend on market conditions and other investment opportunities, and will be made at the Company’s discretion. The program does not obligate us to repurchase any dollar amount or number of shares, and the program may be extended, modified, suspended, or discontinued at any time.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Options and 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grant options to acquire shares of Class A common stock to employees, directors, officers, and consultants at a price not less than the fair market value of the shares at the date of grant. Options granted to a person who, at the time of the grant, owns more than 10% of the voting power of all classes of stock shall be at no less than 110% of the fair market value and expire five years from the date of grant. All other options generally have a contractual term of ten years. Options granted generally vest on a monthly basis over two to three years. RSUs granted for Class A common stock generally vest on a quarterly basis over two to three years.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the Company’s stock option activity for the three months ended March 31, 2026 and related information is as follows (in thousands, except per share data):</w:t>
      </w:r>
    </w:p>
    <w:tbl>
      <w:tblPr>
        <w:tblW w:w="10205" w:type="dxa"/>
        <w:jc w:val="left"/>
        <w:tblInd w:w="0" w:type="dxa"/>
        <w:tblLayout w:type="fixed"/>
        <w:tblCellMar>
          <w:top w:w="28" w:type="dxa"/>
          <w:left w:w="28" w:type="dxa"/>
          <w:bottom w:w="28" w:type="dxa"/>
          <w:right w:w="28" w:type="dxa"/>
        </w:tblCellMar>
      </w:tblPr>
      <w:tblGrid>
        <w:gridCol w:w="879"/>
        <w:gridCol w:w="772"/>
        <w:gridCol w:w="774"/>
        <w:gridCol w:w="494"/>
        <w:gridCol w:w="356"/>
        <w:gridCol w:w="357"/>
        <w:gridCol w:w="109"/>
        <w:gridCol w:w="109"/>
        <w:gridCol w:w="109"/>
        <w:gridCol w:w="412"/>
        <w:gridCol w:w="998"/>
        <w:gridCol w:w="212"/>
        <w:gridCol w:w="109"/>
        <w:gridCol w:w="109"/>
        <w:gridCol w:w="109"/>
        <w:gridCol w:w="830"/>
        <w:gridCol w:w="830"/>
        <w:gridCol w:w="833"/>
        <w:gridCol w:w="109"/>
        <w:gridCol w:w="109"/>
        <w:gridCol w:w="109"/>
        <w:gridCol w:w="316"/>
        <w:gridCol w:w="923"/>
        <w:gridCol w:w="238"/>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12,914 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 or expired</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11,996 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Exercisable at March 31, 2026</w:t>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11,996 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 or expected to vest at March 31, 2026</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11,996 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intrinsic value is calculated as the difference between the exercise price of the underlying common stock option award and the fair value of the Company’s common stock as of the respective balance sheet date. The intrinsic value of the options exercised was $0.3 million and $0.3 million for the three months ended March 31, 2026 and 2025, respectively. No options were granted during the three months ended March 31, 2026 and 2025.</w:t>
        <w:br/>
        <w:br/>
        <w:t>A summary of the Company’s RSU activity for the three months ended March 31, 2026 and related information is as follows (in thousands, except per share data):</w:t>
      </w:r>
    </w:p>
    <w:tbl>
      <w:tblPr>
        <w:tblW w:w="7646" w:type="dxa"/>
        <w:jc w:val="left"/>
        <w:tblInd w:w="0" w:type="dxa"/>
        <w:tblLayout w:type="fixed"/>
        <w:tblCellMar>
          <w:top w:w="28" w:type="dxa"/>
          <w:left w:w="28" w:type="dxa"/>
          <w:bottom w:w="28" w:type="dxa"/>
          <w:right w:w="28" w:type="dxa"/>
        </w:tblCellMar>
      </w:tblPr>
      <w:tblGrid>
        <w:gridCol w:w="979"/>
        <w:gridCol w:w="858"/>
        <w:gridCol w:w="863"/>
        <w:gridCol w:w="469"/>
        <w:gridCol w:w="469"/>
        <w:gridCol w:w="471"/>
        <w:gridCol w:w="109"/>
        <w:gridCol w:w="109"/>
        <w:gridCol w:w="109"/>
        <w:gridCol w:w="773"/>
        <w:gridCol w:w="1873"/>
        <w:gridCol w:w="564"/>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at March 31, 2026</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73,308 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Market-based PSUs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the Company granted its executive officers market-based performance stock unit (“PSU”) awards with a target of 5,857,778 shares (“Target Award”) of the Company’s Class A common stock. The number of shares earned will be based on the achievement of stock price targets calculated based on predetermined compound annual growth rate thresholds at any point over a four-year performance period. Grantees may earn from 0% to 200% of the Target Award. Any portion of the PSUs that remains unvested at the end of the applicable performance period will be forfeited. Vesting is subject to the grantee’s continuous employment with the Company through the later of the vesting date and the date achievement is certified, as well as other customary provisions pursuant to the Company’s 2021 Plan.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granted its Chief Executive Officer a market-based PSU award of 722,005 shares of the Company’s Class A common stock. In August 2025, the Company granted another market-based PSU award of 947,867 shares to an executive officer with the same performance metrics and vesting conditions as the March 2025 PSU. For all awards, the PSUs will vest based on stock price targets achieved over a four-year period, and any PSUs that have not vested at the end of the applicable performance period will be forfeited. Vesting is subject to the grantees’ continuous employment with the Company, as well as other customary provisions pursuant to the Company’s 2021 Plan.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aggregate grant date fair value of the 2026 and 2025 PSUs was $14.9 million and $2.6 million, respectively, calculated using a Monte Carlo simulation model and recognized over the respective requisite service periods using the graded-vesting method. Compensation cost is not adjusted in future periods for subsequent changes in the expected outcome of market-related conditions.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three months ended March 31, 2026 and 2025, the Company recognized $1.4 million and $1.2 million of stock-based compensation expense related to PSUs,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Valuation Assumptions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assumptions were used to calculate the fair value of market-based PSUs made during the following periods:</w:t>
      </w:r>
    </w:p>
    <w:tbl>
      <w:tblPr>
        <w:tblW w:w="5096" w:type="dxa"/>
        <w:jc w:val="left"/>
        <w:tblInd w:w="0" w:type="dxa"/>
        <w:tblLayout w:type="fixed"/>
        <w:tblCellMar>
          <w:top w:w="28" w:type="dxa"/>
          <w:left w:w="28" w:type="dxa"/>
          <w:bottom w:w="28" w:type="dxa"/>
          <w:right w:w="28" w:type="dxa"/>
        </w:tblCellMar>
      </w:tblPr>
      <w:tblGrid>
        <w:gridCol w:w="772"/>
        <w:gridCol w:w="677"/>
        <w:gridCol w:w="680"/>
        <w:gridCol w:w="435"/>
        <w:gridCol w:w="435"/>
        <w:gridCol w:w="435"/>
        <w:gridCol w:w="259"/>
        <w:gridCol w:w="259"/>
        <w:gridCol w:w="259"/>
        <w:gridCol w:w="259"/>
        <w:gridCol w:w="259"/>
        <w:gridCol w:w="367"/>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63.9% - 65.4%</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66.5%</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3.8 - 3.9</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 - 3.9%</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stock-based compensation expense in the condensed consolidated statements of operations as follows (in thousands):</w:t>
      </w:r>
    </w:p>
    <w:tbl>
      <w:tblPr>
        <w:tblW w:w="5200" w:type="dxa"/>
        <w:jc w:val="left"/>
        <w:tblInd w:w="0" w:type="dxa"/>
        <w:tblLayout w:type="fixed"/>
        <w:tblCellMar>
          <w:top w:w="28" w:type="dxa"/>
          <w:left w:w="28" w:type="dxa"/>
          <w:bottom w:w="28" w:type="dxa"/>
          <w:right w:w="28" w:type="dxa"/>
        </w:tblCellMar>
      </w:tblPr>
      <w:tblGrid>
        <w:gridCol w:w="835"/>
        <w:gridCol w:w="736"/>
        <w:gridCol w:w="739"/>
        <w:gridCol w:w="211"/>
        <w:gridCol w:w="721"/>
        <w:gridCol w:w="109"/>
        <w:gridCol w:w="109"/>
        <w:gridCol w:w="109"/>
        <w:gridCol w:w="109"/>
        <w:gridCol w:w="211"/>
        <w:gridCol w:w="721"/>
        <w:gridCol w:w="109"/>
        <w:gridCol w:w="109"/>
        <w:gridCol w:w="109"/>
        <w:gridCol w:w="109"/>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was $113.6 million of unrecognized stock-based compensation expense, which is expected to be recognized over a weighted average period of 2.5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Net Loss Per Share Attributable to Common Stockholders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share attributable to common stockholders (in thousands, except per share data):</w:t>
      </w:r>
    </w:p>
    <w:tbl>
      <w:tblPr>
        <w:tblW w:w="10205" w:type="dxa"/>
        <w:jc w:val="left"/>
        <w:tblInd w:w="0" w:type="dxa"/>
        <w:tblLayout w:type="fixed"/>
        <w:tblCellMar>
          <w:top w:w="28" w:type="dxa"/>
          <w:left w:w="28" w:type="dxa"/>
          <w:bottom w:w="28" w:type="dxa"/>
          <w:right w:w="28" w:type="dxa"/>
        </w:tblCellMar>
      </w:tblPr>
      <w:tblGrid>
        <w:gridCol w:w="1586"/>
        <w:gridCol w:w="1366"/>
        <w:gridCol w:w="1370"/>
        <w:gridCol w:w="211"/>
        <w:gridCol w:w="649"/>
        <w:gridCol w:w="109"/>
        <w:gridCol w:w="109"/>
        <w:gridCol w:w="109"/>
        <w:gridCol w:w="109"/>
        <w:gridCol w:w="211"/>
        <w:gridCol w:w="649"/>
        <w:gridCol w:w="109"/>
        <w:gridCol w:w="109"/>
        <w:gridCol w:w="109"/>
        <w:gridCol w:w="109"/>
        <w:gridCol w:w="211"/>
        <w:gridCol w:w="754"/>
        <w:gridCol w:w="109"/>
        <w:gridCol w:w="109"/>
        <w:gridCol w:w="109"/>
        <w:gridCol w:w="109"/>
        <w:gridCol w:w="211"/>
        <w:gridCol w:w="649"/>
        <w:gridCol w:w="109"/>
        <w:gridCol w:w="109"/>
        <w:gridCol w:w="109"/>
        <w:gridCol w:w="109"/>
        <w:gridCol w:w="109"/>
        <w:gridCol w:w="109"/>
        <w:gridCol w:w="109"/>
        <w:gridCol w:w="109"/>
        <w:gridCol w:w="158"/>
      </w:tblGrid>
      <w:tr>
        <w:trPr/>
        <w:tc>
          <w:tcPr>
            <w:tcW w:w="158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6"/>
            <w:tcBorders/>
          </w:tcPr>
          <w:p>
            <w:pPr>
              <w:pStyle w:val="TableContents"/>
              <w:bidi w:val="0"/>
              <w:spacing w:before="0" w:after="283"/>
              <w:jc w:val="left"/>
              <w:rPr>
                <w:sz w:val="4"/>
                <w:szCs w:val="4"/>
              </w:rPr>
            </w:pPr>
            <w:r>
              <w:rPr>
                <w:sz w:val="4"/>
                <w:szCs w:val="4"/>
              </w:rPr>
            </w:r>
          </w:p>
        </w:tc>
      </w:tr>
      <w:tr>
        <w:trPr/>
        <w:tc>
          <w:tcPr>
            <w:tcW w:w="4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computing net loss per share attributable to Class A and Class B common stockholders, basic and diluted</w:t>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Class A and Class B common stockholders,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outstanding have been excluded from the computations of diluted net loss per share because such securities have an anti-dilutive impact due to losses reported (in thousands):</w:t>
      </w:r>
    </w:p>
    <w:tbl>
      <w:tblPr>
        <w:tblW w:w="5483" w:type="dxa"/>
        <w:jc w:val="left"/>
        <w:tblInd w:w="0" w:type="dxa"/>
        <w:tblLayout w:type="fixed"/>
        <w:tblCellMar>
          <w:top w:w="28" w:type="dxa"/>
          <w:left w:w="28" w:type="dxa"/>
          <w:bottom w:w="28" w:type="dxa"/>
          <w:right w:w="28" w:type="dxa"/>
        </w:tblCellMar>
      </w:tblPr>
      <w:tblGrid>
        <w:gridCol w:w="1120"/>
        <w:gridCol w:w="982"/>
        <w:gridCol w:w="988"/>
        <w:gridCol w:w="360"/>
        <w:gridCol w:w="361"/>
        <w:gridCol w:w="228"/>
        <w:gridCol w:w="140"/>
        <w:gridCol w:w="140"/>
        <w:gridCol w:w="140"/>
        <w:gridCol w:w="360"/>
        <w:gridCol w:w="361"/>
        <w:gridCol w:w="303"/>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11,996</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19,516</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60,770</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63,778</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pursuant to the ESPP</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74,087 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84,798 </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provision for income taxes for interim periods was determined using an estimate of its annual effective tax rate, adjusted for discrete items, if any, that arose during the period. Each quarter, the Company updates its estimate of the annual effective tax rate, and if the estimated annual effective tax rate changes, the Company makes a cumulative adjustment in such period.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quarterly tax provision, and estimate of its annual effective tax rate, is subject to variation due to several factors, including variability in pretax income or loss, the mix of jurisdictions to which such income or loss relates, tax law developments and changes in how the Company does business, such as acquisitions, intercompany transactions, or the Company’s corporate structure.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recorded an income tax expense for the three months ended March 31, 2026 and 2025 of $0.1 million and $0.1 million, respectively, both of which were related to state and foreign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Segment and Geographical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one reportable and operating segment. The Company’s Chief Operating Decision Maker is its Chief Executive Officer, who reviews financial information presented on a consolidated basis for purposes of making operating decisions, assessing financial performance, and allocating resources. Net loss is the Company’s primary measure of profit or loss. Cost of revenue, research and development, sales and marketing, and general and administrative expenses are considered significant segment expenses and are reflected in the consolidated statement of operations. Other segment items included in consolidated net loss are interest income, other income (expense), net and the provision for income taxes, which are also reflected in the 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Revenue disaggregated by geography based on the customers’ location was as follows (in thousands):</w:t>
      </w:r>
    </w:p>
    <w:tbl>
      <w:tblPr>
        <w:tblW w:w="4089"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721"/>
        <w:gridCol w:w="109"/>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long-lived assets are located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Subsequent Events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April 2026, the Company’s Board of Directors authorized and approved a new share repurchase program to repurchase up to $100.0 million in aggregate of the Company’s Class A common stock, with the authorization to expire on June 30, 2028. The timing of any repurchases will depend on market conditions and other investment opportunities, and will be made at the Company’s discretion. The program does not obligate us to repurchase any dollar amount or number of shares, and the program may be extended, modified, suspended, or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provides information which our management believes is relevant to an assessment and understanding of our consolidated results of operations and financial condition. The discussion should be read together with our unaudited condensed consolidated financial statements and related notes that are included elsewhere in this Quarterly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“Special Note Regarding Forward-Looking Statements” and “Risk Factors” or in other parts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Nextdoor is the essential neighborhood network connecting over 110 million Verified Neighbors to the people, places, and information that matter most in their local communities. Operating in over 350,000 neighborhoods across 11 countries, Nextdoor fosters trusted, real-world utility through locally relevant content and services, including news, real-time safety alerts, neighbor recommendations, for sale and free listings, and events. This focus on practical local value drives genuine, high-intent local engagement and supports a diverse ecosystem of neighbors and partners seeking to connect with neighbors.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Key business metrics for the three months ended March 31, 2026 are as follows: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Platform weekly active users (“Platform WAU”) was 22.3 million, an increase of 1% compared to the three months ended March 31,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Average revenue per platform weekly active user (“Platform ARPU”) was $2.77, an increase of 12% compared to the three months ended March 31, 2025.</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Financial Results as of and for the three months ended March 31, 2026 are as follows: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Revenue was $61.7 million, an increase of 14% compared to the three months ended March 31,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Total costs and expenses were $77.0 million, a decrease of 5% compared to the three months ended March 31,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Net loss decreased 48% to $11.4 million, compared to $22.0 million for the three months ended March 31,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Adjusted EBITDA loss was $0.2 million, compared to $9.2 million for the three months ended March 31,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Cash, cash equivalents, and marketable securities were $373.2 million.</w:t>
      </w:r>
    </w:p>
    <w:p>
      <w:pPr>
        <w:pStyle w:val="TextBody"/>
        <w:bidi w:val="0"/>
        <w:spacing w:lineRule="auto" w:line="276" w:before="0" w:after="180"/>
        <w:jc w:val="both"/>
        <w:rPr/>
      </w:pPr>
      <w:r>
        <w:rPr>
          <w:rFonts w:ascii="Times New Roman;serif" w:hAnsi="Times New Roman;serif"/>
          <w:b w:val="false"/>
          <w:color w:val="000000"/>
          <w:sz w:val="20"/>
        </w:rPr>
        <w:t>See “</w:t>
      </w:r>
      <w:r>
        <w:rPr>
          <w:rFonts w:ascii="Times New Roman;serif" w:hAnsi="Times New Roman;serif"/>
          <w:b w:val="false"/>
          <w:i/>
          <w:color w:val="000000"/>
          <w:sz w:val="20"/>
        </w:rPr>
        <w:t>Non-GAAP Financial Measure</w:t>
      </w:r>
      <w:r>
        <w:rPr>
          <w:color w:val="000000"/>
        </w:rPr>
        <w:t xml:space="preserve">” </w:t>
      </w:r>
      <w:r>
        <w:rPr>
          <w:rFonts w:ascii="Times New Roman;serif" w:hAnsi="Times New Roman;serif"/>
          <w:b w:val="false"/>
          <w:color w:val="000000"/>
          <w:sz w:val="20"/>
        </w:rPr>
        <w:t>below for more information and for a reconciliation of net loss, the most directly comparable financial measure calculated and presented in accordance with U.S. generally accepted accounting principles (“GAAP”), to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the measures presented in our unaudited condensed consolidated financial statements, we use the following key business metrics to evaluate our business, measure our performance, develop financial forecasts, and make strategic decisions: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Platform Weekly Active Users (Platform WAU)</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 Platform WAU as a Nextdoor user who opens our application or logs on to our website at least once during a defined 7-day period. We calculate average Platform WAU for a particular period by calculating the count of unique users, on a rolling basis for the past seven days, for each day of that period, and dividing that sum by the number of days in that period. We assess the health of our business by measuring Platform WAU because we believe that weekly usage best captures the cadence at which we expect a healthy user base to engage with and derive the most utility from our platform, and by extension their neighborhood. </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Our Platform WAU for the three months ended March 31, 2026 and 2025 was 22.3 million and 22.0 million, respectively, which represents a 1% increase period over period.</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Quarterly Average Platform Weekly Active Users</w:t>
      </w:r>
    </w:p>
    <w:p>
      <w:pPr>
        <w:pStyle w:val="TextBody"/>
        <w:bidi w:val="0"/>
        <w:spacing w:lineRule="auto" w:line="288" w:before="0" w:after="180"/>
        <w:jc w:val="center"/>
        <w:rPr>
          <w:rFonts w:ascii="Times New Roman;serif" w:hAnsi="Times New Roman;serif"/>
          <w:b/>
          <w:i/>
          <w:color w:val="000000"/>
          <w:sz w:val="20"/>
        </w:rPr>
      </w:pPr>
      <w:r>
        <w:rPr>
          <w:rFonts w:ascii="Times New Roman;serif" w:hAnsi="Times New Roman;serif"/>
          <w:b/>
          <w:i/>
          <w:color w:val="000000"/>
          <w:sz w:val="20"/>
        </w:rPr>
        <w:t>(in millions)</w:t>
      </w:r>
    </w:p>
    <w:p>
      <w:pPr>
        <w:pStyle w:val="TextBody"/>
        <w:bidi w:val="0"/>
        <w:spacing w:before="0" w:after="180"/>
        <w:jc w:val="center"/>
        <w:rPr/>
      </w:pPr>
      <w:r>
        <w:rPr/>
        <w:drawing>
          <wp:inline distT="0" distB="0" distL="0" distR="0">
            <wp:extent cx="5048250" cy="3143250"/>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2"/>
                    <a:stretch>
                      <a:fillRect/>
                    </a:stretch>
                  </pic:blipFill>
                  <pic:spPr bwMode="auto">
                    <a:xfrm>
                      <a:off x="0" y="0"/>
                      <a:ext cx="5048250" cy="3143250"/>
                    </a:xfrm>
                    <a:prstGeom prst="rect">
                      <a:avLst/>
                    </a:prstGeom>
                  </pic:spPr>
                </pic:pic>
              </a:graphicData>
            </a:graphic>
          </wp:inline>
        </w:drawing>
      </w:r>
      <w:bookmarkStart w:id="0" w:name="i-1"/>
      <w:bookmarkEnd w:id="0"/>
    </w:p>
    <w:p>
      <w:pPr>
        <w:pStyle w:val="TextBody"/>
        <w:bidi w:val="0"/>
        <w:spacing w:lineRule="auto" w:line="276"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Average Revenue per Platform Weekly Active User (Platform ARPU) </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primarily from advertising. We measure monetization of our platform through our Platform ARPU metric. We define Platform ARPU as our total revenue during a period divided by the average of the number of Platform WAU during the same period. </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Our Platform ARPU for the three months ended March 31, 2026 and 2025 was $2.77 and $2.46, respectively.</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Quarterly Platform ARPU</w:t>
      </w:r>
    </w:p>
    <w:p>
      <w:pPr>
        <w:pStyle w:val="TextBody"/>
        <w:bidi w:val="0"/>
        <w:spacing w:before="0" w:after="180"/>
        <w:jc w:val="center"/>
        <w:rPr/>
      </w:pPr>
      <w:r>
        <w:rPr/>
        <w:drawing>
          <wp:inline distT="0" distB="0" distL="0" distR="0">
            <wp:extent cx="5048250" cy="3143250"/>
            <wp:effectExtent l="0" t="0" r="0" b="0"/>
            <wp:docPr id="2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 descr=""/>
                    <pic:cNvPicPr>
                      <a:picLocks noChangeAspect="1" noChangeArrowheads="1"/>
                    </pic:cNvPicPr>
                  </pic:nvPicPr>
                  <pic:blipFill>
                    <a:blip r:embed="rId3"/>
                    <a:stretch>
                      <a:fillRect/>
                    </a:stretch>
                  </pic:blipFill>
                  <pic:spPr bwMode="auto">
                    <a:xfrm>
                      <a:off x="0" y="0"/>
                      <a:ext cx="5048250" cy="314325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We generate a majority of our revenue from the delivery of advertising services. We recognize revenue only after transferring control of promised goods or services to the customer. Advertising services are typically sold on a cost per thousand (“CPM”) basis, a cost per click (“CPC”) basis, or on a subscription basis according to the service period. The majority of our revenue is generated in the United States.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Cost of revenue consists primarily of expenses associated with the delivery of our revenue generating activities, including the third-party costs of hosting our platform and allocated personnel-related costs, which include salaries, benefits, and stock-based compensation for employees engaged in development of our revenue generating products. Cost of revenue also includes third-party costs associated with delivering and supporting our advertising services and credit card transaction fees related to processing customer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personnel-related costs, including salaries, benefits, restructuring costs, and stock-based compensation for our employees engaged in research and development, as well as costs for consultants, contractors and third-party software. In addition, allocated overhead costs, such as facilities, information technology, and depreciation are included in research and development expenses.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consist primarily of personnel-related and other costs which include salaries, commissions, benefits, restructuring costs, and stock-based compensation for employees engaged in sales and marketing activities as well as other costs including third-party consulting, public relations, and allocated overhead costs. Sales and marketing expenses also include brand and performance marketing for both user and local business acquisition, and neighbor services, which includes personnel-related costs for our neighbor support team, our outsourced neighbor support function, and verification costs. </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Performance marketing costs related to local business acquisition largely consists of digital advertising and, to a lesser extent, direct mail campaigns. Performance marketing costs related to user acquisition largely consist of digital advertising. Fluctuations in our performance marketing expenses are driven by a variety of factors, including but not limited to: our target geographies, whether we are acquiring users or businesses, assessment of return on investment of marketing spend, strategic priorities, and seasonal factors.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personnel-related costs, including salaries, benefits, restructuring costs,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pStyle w:val="TextBody"/>
        <w:bidi w:val="0"/>
        <w:spacing w:lineRule="auto" w:line="288" w:before="0" w:after="180"/>
        <w:jc w:val="left"/>
        <w:rPr/>
      </w:pPr>
      <w:r>
        <w:rPr>
          <w:rFonts w:ascii="Times New Roman;serif" w:hAnsi="Times New Roman;serif"/>
          <w:b/>
          <w:i/>
          <w:color w:val="000000"/>
          <w:sz w:val="20"/>
        </w:rPr>
        <w:t>Interest Income</w:t>
      </w:r>
      <w:r>
        <w:rPr>
          <w:color w:val="000000"/>
        </w:rPr>
        <w:t xml:space="preserve"> </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income consists of interest earned on our cash, cash equivalents, and marketable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Other Income (Expense), Net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unrealized gains and losses from the re-measurement of monetary assets and liabilities denominated in non-functional currencies, and gains and losses on marketable securities and foreign currency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consists primarily of income taxes related to foreign and state jurisdictions in which we conduct business. We maintain a full valuation allowance on our U.S. federal and state deferred tax assets as we have concluded that it is more likely than not that the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The results of operations presented below should be reviewed in conjunction with our unaudited condensed consolidated financial statements and related notes thereto included elsewhere in this Quarterly Report. The following table sets forth our unaudited condensed consolidated results of operations for the periods presented.</w:t>
      </w:r>
    </w:p>
    <w:tbl>
      <w:tblPr>
        <w:tblW w:w="5349" w:type="dxa"/>
        <w:jc w:val="center"/>
        <w:tblInd w:w="0" w:type="dxa"/>
        <w:tblLayout w:type="fixed"/>
        <w:tblCellMar>
          <w:top w:w="28" w:type="dxa"/>
          <w:left w:w="28" w:type="dxa"/>
          <w:bottom w:w="28" w:type="dxa"/>
          <w:right w:w="28" w:type="dxa"/>
        </w:tblCellMar>
      </w:tblPr>
      <w:tblGrid>
        <w:gridCol w:w="836"/>
        <w:gridCol w:w="736"/>
        <w:gridCol w:w="737"/>
        <w:gridCol w:w="211"/>
        <w:gridCol w:w="796"/>
        <w:gridCol w:w="109"/>
        <w:gridCol w:w="109"/>
        <w:gridCol w:w="109"/>
        <w:gridCol w:w="109"/>
        <w:gridCol w:w="211"/>
        <w:gridCol w:w="796"/>
        <w:gridCol w:w="109"/>
        <w:gridCol w:w="109"/>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and expenses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stock-based compensation expense as follows:</w:t>
      </w:r>
    </w:p>
    <w:tbl>
      <w:tblPr>
        <w:tblW w:w="5200" w:type="dxa"/>
        <w:jc w:val="center"/>
        <w:tblInd w:w="0" w:type="dxa"/>
        <w:tblLayout w:type="fixed"/>
        <w:tblCellMar>
          <w:top w:w="28" w:type="dxa"/>
          <w:left w:w="28" w:type="dxa"/>
          <w:bottom w:w="28" w:type="dxa"/>
          <w:right w:w="28" w:type="dxa"/>
        </w:tblCellMar>
      </w:tblPr>
      <w:tblGrid>
        <w:gridCol w:w="837"/>
        <w:gridCol w:w="736"/>
        <w:gridCol w:w="737"/>
        <w:gridCol w:w="211"/>
        <w:gridCol w:w="721"/>
        <w:gridCol w:w="109"/>
        <w:gridCol w:w="109"/>
        <w:gridCol w:w="109"/>
        <w:gridCol w:w="109"/>
        <w:gridCol w:w="211"/>
        <w:gridCol w:w="721"/>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our unaudited condensed consolidated statements of operations as a percentage of revenue for each of the periods presented:</w:t>
      </w:r>
    </w:p>
    <w:tbl>
      <w:tblPr>
        <w:tblW w:w="5873" w:type="dxa"/>
        <w:jc w:val="center"/>
        <w:tblInd w:w="0" w:type="dxa"/>
        <w:tblLayout w:type="fixed"/>
        <w:tblCellMar>
          <w:top w:w="28" w:type="dxa"/>
          <w:left w:w="28" w:type="dxa"/>
          <w:bottom w:w="28" w:type="dxa"/>
          <w:right w:w="28" w:type="dxa"/>
        </w:tblCellMar>
      </w:tblPr>
      <w:tblGrid>
        <w:gridCol w:w="1037"/>
        <w:gridCol w:w="912"/>
        <w:gridCol w:w="915"/>
        <w:gridCol w:w="233"/>
        <w:gridCol w:w="233"/>
        <w:gridCol w:w="498"/>
        <w:gridCol w:w="200"/>
        <w:gridCol w:w="200"/>
        <w:gridCol w:w="200"/>
        <w:gridCol w:w="233"/>
        <w:gridCol w:w="233"/>
        <w:gridCol w:w="498"/>
        <w:gridCol w:w="109"/>
        <w:gridCol w:w="109"/>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Note: Certain figures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Comparison of the Three Months Ended March 31, 2026 and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w:t>
      </w:r>
    </w:p>
    <w:tbl>
      <w:tblPr>
        <w:tblW w:w="8068" w:type="dxa"/>
        <w:jc w:val="center"/>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Revenue increased by $7.5 million, or 14%, for the three months ended March 31, 2026 compared to the three months ended March 31, 2025. The increase was primarily due to increased advertiser spending and an increase in the number of active users, as measured by a 1% increase in Q1 Platform WAU.</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8054" w:type="dxa"/>
        <w:jc w:val="center"/>
        <w:tblInd w:w="0" w:type="dxa"/>
        <w:tblLayout w:type="fixed"/>
        <w:tblCellMar>
          <w:top w:w="28" w:type="dxa"/>
          <w:left w:w="28" w:type="dxa"/>
          <w:bottom w:w="28" w:type="dxa"/>
          <w:right w:w="28" w:type="dxa"/>
        </w:tblCellMar>
      </w:tblPr>
      <w:tblGrid>
        <w:gridCol w:w="911"/>
        <w:gridCol w:w="802"/>
        <w:gridCol w:w="807"/>
        <w:gridCol w:w="219"/>
        <w:gridCol w:w="751"/>
        <w:gridCol w:w="113"/>
        <w:gridCol w:w="113"/>
        <w:gridCol w:w="113"/>
        <w:gridCol w:w="113"/>
        <w:gridCol w:w="219"/>
        <w:gridCol w:w="641"/>
        <w:gridCol w:w="113"/>
        <w:gridCol w:w="109"/>
        <w:gridCol w:w="109"/>
        <w:gridCol w:w="109"/>
        <w:gridCol w:w="211"/>
        <w:gridCol w:w="616"/>
        <w:gridCol w:w="109"/>
        <w:gridCol w:w="109"/>
        <w:gridCol w:w="109"/>
        <w:gridCol w:w="109"/>
        <w:gridCol w:w="180"/>
        <w:gridCol w:w="181"/>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Cost of revenue increased by $1.6 million, or 17%, for the three months ended March 31, 2026 compared to the three months ended March 31, 2025. The increase was primarily due to a $1.4 million increase in third-party hosting costs.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tbl>
      <w:tblPr>
        <w:tblW w:w="8112"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164"/>
        <w:gridCol w:w="166"/>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$1.5 million, or 4%, for the three months ended March 31, 2026 compared to the three months ended March 31, 2025. The decrease was primarily due to a $2.2 million decrease in personnel-related costs driven by a decrease in headcount and a $0.4 million decrease in professional service fees, partially offset by a $1.1 million increase in third-party software costs.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and marketing</w:t>
      </w:r>
    </w:p>
    <w:tbl>
      <w:tblPr>
        <w:tblW w:w="8577" w:type="dxa"/>
        <w:jc w:val="left"/>
        <w:tblInd w:w="0" w:type="dxa"/>
        <w:tblLayout w:type="fixed"/>
        <w:tblCellMar>
          <w:top w:w="28" w:type="dxa"/>
          <w:left w:w="28" w:type="dxa"/>
          <w:bottom w:w="28" w:type="dxa"/>
          <w:right w:w="28" w:type="dxa"/>
        </w:tblCellMar>
      </w:tblPr>
      <w:tblGrid>
        <w:gridCol w:w="1041"/>
        <w:gridCol w:w="916"/>
        <w:gridCol w:w="922"/>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8"/>
        <w:gridCol w:w="218"/>
        <w:gridCol w:w="271"/>
        <w:gridCol w:w="109"/>
        <w:gridCol w:w="109"/>
        <w:gridCol w:w="109"/>
        <w:gridCol w:w="109"/>
        <w:gridCol w:w="109"/>
        <w:gridCol w:w="109"/>
        <w:gridCol w:w="109"/>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and other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 and performance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Neighbor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 and marketing</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decreased by $2.5 million, or 11%, for the three months ended March 31, 2026 compared to the three months ended March 31, 2025. The decrease was primarily due to a $2.3 million decrease in personnel-related costs driven by a decrease in headcount.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and administrative</w:t>
      </w:r>
    </w:p>
    <w:tbl>
      <w:tblPr>
        <w:tblW w:w="8218"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8"/>
        <w:gridCol w:w="218"/>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$1.8 million, or 11%, for the three months ended March 31, 2026 compared to the three months ended March 31, 2025. The decrease was primarily due to a $1.5 million decrease in personnel-related costs driven by a decrease in headcount and a $0.3 million decrease in professional service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income</w:t>
      </w:r>
    </w:p>
    <w:tbl>
      <w:tblPr>
        <w:tblW w:w="8058" w:type="dxa"/>
        <w:jc w:val="left"/>
        <w:tblInd w:w="0" w:type="dxa"/>
        <w:tblLayout w:type="fixed"/>
        <w:tblCellMar>
          <w:top w:w="28" w:type="dxa"/>
          <w:left w:w="28" w:type="dxa"/>
          <w:bottom w:w="28" w:type="dxa"/>
          <w:right w:w="28" w:type="dxa"/>
        </w:tblCellMar>
      </w:tblPr>
      <w:tblGrid>
        <w:gridCol w:w="911"/>
        <w:gridCol w:w="802"/>
        <w:gridCol w:w="807"/>
        <w:gridCol w:w="230"/>
        <w:gridCol w:w="672"/>
        <w:gridCol w:w="119"/>
        <w:gridCol w:w="119"/>
        <w:gridCol w:w="119"/>
        <w:gridCol w:w="119"/>
        <w:gridCol w:w="230"/>
        <w:gridCol w:w="672"/>
        <w:gridCol w:w="119"/>
        <w:gridCol w:w="109"/>
        <w:gridCol w:w="109"/>
        <w:gridCol w:w="109"/>
        <w:gridCol w:w="211"/>
        <w:gridCol w:w="541"/>
        <w:gridCol w:w="109"/>
        <w:gridCol w:w="109"/>
        <w:gridCol w:w="109"/>
        <w:gridCol w:w="109"/>
        <w:gridCol w:w="218"/>
        <w:gridCol w:w="218"/>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Interest income decreased by $0.9 million, or 19%, for the three months ended March 31, 2026 compared to the three months ended March 31, 2025. The decrease was driven by lower returns on marketable securities as a result of lower invested balances and lower interest rates.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income, net</w:t>
      </w:r>
    </w:p>
    <w:tbl>
      <w:tblPr>
        <w:tblW w:w="8054" w:type="dxa"/>
        <w:jc w:val="left"/>
        <w:tblInd w:w="0" w:type="dxa"/>
        <w:tblLayout w:type="fixed"/>
        <w:tblCellMar>
          <w:top w:w="28" w:type="dxa"/>
          <w:left w:w="28" w:type="dxa"/>
          <w:bottom w:w="28" w:type="dxa"/>
          <w:right w:w="28" w:type="dxa"/>
        </w:tblCellMar>
      </w:tblPr>
      <w:tblGrid>
        <w:gridCol w:w="911"/>
        <w:gridCol w:w="802"/>
        <w:gridCol w:w="807"/>
        <w:gridCol w:w="282"/>
        <w:gridCol w:w="483"/>
        <w:gridCol w:w="145"/>
        <w:gridCol w:w="145"/>
        <w:gridCol w:w="145"/>
        <w:gridCol w:w="145"/>
        <w:gridCol w:w="282"/>
        <w:gridCol w:w="623"/>
        <w:gridCol w:w="145"/>
        <w:gridCol w:w="109"/>
        <w:gridCol w:w="109"/>
        <w:gridCol w:w="109"/>
        <w:gridCol w:w="211"/>
        <w:gridCol w:w="541"/>
        <w:gridCol w:w="109"/>
        <w:gridCol w:w="109"/>
        <w:gridCol w:w="109"/>
        <w:gridCol w:w="109"/>
        <w:gridCol w:w="218"/>
        <w:gridCol w:w="218"/>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erif" w:hAnsi="Times New Roman;serif"/>
          <w:b w:val="false"/>
          <w:color w:val="000000"/>
          <w:sz w:val="20"/>
        </w:rPr>
      </w:pPr>
      <w:r>
        <w:rPr>
          <w:rFonts w:ascii="Times New Roman;serif" w:hAnsi="Times New Roman;serif"/>
          <w:b w:val="false"/>
          <w:color w:val="000000"/>
          <w:sz w:val="20"/>
        </w:rPr>
        <w:t>Other income, net decreased by $0.2 million, or 94%, for the three months ended March 31, 2026 compared to the three months ended March 31, 2025. The decrease was primarily due to the periodic re-measurement of monetary assets and liabilities denominated in non-functional currencies and gains and losses on marketable securities and foreign currency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7738" w:type="dxa"/>
        <w:jc w:val="left"/>
        <w:tblInd w:w="0" w:type="dxa"/>
        <w:tblLayout w:type="fixed"/>
        <w:tblCellMar>
          <w:top w:w="28" w:type="dxa"/>
          <w:left w:w="28" w:type="dxa"/>
          <w:bottom w:w="28" w:type="dxa"/>
          <w:right w:w="28" w:type="dxa"/>
        </w:tblCellMar>
      </w:tblPr>
      <w:tblGrid>
        <w:gridCol w:w="911"/>
        <w:gridCol w:w="802"/>
        <w:gridCol w:w="807"/>
        <w:gridCol w:w="266"/>
        <w:gridCol w:w="589"/>
        <w:gridCol w:w="137"/>
        <w:gridCol w:w="137"/>
        <w:gridCol w:w="137"/>
        <w:gridCol w:w="137"/>
        <w:gridCol w:w="266"/>
        <w:gridCol w:w="589"/>
        <w:gridCol w:w="137"/>
        <w:gridCol w:w="109"/>
        <w:gridCol w:w="109"/>
        <w:gridCol w:w="109"/>
        <w:gridCol w:w="211"/>
        <w:gridCol w:w="331"/>
        <w:gridCol w:w="109"/>
        <w:gridCol w:w="109"/>
        <w:gridCol w:w="109"/>
        <w:gridCol w:w="109"/>
        <w:gridCol w:w="164"/>
        <w:gridCol w:w="166"/>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decreased by less than $0.1 million, or 3%, for the three months ended March 31, 2026 compared to the three months ended March 31, 2025. The decrease was primarily due to a decrease in foreign income tax expenses.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historically generated negative cash flows from operations until recent periods, and have primarily financed our operations from net proceeds received from the sale of equity securities, proceeds from our business combination with Khosla Ventures Acquisition Co. II, and payments received from our customers. We currently have no debt outstanding.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generated losses from our operations, as reflected in our accumulated deficit of $929.7 million as of March 31, 2026. These losses are attributable to investments made in supporting the growth of our business, and we expect them to continue for the foreseeable future. We also expect to incur significant research and development, sales and marketing, and general and administrative expenses over the next several years in connection with the continued development and strategic expansion of our business.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$373.2 million in cash, cash equivalents, and marketable securities. We anticipate satisfying our short-term cash requirements, including meeting our working capital and capital expenditure requirements, with our existing cash, cash equivalents, and marketable securities. In the long term, we may satisfy our cash requirements with cash, cash equivalents, and marketable securities on hand or with proceeds from any future equity or debt financings. Our ability to support our requirements and plans for cash, including working capital and capital expenditure requirements, will depend on many factors, including the rate of our revenue growth, the timing and extent of spending on research and development efforts and other business initiatives, the expansion of sales and marketing activities, the introduction of new and enhanced product offerings and features, the continuing market adoption of our platform, any repurchase of shares we may make from time to time, and our ability to obtain equity or debt financing. Moreover, any actual or perceived instability in the U.S. or international banking systems may impact liquidity both in the short term and long term.</w:t>
      </w:r>
    </w:p>
    <w:p>
      <w:pPr>
        <w:pStyle w:val="TextBody"/>
        <w:bidi w:val="0"/>
        <w:spacing w:before="0" w:after="0"/>
        <w:ind w:left="0" w:right="0" w:hanging="36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existing cash, cash equivalents, and marketable securities are insufficient to fund our working capital and capital expenditure requirements, or should we require additional cash for other purposes, we may attempt to raise additional capital through the sale of equity or debt securities. If we raise additional funds through the issuance of equity or debt securities, those securities may have rights, preferences, or privileges senior to the rights of our Class A and Class B common stock, and our stockholders may experience dilution. Any future indebtedness we incur may result in terms that could also be unfavorable to our equity investors. There can be no assurances that we will be able to raise additional capital on terms we deem acceptable, or at all. The inability to raise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 capital as and when required would have an adverse effect, which could be material, on our results of operations, financial condition, and ability to achieve our business objectives.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2022, our Board of Directors authorized and approved a share repurchase program to repurchase up to $100.0 million in aggregate of our Class A common stock, with the authorization to expire on June 30, 2024. The timing of any repurchases depended on market conditions and other investment opportunities, and repurchases were made at our discretion. This share repurchase program did not obligate us to repurchase any dollar amount or number of shares, and the program could be extended, modified, suspended, or discontinued at any time. In February 2024, our Board of Directors authorized and approved an increase of $150.0 million to the share repurchase program and extended the expiration date to March 31, 2026. During the three months ended March 31, 2026, we repurchased and retired 16,992,982 shares of our Class A common stock at an average purchase price of $1.69 per share for an aggregate repurchase price of $28.7 million. This share repurchase program expired on March 31, 2026.</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April 2026, our Board of Directors authorized and approved a new share repurchase program to repurchase up to $100.0 million in aggregate of our Class A common stock, with the authorization to expire on June 30, 2028. The timing of any repurchases will depend on market conditions and other investment opportunities, and will be made at our discretion. The program does not obligate us to repurchase any dollar amount or number of shares, and the program may be extended, modified, suspended, or discontinued at any time.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6069" w:type="dxa"/>
        <w:jc w:val="center"/>
        <w:tblInd w:w="0" w:type="dxa"/>
        <w:tblLayout w:type="fixed"/>
        <w:tblCellMar>
          <w:top w:w="28" w:type="dxa"/>
          <w:left w:w="28" w:type="dxa"/>
          <w:bottom w:w="28" w:type="dxa"/>
          <w:right w:w="28" w:type="dxa"/>
        </w:tblCellMar>
      </w:tblPr>
      <w:tblGrid>
        <w:gridCol w:w="1255"/>
        <w:gridCol w:w="1103"/>
        <w:gridCol w:w="1107"/>
        <w:gridCol w:w="211"/>
        <w:gridCol w:w="796"/>
        <w:gridCol w:w="109"/>
        <w:gridCol w:w="109"/>
        <w:gridCol w:w="109"/>
        <w:gridCol w:w="109"/>
        <w:gridCol w:w="211"/>
        <w:gridCol w:w="79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during the three months ended March 31, 2026 was $1.2 million which resulted from a net loss of $11.4 million, adjusted for non-cash charges of $15.5 million and net cash outflows of $2.9 million from changes in operating assets and liabilities. Non-cash charges primarily consisted of $14.8 million of stock-based compensation expense and $0.4 million of depreciation and amortization expense, partially offset by $0.2 million of accretion on investments. The net cash outflows from changes in operating assets and liabilities were primarily due to a $2.3 million decrease in operating lease liabilities due to lease payments, a $1.9 million decrease in accounts payable, a $0.9 million increase in prepaid expenses and other assets, and a $0.4 million decrease in accrued expenses and other liabilities. These amounts were partially offset by a $1.8 million decrease in accounts receivable and a $0.8 million decrease in operating lease right-of-use assets due to normal amortization.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during the three months ended March 31, 2025 was $0.4 million which resulted from a net loss of $22.0 million, adjusted for non-cash charges of $17.0 million and net cash inflows of $5.3 million from changes in operating assets and liabilities. Non-cash charges primarily consisted of $17.1 million of stock-based compensation expense and $0.5 million of depreciation and amortization expense, partially offset by $0.7 million of accretion on investments. The net cash inflows from changes in operating assets and liabilities were primarily due to a $9.8 million decrease in accounts receivable, a $0.8 million increase in accounts payable, and a $0.7 million decrease in operating lease right-of-use assets due to normal amortization. These amounts were partially offset by a $3.6 million increase in prepaid expenses and other assets, a $2.0 million decrease in operating lease liabilities due to lease payments, and a $0.3 million decrease in accrued expenses and other liabilities.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Cash provided by investing activities for the three months ended March 31, 2026 was $22.7 million, which consisted of proceeds from maturities of marketable securities of $45.0 million and proceeds from sales of marketable securities of $35.7 million. This was partially offset by purchases of marketable securities of $57.9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provided by investing activities for the three months ended March 31, 2025 was $21.6 million, which consisted of proceeds from sales of marketable securities of $62.5 million and proceeds from maturities of marketable securities of $38.5 million. This was partially offset by purchases of marketable securities of $79.4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for the three months ended March 31, 2026 was $31.9 million, which consisted of repurchases of common stock of $28.7 million and tax withholdings on release of restricted stock units of $4.8 million. This was partially offset by proceeds from the issuance of common stock upon exercise of stock options of $1.1 million and proceeds from the issuance of common stock under the employee stock purchase plan of $0.4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for the three months ended March 31, 2025 was $12.8 million, which consisted of repurchases of common stock of $9.1 million and tax withholdings on release of restricted stock units of $6.0 million. This was partially offset by proceeds from the exercise of stock options of $1.6 million and proceeds from the issuance of common stock under the employee stock purchase plan of $0.7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Adjusted EBITDA</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is a non-GAAP financial measure that represents our net loss adjusted for depreciation and amortization, stock-based compensation, net interest income, provision for income taxes, and any restructuring charges or acquisition-related costs. </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is also helpful to investors, analysts, and other interested parties because it can assist in providing a more consistent and comparable overview of our operations across our historical financial periods. Adjusted EBITDA has limitations as an analytical tool, however, and you should not consider it in isolation or as a substitute for analysis of our results as reported under GAAP. 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Adjusted EBITDA is not presented in accordance with GAAP and the use of this term varies from others in our industry.</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net loss, the most comparable GAAP measure, to Adjusted EBITDA:</w:t>
      </w:r>
    </w:p>
    <w:tbl>
      <w:tblPr>
        <w:tblW w:w="5634" w:type="dxa"/>
        <w:jc w:val="center"/>
        <w:tblInd w:w="0" w:type="dxa"/>
        <w:tblLayout w:type="fixed"/>
        <w:tblCellMar>
          <w:top w:w="28" w:type="dxa"/>
          <w:left w:w="28" w:type="dxa"/>
          <w:bottom w:w="28" w:type="dxa"/>
          <w:right w:w="28" w:type="dxa"/>
        </w:tblCellMar>
      </w:tblPr>
      <w:tblGrid>
        <w:gridCol w:w="937"/>
        <w:gridCol w:w="824"/>
        <w:gridCol w:w="833"/>
        <w:gridCol w:w="211"/>
        <w:gridCol w:w="796"/>
        <w:gridCol w:w="109"/>
        <w:gridCol w:w="109"/>
        <w:gridCol w:w="109"/>
        <w:gridCol w:w="109"/>
        <w:gridCol w:w="211"/>
        <w:gridCol w:w="796"/>
        <w:gridCol w:w="109"/>
        <w:gridCol w:w="109"/>
        <w:gridCol w:w="109"/>
        <w:gridCol w:w="109"/>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prepare our condensed consolidated financial statements in accordance with GAAP. Preparing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requiring estimates, assumptions, and judgments as compared to the critical accounting policies and estimates as described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Recently Issued Accounting Pronouncements </w:t>
      </w:r>
    </w:p>
    <w:p>
      <w:pPr>
        <w:pStyle w:val="TextBody"/>
        <w:bidi w:val="0"/>
        <w:spacing w:lineRule="auto" w:line="288" w:before="0" w:after="180"/>
        <w:jc w:val="both"/>
        <w:rPr/>
      </w:pPr>
      <w:r>
        <w:rPr>
          <w:rFonts w:ascii="Times New Roman;serif" w:hAnsi="Times New Roman;serif"/>
          <w:b w:val="false"/>
          <w:color w:val="000000"/>
          <w:sz w:val="20"/>
        </w:rPr>
        <w:t>Refer to</w:t>
      </w:r>
      <w:r>
        <w:rPr>
          <w:color w:val="000000"/>
        </w:rPr>
        <w:t xml:space="preserve"> </w:t>
      </w:r>
      <w:r>
        <w:rPr>
          <w:rFonts w:ascii="Times New Roman;serif" w:hAnsi="Times New Roman;serif"/>
          <w:b w:val="false"/>
          <w:color w:val="000000"/>
          <w:sz w:val="20"/>
        </w:rPr>
        <w:t>Note 2</w:t>
      </w:r>
      <w:r>
        <w:rPr>
          <w:color w:val="000000"/>
        </w:rPr>
        <w:t xml:space="preserve"> </w:t>
      </w:r>
      <w:r>
        <w:rPr>
          <w:rFonts w:ascii="Times New Roman;serif" w:hAnsi="Times New Roman;serif"/>
          <w:b w:val="false"/>
          <w:color w:val="000000"/>
          <w:sz w:val="20"/>
        </w:rPr>
        <w:t>to our unaudited condensed consolidated financial statements included elsewhere in this Quarterly Report for more information regarding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cash, cash equivalents, and marketable securities of $373.2 million. Our cash and cash equivalents consist of cash held in banks, demand deposits, money market funds, corporate bonds, and commercial paper. The primary objectives of our investment activities are to preserve principal and provide liquidity without significantly increasing risk. We do not enter into investments for trading or speculative purposes. Due to the relatively short-term nature of our investment portfolio, a hypothetical 100 basis point change in interest rates would not have a material effect on the fair value of our portfolio for the periods presented.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functional currency of our international subsidiaries is generally their local currency. Our sales are typically denominated in the local currency of the country in which the sale was made. The majority of our revenue is denominated in U.S. Dollars. As such, our revenue is not currently exposed to significant foreign currency risk. Our operating expenses are generally denominated in the currency of the countries in which the operations are located, and are subject to fluctuations due to changes in foreign currency exchange rates, particularly the British Pound, the Euro, Canadian Dollar, and the Australian Dollar. Our consolidated results of operations and cash flows are, therefore, subject to fluctuations due to changes in foreign currency exchange rates and may be adversely affected in the future due to changes in foreign exchange rates. We do not believe a 10% change in the relative value of the U.S. Dollar would have materially affected our unaudited condensed consolidated financial statements for the periods presented. To date, we have not had a formal hedging program with respect to foreign currency, but we may do so in the future if our exposure to foreign currency should become more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68" w:before="0" w:after="18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6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the effectiveness of our disclosure controls and procedures (as defined in Rules 13a-15(e) and 15d-15(e) under the Exchange Act) as of the end of the period covered by this Quarterly Report, and have concluded that, based on such evaluation, our disclosure controls and procedures were effective as of March 31, 2026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lineRule="auto" w:line="268" w:before="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6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pStyle w:val="TextBody"/>
        <w:bidi w:val="0"/>
        <w:spacing w:lineRule="auto" w:line="268" w:before="0" w:after="180"/>
        <w:jc w:val="both"/>
        <w:rPr>
          <w:rFonts w:ascii="Times New Roman;serif" w:hAnsi="Times New Roman;serif"/>
          <w:b/>
          <w:color w:val="000000"/>
          <w:sz w:val="20"/>
        </w:rPr>
      </w:pPr>
      <w:r>
        <w:rPr>
          <w:rFonts w:ascii="Times New Roman;serif" w:hAnsi="Times New Roman;serif"/>
          <w:b/>
          <w:color w:val="000000"/>
          <w:sz w:val="20"/>
        </w:rPr>
        <w:t>Limitations on the Effectiveness of Disclosure Controls and Procedures</w:t>
      </w:r>
    </w:p>
    <w:p>
      <w:pPr>
        <w:pStyle w:val="TextBody"/>
        <w:bidi w:val="0"/>
        <w:spacing w:lineRule="auto" w:line="26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more information regarding legal proceedings and other claims in which we are involved, see Note 6, Commitments and Contingencies, to our unaudited condensed consolidated financial statements included in Part I, Item 1 of this Quarterly Report on Form 10-Q,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Investing in our Class A common stock involves risks. You should carefully consider the risks and uncertainties described below, together with all of the other information in this Quarterly Report, including the section titled “Management’s Discussion and Analysis of Financial Condition and Results of Operations” and our unaudited condensed consolidated financial statements and related notes, before deciding whether to purchase shares of our Class A common stock. You should also carefully consider the following risk factors in addition to the other information included in this Quarterly Report, including matters addressed in the above section entitled “Special Note Regarding Forward-Looking Statements.” Our business, operating results, financial condition, and prospects could also be harmed by risks and uncertainties that are not presently known to us or that we currently believe are not material. If any of these risks actually occur, our business, operating results, financial condition, and prospects could be materially and adversely affected. Unless otherwise indicated, references in these risk factors to our business being harmed will include harm to our business, reputation, brand, financial condition, operating results, and prospects. In such event, the market price of our securities could decline, and you could lose all or part of your investment. These disclosures reflect our beliefs and opinions as to factors that could materially and adversely affect us and our securities in the future. References to past events are provided by way of example only and are not intended to be a complete listing of such events or a representation as to whether or not such factors or similar events have occurred in the past or their likelihood of occurring in the future.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still scaling up our monetization efforts, which makes it difficult to evaluate our current business and future prospects, and there is no assurance we will be able to scale our business for future growth.</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commenced operating the Nextdoor platform in 2011 and began supporting the platform with advertising in 2016. In 2025, we launched our new Nextdoor initiative, the first phase of a multi-phase product transformation with the goal of making our platform more robust and engaging for users, as well as more compelling for advertisers. This initiative remains ongoing as we continue to implement additional features and enhancements. These changes may not be favorably received by users or advertisers, may not result in increased engagement or monetization, and may disrupt established usage patterns or alienate existing users. Our ability to evaluate future prospects depends in part on the success of this ongoing transformation. We have encountered, and will continue to encounter, risks and difficulties frequently experienced by growing companies in rapidly evolving industries, including challenges in accurate financial planning and forecasting, increasing competition and expenses as we effectively scale our business, and our ability to achieve market acceptance of our platform and attract, engage and retain users, who we call “neighbors” (which includes individuals) and organizations (which includes businesses and public agencies, including paying customers such as advertisers). You should consider our business and prospects in light of the risks and difficulties that we may encounter as we continue to scale our monetization efforts. We cannot ensure that we will be successful in addressing these and other challenges we may face in the future, and our business, operating results, and financial condition may be adversely affected if we do not manage these risks successfully. We may not be able to sustain or increase our current rate of growth, which is a risk characteristic often shared by companies participating in rapidly evolving industries.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we are still in the early stages of monetizing our platform. Our growth strategy depends on, among other things, increasing neighbors on the network, increasing engagement, developing new and improving existing products for neighbors and organizations, attracting more advertisers (including expanding our sales efforts to reach advertisers in additional international markets), scaling our business with existing advertisers, and delivering targeted advertisements based on neighbors’ personal taste and interests. Given the current macroeconomic environment, it may be more difficult for us to capitalize on our growth strategies. There can be no assurance that we will successfully increase monetization on our platform or that we will sustain or increase the current growth rate of our revenue.</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Adverse global economic and financial conditions could harm our business and financial condition.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Adverse global economic and financial events and the effects thereof, such as health epidemics or pandemics, geopolitical conflicts, inflation, changing interest rates, potential recessions, the implementation of tariffs by the United States, China, or other governments,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fluctuations in foreign exchange rates, actual or perceived instability in the global banking system, supply chain issues and inventory and labor shortages, have caused, and could in the future cause, disruptions and volatility in global financial markets. These conditions have in the past and may in the future translate to cost increases to us and advertisers and lead to decreased spending by our advertisers. U.S. trade policies, including tariffs on imported goods, may adversely affect economic conditions and consumer spending patterns. Current and potential U.S. tariffs, and any new or additional retaliatory tariffs that may be imposed by other countries in response to such U.S. tariffs, may adversely affect spending by advertisers and, consequently, our operating results. Trade policy uncertainty and tariff implementations may continue to contribute to market volatility and economic uncertainty. We are closely monitoring this evolving situation and there can be no assurance that we will be able to mitigate the impacts of any trade measures on our business, which could adversely impact our business, operating results, financial condition, and our stock price. In addition, since the majority of our revenue is derived from advertisers within the United States, economic conditions in the United States have a greater impact on us. We may not perform well in adverse macroeconomic conditions, which could adversely affect our business, financial condition and operating results.</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currently generate substantially all of our revenue from advertising. If advertisers reduce or eliminate their spending with us, our business, operating results, and financial condition would be adversely impacted.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Substantially all of our revenue is currently generated from the sales of advertising on our platform in the form of online display advertisements. Our advertisers typically do not have long-term advertising spend commitments with us. Many of our advertisers spend only a relatively small portion of their overall advertising budget with us. In addition, advertisers may view some of the features on our platform as experimental and unproven. Advertisers will not continue to do business with us, or they will reduce the prices they are willing to pay to advertise with us, if we do not deliver advertisements in an effective manner, or if advertisers do not believe that their investment in advertising with us will generate a competitive return relative to alternatives. Our ability to attract and retain advertisers, and ultimately generate revenue, may be adversely affected by a number of factors,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decreases in neighbor or advertiser engagement on the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slower than anticipated growth in, or lack of growth or decreases in, the number of neighbors active on the platform;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macroeconomic conditions, whether in the advertising industry in general, among specific types of advertisers or within particular geographies, including but not limited to health epidemics or pandemics, actual or perceived instability in the global banking system, labor shortages, supply chain disruptions, the implementation of tariffs by the United States, China, or other governments, a potential recession, inflation and changing interest rates;</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platform changes (such as the migration to our proprietary ad server) or inventory management decisions that change the size, format, frequency, or relative prominence of advertisements displayed on the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competitors offering more attractive pricing for advertisements that we are unable or unwilling to match;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decrease in the quantity or quality of advertisements shown to neighbors;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to laws, third-party policies or applications that limit our ability to deliver, target, or measure the effectiveness of advertising, including changes by mobile operating system and browser providers such as Apple and Google;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to demographics of our neighbors that make us less attractive to advertisers;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increase in neighbors who exercise opt-out rights under privacy laws to restrict the advertisements they receive;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neighbors that upload content or take other actions that are deemed to be hostile, inappropriate, illicit, objectionable, illegal, or otherwise not consistent with the brand of our advertisers;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government actions or legislative, regulatory, or other legal developments;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neighbor behavior or changes to the platform that may affect, among other things, the safety and security of other neighbors or the cultivation of a positive and inclusive online community;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media reports or other negative publicity involving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implementing or enforcing policies, such as advertising policies, community guidelines, and other terms of service that are perceived negatively by advertisers;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develop and improve our products for advertisers;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rapid evolution of advertising formats driven by AI, which may change how advertisements are delivered, targeted, and measured, and reduce demand for our current advertising products if we are unable to adapt our offerings competitively;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advertiser uncertainty regarding their own legal and compliance obligations, including with respect to AI, which may cause such advertisers to reduce or eliminate spending on AI-enhanced or algorithmically-targeted advertising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limitations in, or reductions to, the availability, accuracy, utility, and security of analytics and measurement solutions offered by us or third parties that are intended to demonstrate the value of our advertisements to advertisers;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to our data privacy practices that affect the type or manner of advertising that we are able to provide, including as a result of changes to laws, regulations or regulatory actions, such as the European Union’s Regulation (EU) 2016/679 (General Data Protection Regulation) (“EU GDPR”) and the United Kingdom’s Data Protection Act 2018 and UK General Data Protection Regulation (“UK GDPR” and the foregoing, collectively, “GDPR”), the European Union’s AI Act, European Directive 2002/58/EC (the “ePrivacy Directive”), the Canadian Personal Information Protection and Electronic Documents Act (“PIPEDA”), the Australia Privacy Act 1988 along with the 2024 reforms thereto and the Australian Privacy Principles (“APPs”), the California Consumer Privacy Act of 2018 (as amended, the “CCPA”) in California, and comparable U.S. state privacy laws in over a third of other states, or changes to third-party policies.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certain of these factors have adversely affected our revenue to varying degrees. The occurrence of any of these or other factors in the future could result in a reduction in demand for our advertisements, which may reduce the prices we receive for our advertisements, or cause advertisers to stop or reduce their spend with us, either of which would negatively affect our business, operating results, and financial condition. Similar occurrences in the future may impair our ability to maintain or increase the quantity or quality of advertisements shown to neighbors and adversely affect our business, operating results, and financial condition.</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ability to attract and retain advertisers depends on our ability to collect and use data and develop products to enable us to effectively deliver and accurately measure advertisements on the Nextdoor platform.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Most advertisers rely on tools that measure the effectiveness of their advertising campaigns in order to allocate their advertising spend among various formats and platforms. If we are unable to accurately measure the effectiveness of advertising on our platform, if at all, or if we are unable to convince advertisers that our platform should be part of a larger advertising budget, our ability to increase the demand and pricing of our advertising tools and maintain or scale our revenue may be limited or decline. Our ability to develop and offer products that accurately measure the effectiveness of a campaign on our platform is critical to our ability to attract new advertisers and retain and increase spend from our existing advertisers.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continually developing and improving our products for advertisers and such efforts have and are likely to continue to require significant time and resources and additional investment, and in some cases, we have relied on, and may in the future rely on, third parties to provide data and technology needed to provide certain measurement data to our advertisers. If we cannot continue to develop and improve our products for advertisers in a timely fashion, those products are not reliable, or the measurement results are inconsistent with advertisers’ expectations or goals, our revenue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web and mobile browser developers, such as Apple, Microsoft or Google, have implemented and may continue to implement changes, including requiring additional user permissions, in their browser or device operating system that impair our ability to measure and improve the effectiveness of advertising on our platform. Such changes include limiting the use of first-party and third-party cookies and related tracking technologies, such as mobile advertising identifiers, and other changes that limit our ability to collect information that allows us to attribute neighbors’ actions on advertisers’ websites to the effectiveness of advertising campaigns run on our platform. For example, Apple has implemented features in Safari and iOS, including Intelligent Tracking Prevention, App Tracking Transparency, and more recent fingerprinting protections and link tracking restrictions, that block or limit tracking technologies, restrict access to device advertising identifiers, and affect our ability to track neighbors’ actions, measure attribution, and connect their interactions with on-platform advertising. Google and other browser developers have similarly implemented or may implement privacy controls which could impact our advertising. These web and mobile browser developers have also implemented and may continue to implement changes and restrictions in browser or device functionality that limit our ability to communicate with or understand the identity of our neighbors.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These restrictions and changes make it more difficult for us to provide the most relevant advertisements to our neighbors, as well as decrease our ability to measure the effectiveness of, re-target or optimize advertising on our platform. Developers may release additional technology that further inhibits our ability to collect data that allows us to measure the effectiveness of advertising on our platform. Any other restriction, whether by law, regulation, policy (including third-party policies), user opt-outs or otherwise,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ability to collect and share data which our advertisers find useful or that further reduce our ability to measure the effectiveness of advertising on our platform, would impede our ability to attract, grow and retain advertisers. Advertisers and other third parties who provide data that helps us deliver personalized, relevant advertising may restrict or stop sharing this data and it therefore may not be possible for us to collect this data within the platform or from another source.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heavily on our ability to collect and share data and metrics for our advertisers to help new and existing advertisers understand the performance of advertising campaigns. If advertisers do not perceive our metrics to be accurate representations of our neighbors and neighbor engagement, or there are inaccuracies in our metrics, advertisers may decrease or eliminate allocations of their budgets or resources to our platform, which could harm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fail to add new neighbors or retain current neighbors, or if current neighbors engage less with the Nextdoor platform, our business, operating results, and financial condition would be adversely impacted.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number of neighbors that use the Nextdoor platform and their level of engagement on the platform are critical to our success. We must continue to engage and retain existing neighbors on our platform as well as attract, engage and retain new neighbors. The number of neighbors on the Nextdoor platform may not continue to grow at historical growth rates or at all, and it may even decline. In order to attract new neighbors, we must engage with neighbors in existing neighborhoods on our platform and add new neighborhoods to the Nextdoor platform, both domestically and internationally. If our neighbor growth rate slows or reverses, our financial performance will be adversely impacted unless we can increase our engagement with our existing neighbors and our monetization efforts to offset any such reduction or decrease in neighborhood growth rate.</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current and potential neighbors do not perceive their experience with the Nextdoor platform to be useful, the content generated on the platform to be valuable or relevant or the social connections with fellow neighbors to be worthwhile, we may not be able to attract new neighbors, retain existing neighbors or maintain or increase the frequency and duration of their engagement on our platform. In addition, if our existing neighbors decrease the frequency or duration of their engagement or the growth rate of our active neighbor base slows or reverses, we may be required to incur significantly higher marketing expenses than we currently anticipate in order to acquire new neighbors or retain current neighbors. We recently introduced our new Nextdoor initiative, the first phase of a multi-phase product transformation with the goal of making our platform more robust and engaging for users, as well as more compelling for advertisers. We may expend significant resources and management bandwidth on the implementation of this initiative, but those efforts may not be successful and may not result in the expected benefits, including increased neighbor satisfaction or engagement, or added neighbors on our platform.</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are many factors that could negatively impact our ability to grow, retain and engage current and prospective neighbors,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neighbors increasing their engagement with competitors’ platforms, products or services instead of, or more frequently than,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amount of time neighbors spend across all applications and platforms, including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failing to introduce platform enhancements that neighbors find engaging or if we introduce new features, terms, policies or procedures, or make changes to our platform, including changes we are implementing with our new Nextdoor initiative, that are not favorably received by current or prospective neighbors;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technical or other problems frustrating the neighbor experience, such as problems that prevent us from delivering our service in a fast and reliable manner;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neighbors having difficulty installing, updating or otherwise accessing the Nextdoor platform on mobile devices through the app or web browsers;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neighbor behavior on the Nextdoor platform changing, including a decrease in the quality and frequency of content shares on the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decreases in neighbor or advertiser sentiment due to questions about the quality or usefulness of our platform, concerns about the nature of content made available on the platform, concerns related to privacy, safety, security, well-being or other factors;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mandated by legislation, government and regulatory authorities, or litigation that adversely impact our platform or neighbors;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failing to obtain or attract engaging third-party content;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third parties preventing their content from being displayed on the Nextdoor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we may make to how we promote different features on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initiatives designed to attract and retain neighbors and engagement are unsuccessful or discontinued, whether as a result of actions by us, third parties, or otherwise;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or other partners and companies in the industry are the subject of adverse media reports or other negative publicity;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unable to combat spam, harassment, cyberbullying or other hostile, inappropriate, abusive or offensive content or usage on our platform;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cannot preserve and enhance our brand and reputation as a trusted neighborhood networking community.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decrease in neighbor growth, retention or engagement could render our service less attractive to neighbors or advertisers, and could harm our business, operating results, and financial condition. In addition, neighbor verification is a critical feature of our platform because it demonstrates that neighbors are real people and businesses in the neighborhood they desire to join. If we were to change our verification methods, that may adversely impact our ability to add new neighbors or retain existing neighbors.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is highly competitive. Competition presents an ongoing threat to the success of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compete with companies that provide a variety of internet products, services, content, and online advertising. In addition, aspects of our platform compete with other products and services, including home services, classifieds, recommendations, and search engines. Of these companies, we most directly compete with social media companies that offer local products to advertisers and users, including large companies such as Meta (including through Facebook and Instagram) and Alphabet (including through Google), and other companies that provide home services, classifieds, recommendations, and search engines. We compete with these companies to attract, engage, and retain users and to attract and retain advertisers. If we introduce or acquire new products and services or evolve our platform in a way that subjects us to additional competition or as existing competitors introduce new products and services or evolve their platforms, we may fail to engage or retain neighbors or attract new neighbors, which could harm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Some of our current and potential competitors have substantially broader product or service offerings and leverage their relationships based on other products or services to gain additional share of advertising spend. They have large distributed sales forces and an increasing amount of control over mobile distribution channels. Many of these competitors’ economies of scale allow them to have access to larger volumes of data and platforms that are used on a more frequent basis than the Nextdoor platform, which may enable them to better understand their member base and develop and deliver more targeted advertising. Such competitors may not need to rely on third-party data, including data provided by advertisers, to effectively target the campaigns of advertisers, which could make their advertising products more attractive to advertisers than our platform if such third-party data ceases to be available to us, whether because of regulatory changes, privacy or cybersecurity concerns or other reasons. If our advertisers do not believe that our value proposition is as compelling as those of our competitors, we may not be able to attract new advertisers or retain existing ones, and our business, operating results, and financial condition could be adversely impacted.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competitors may develop products, features, or services that are similar to our platform or that achieve greater acceptance, may undertake more far-reaching and successful product development efforts or marketing campaigns, or may adopt more aggressive pricing policies. Some competitors may gain a competitive advantage relative to us in areas where we operate, including by more effectively responding to changes to third-party products and policies or by integrating competing platforms, applications, or features into products they control such as mobile device operating systems, search engines, browsers, or e-commerce platforms. For example, Apple has introduced and continues to expand features that limit our ability, and the ability of others in the digital advertising industry, to track individual users and devices, and target and measure advertisements effectively. Additionally, the Apple App Store guidelines require apps that support account creation to also allow users to delete their account within the app. This change has and may continue to impact our ability to retain users. As a result, our competitors may, and in some cases will, acquire and engage neighbors or generate advertising or other revenue at the expense of our efforts, which would negatively affect our business, operating results, and financial condition. In addition, from time to time, we may take actions in response to competitive threats, but we cannot assure you that these actions will be successful or that they will not negatively affect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our ability to compete depends upon many factors both within and beyond our control,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popularity, usefulness, ease of use, performance, and reliability of our platform compared to our competitors’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size and composition of our neighbor base;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engagement of neighbors with our platform and competing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first- and third-party data available to us relative to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advertisers who use our free or paid advertisements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and market acceptance of developments and enhancements to our platform or our competitors’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safety and security efforts and our ability to protect neighbor data and to provide neighbors with control over their data;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distribute our platform to new and existing neighbors;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effectively monetize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successful implementation of platform changes, such as the migration to our proprietary ad server and introduction of AI technologies into our platform, and our new Nextdoor initiative;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frequency, size, format, quality, and relative prominence of the advertisements displayed by us or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customer service and support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marketing and selling efforts, including our ability to measure the effectiveness of our advertisements and to provide advertisers with a compelling return on their investments;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establish and maintain publisher interest in integrating their content with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mandated by legislation, regulatory authorities, or litigation, some of which may have a disproportionate effect on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acquisitions or consolidation within our industry, which may result in more formidable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retain, and motivate talented employees, particularly software engineers, designers, and product managers;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cost-effectively manage and grow our operations;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reputation and brand strength relative to those of our competitors.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are not able to compete effectively, our neighbor base and level of neighbor engagement may decrease, we may become less attractive to advertisers and our business, operating results, and financial condition may be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reputation and ability to attract, retain, and serve our neighbors and to scale our product offerings is dependent upon the reliable performance of our platform and our underlying technical infrastructure. We have in the past experienced, and may in the future experience, interruptions in the availability or performance of our platform from time to time. Our systems may not be adequately designed or may not operate with the reliability and redundancy necessary to avoid performance delays or outages that could be harmful to our business. If our platform is unavailable when neighbors attempt to access it, or if it does not load as quickly as expected, neighbors may not use our platform as often in the future, or at all, and our ability to serve advertisements may be disrupted, any of which could adversely affect our business, operating results, and financial condition. As the amount and types of information shared on our platform continues to grow and evolve, as the usage patterns of our communities continues to evolve, and as our internal operational demands continue to grow, we will need an increasing amount of technical infrastructure, including network capacity and computing power, to continue to satisfy our needs. If we fail to continue to effectively scale and grow our technical infrastructure to accommodate these increased demands, neighbor engagement and revenue growth may be adversely impacted. Moreover, as we scale our platform and product offerings, including video and other platform features, that may place strain on our technical infrastructure, and we may also be unsuccessful in scaling our technical infrastructure to accommodate new product offerings and increased platform usage cost-effectively. In addition, our business may be subject to interruptions, delays, or failures resulting from earthquakes, fires, floods, adverse weather conditions, other natural disasters, power loss, terrorism, pandemics, ongoing current and future geopolitical conflicts (including the conflict in Iran), other physical security threats, cyber-attacks, or other catastrophic events. If such an event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were to occur, neighbors may be subject to service disruptions or outages and we may not be able to recover our technical infrastructure and neighbor data in a timely manner to restart or provide our services, which may adversely affect our financial results. In addition, a substantial number of our employees are based in our headquarters located in San Francisco, California. If there is a catastrophic failure involving our systems or major disruptive event affecting our headquarters or the San Francisco area in general, we may be unable to operate our platform.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substantial portion of our network infrastructure is provided by third parties, including AWS. We also rely on third parties for other technology related services, including certain AI functions. Any disruption or failure in the services we receive from these providers could impact the availability of our platform and could adversely impact our business, operating results and financial condition. Any financial or other difficulties these providers face may adversely affect our business, and we exercise little control over these providers, which increases our reliance on and vulnerability to problems with the services they provide and increases in the costs of these services.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integrate third-party AI models and tools into our platform and internal systems, which may expose us to risks including supply-chain compromise, model poisoning, and vulnerabilities inherent in large-language-model-integrated application attack surfaces. If third-party AI models we rely upon are compromised or behave unexpectedly, our platform features could be degraded or exploited for malicious purposes, and we could face operational disruption, reputational harm, or regulatory liability.</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of these developments may result in interruptions in the availability or performance of our platform, result in neighbors ceasing to use our platform, require unfavorable changes to our platform, delay the introduction of future products, or otherwise adversely affect our reputation,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If we fail to scale our business effectively, our business, operating results, and financial condition would be adversely affected.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experienced growth in recent years and expect to continue to invest strategically across our organization to support measured growth, while also scaling back certain areas of our business in response to changing economic conditions. Although we have experienced rapid growth historically, we may not return to prior growth rates or sustain our growth rates, nor can we assure you that our investments to support our growth or to manage expenses by scaling back other areas of our business will be successful. The effective scaling of our business will require us to invest financial and operational resources and the continuous dedication of our management team.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continue to expand our international operations into more countries in the future, which will place additional demands on our resources and operations. The growth and expansion of our business has placed, and continues to place, a significant strain on our management, operations, and financial and technical infrastructure. In the event of further growth of our business or in the number of our third-party relationships, our information technology systems or our internal controls and procedures may not be adequate to support our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Further, as we have grown, our business has become increasingly complex and may require more resources. To manage any future growth effectively, we must continue to improve and expand our information technology and financial infrastructure, our operating and administrative systems and controls, and our ability to manage headcount, capital, and processes in an efficient and appropriate manner. Failure to manage growth effectively could result in increases in costs, difficulties in introducing new products and services or enhancing the platform, loss of neighbors and advertisers, or other operational difficulties, any of which could adversely affect our business, operating results, and financial condition. For example, as we expand our product offerings, we may not be able to do so cost-effectively. Effectively managing our growth may also be more difficult to accomplish the longer that our employees, our advertisers, neighbors and the overall economy is impacted due to macroeconomic conditions and factors, including but not limited to the impacts related to the actual or perceived instability in the global banking system, labor shortages, supply chain disruptions, a potential recession, the implementation of tariffs by the United States, China, or other governments, changing interest rates and inflation, and ongoing current and future geopolitical conflicts (including the conflict in Iran).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able to successfully implement or scale improvements to our systems, processes, and controls in an efficient or timely manner.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will continue to add complexity to our organization and require effective coordination throughout our organization. Failure to manage any future growth effectively could result in increased costs, cause difficulty or delays in attracting new neighbors or retaining or increasing the engagement of existing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neighbors, cause difficulties in introducing new features, impact our ability to attract and retain talent or cause other operational difficulties, and any of these difficulties would adversely impact our business, operating results, and financial condition.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from time to time, we realign our resources and talent to implement stage-appropriate business strategies, which could include furloughs, layoffs and reductions in force. For example, in 2023, 2024 and 2025, in response to changing economic conditions and in an effort to support our growth, scale and profitability objectives, reduce our operational costs and improve our organizational efficiency, we executed restructuring plans, which included a restructuring and reduction of the current workforce. As part of the restructuring plan implemented in 2024, we ceased occupying and abandoned certain floors of our leased headquarters in San Francisco in order to adjust its office space footprint to better align with the needs of its work model. If there are unforeseen expenses associated with such realignments in our business strategies, and we incur unanticipated charges or liabilities, then we may not be able to effectively realize the expected cost savings or other benefits of such actions. Failure to manage any growth or any scaling back of our operations could have an adverse effect on our business, operating results, and financial condition.</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or our industry generally are unable to provide a high-quality and secure customer experience in the various locales in which we operate, our brand could suffer reputational damage and our business results could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largely driven by and reliant on customer trust. The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systems could reduce customer confidence in our services. In addition, any breach, or reported breach, of our systems, our information security policies, or legal requirements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do not successfully anticipate market needs and develop products and services and platform enhancements that meet those needs, or if those products, services, and platform enhancements do not gain market acceptance, our business, operating results, and financial condition will be adversely impacted.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not be able to anticipate future market needs or be able to improve our platform or to develop new products and services or platform enhancements to meet such needs on a timely basis, if at all. In addition, our inability to diversify beyond our current offerings could adversely affect our business. Any new products or services or platform enhancements that we introduce, including by way of acquisitions, may not achieve any significant degree of market acceptance from current or potential neighbors, which would adversely affect our business, operating results, and financial condition. In addition, the introduction of new products or services or platform enhancements may decrease neighbor engagement with our platform, thereby offsetting the benefit of even a successful product or service introduction, any of which could adversely impact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not be successful in our AI initiatives, which could adversely affect our business, reputation, or financial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continuing to make investments in AI initiatives, including to recommend relevant content across our products, enhance our advertising tools, and develop new product features using generative AI. AI technologies are complex and rapidly evolving, and we face significant competition from other companies as well as an evolving regulatory landscape. These efforts, including the introduction of new products or changes to existing products, may result in new or enhanced governmental or regulatory scrutiny, litigation, ethical concerns, confidentiality or privacy and security risks, or other complications that could adversely affect our business, operating results and financial condition. Our use of datasets to develop AI models, the content generated by AI systems, or the application of AI systems may be found to be insufficient, offensive, biased, or harmful, or violate current or future laws and regulations. For example, as part of the new Nextdoor initiative, we are testing AI-powered experiences (such as an “Ask” surface) that can draw insights from users’ posts and comments about businesses and services in their neighborhoods and provide summarized recommendations in response to neighbor prompts. The reliance of these features on user-generated conversations exposes us to risks related to the accuracy of the data, potential bias in the generated recommendations, and the lack of transparency of AI-derived summaries of discussions within the community. If AI-generated recommendations are perceived as inaccurate, biased, or unfair, or if they surface inappropriate or outdated content, we could face reputational harm, regulatory scrutiny, or legal claims from users or businesses. Moreover, AI may give rise to litigation risk, including potential intellectual property or privacy liability. The recent releases of more capable general-purpose AI models by major providers also may enable bad actors to more effectively evade our content detection and classification systems, undermine trust and safety measures, or create harmful content at scale, including spam, synthetic media, deepfakes, and coordinated manipulation campaigns. Responding to these threats may increase our content moderation, safety, and enforcement costs and require ongoing investment in detection and provenance technologies. Furthermore, the integration of third-party AI models with our products and services relies on certain safeguards implemented by the third-party developers of the underlying AI models, including those related to accuracy, bias, training data, quality of output, and other matters, and these safeguards may be insufficient. In addition, the quality, accuracy, availability, or efficacy of third-party AI models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degrade over time, which could negatively impact the performance of our AI-powered features and expose us to additional risks. If our offerings draw controversy due to their perceived or actual impact on society, such as AI solutions that have unintended consequences or are controversial because of unintended impacts to rights, privacy, employment, or other social, economic, or political issues, or if we are unable to develop effective internal policies and frameworks relating to the responsible development and use of AI models and systems, we may experience brand, reputational, and/or competitive harm, or could face legal liability. Moreover, other companies may develop AI features and technologies that are similar or superior to our technologies or are more cost-effective to develop and deploy. Given the long history of development in the AI sector, other parties may have (or in the future may obtain) patents or other proprietary rights that would prevent, limit, or interfere with our ability to make, use, or sell our own AI features. Existing laws and regulations may be interpreted, or new laws and regulations regarding AI have been and may in the future be adopted and interpreted, in ways which could negatively affect the way we use AI in our products. For example, the EU Artificial Intelligence Act prohibits certain high-risk AI applications and imposes strict requirements on others, potentially requiring additional quality controls and regulatory submissions for our products. In the United States, there is no comprehensive federal AI law, but over half of states have enacted or proposed AI legislation, including the Colorado Artificial Intelligence Act (effective June 30, 2026), which regulates high-risk AI systems and imposes transparency obligations. Recently, the U.S. federal government has indicated it may seek to preempt states’ ability to regulate AI. The regulatory landscape for AI is fragmented and rapidly evolving, with ongoing legal challenges and uncertainty around applicable obligations, implementation, and enforcement. As a result, we may need to devote significant resources to adapt our offerings to comply with requirements that vary over time and across jurisdictions, and unresolved issues around AI-related laws may expose us to legal or regulatory risk. Finally, intellectual property ownership issues, licensing and privacy rights surrounding AI technologies are evolving and have not been fully addressed by U.S. federal or state courts or foreign jurisdictions, which may expose us to claims of intellectual property infringement or misappropriation or privacy rights violations, or result in inquiries by government bodies or agencies. Such issues may also undermine the availability or functionality of third party AI tools or services that we deploy in order to operate our business or services that we offer to consumers. Any of these factors could adversely affect our business, operating results, and financial condition.</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our efforts to build strong brand identity and reputation are not successful, we may not be able to attract or retain neighbors, and our business, operating results, and financial condition will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maintaining and enhancing the “Nextdoor” brand and reputation, including through the new Nextdoor initiative, is critical to retaining and growing neighbors and advertisers on our platform. We anticipate that maintaining and enhancing our brand and reputation will depend largely on our continued ability to provide high-quality, relevant, reliable, trustworthy and innovative features on our platform, which may require substantial investment and may not be successful. We may need to introduce new products, services and features or updates to our platform and features that require neighbors to agree to new terms of service that our neighbors do not like, which may negatively affect our brand and reputation.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advertisements or actions of our advertisers may affect our brand and reputation if neighbors do not think the advertisements help them accomplish their objectives, view the advertisements as intrusive or misleading or have poor experiences with our advertisers.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brand and reputation may also be negatively affected by the content or actions of neighbors that are deemed to be hostile or inappropriate to other neighbors, by the actions of neighbors acting under false or inauthentic identities, by the use of our platform to disseminate misleading or false information, the use of our platform for fraudulent schemes and scams, or by the use of our service for illicit, illegal or objectionable ends. The increasing availability and sophistication of generative AI tools may enable bad actors to create and distribute, at scale, AI-generated content on our platform, including fake posts, fabricated reviews of local businesses, deepfakes, and other misleading or manipulative content that is more difficult to detect and moderate than traditional spam or misinformation. This content may include the creation of fraudulent or misleading advertisements, or business profiles designed to deceive neighbors. Such AI-generated content could be particularly damaging to trust in our hyperlocal communities, where neighbors rely on the authenticity of content and advertisements shared on or through our platform. If we are unable to effectively detect and prevent such content, we could face reputational harm, reduced neighbor engagement, loss of advertiser confidence, regulatory scrutiny, or legal claims, any of which could adversely affect our business, operating results, and financial condition. We also may fail to respond expeditiously to the sharing of illegal, illicit or objectionable content on our service or objectionable practices by advertisers, or to otherwise address our neighbors’ concerns, which could erode confidence in our brand and damage our reputation. We expect that our ability to identify and respond to this content in a timely manner may decrease as the number of neighbors grows, as the amount of content on the platform increases or as we expand our product and service offerings on our platform. Any governmental or regulatory inquiry, investigation or action, including based on the appearance of illegal, illicit or objectionable content on our platform or the failure to comply with laws and regulations, could damage our brand and reputation, regardless of the outcome.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experienced, and expect to continue to experience, media, legislative, governmental and regulatory scrutiny of our decisions. Any scrutiny regarding us, including regarding our data privacy, content moderation or other practices, platform changes, platform quality, litigation or regulatory action, or regarding the actions of our employees, neighbors, or advertisers or other issues, may harm our brand and reputation. In addition, scrutiny of other companies in our industry, including such companies’ data privacy, content moderation or other practices, could also have a negative impact on our brand and reputation. These concerns, whether actual or unfounded, may also deter neighbors or advertisers from using our platform. In addition, we may fail to adequately address the needs of neighbors and advertisers which could erode confidence in our brand and damage our reputation. If we fail to promote and maintain the “Nextdoor” brand or preserve our reputation, or if we incur excessive expenses in this effort, our business, operating results, and financial condition could be adversely impacted.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Unfavorable media coverage negatively affects our business from time to time.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Unfavorable publicity regarding us, for example regarding our privacy or cybersecurity practices, terms of service, advertising policies, platform changes, platform quality, litigation or regulatory activity, the actions of our advertisers, the use of our platform for illicit or objectionable ends, the substance or enforcement of our community standards, the actions of our neighbors, the quality and integrity of content shared on our platform, or the actions of other companies that provide similar services to us, has in the past, and could in the future, adversely affect our reputation. For example, we have been, and may in the future be, subject to negative publicity in connection with our handling of misinformation and other illicit or objectionable uses of our platform. Any such negative publicity could have an adverse effect on the size, engagement, and loyalty of our neighbor base and advertiser demand for advertising on our platform, which could result in decreased revenue and adversely affect our business, operating results, and financial condition, and we have experienced such adverse effects to varying degrees from time to time.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product and investment decisions may conflict with the short-term financial results and may not produce the long-term benefits that we expect.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make product and investment decisions, which we believe are essential to the success of our platform and in serving the best, long-term interests of Nextdoor and our stockholders. In the past, including with the introduction of the new Nextdoor initiative, we have forgone, and may in the future forgo, certain expansion or revenue opportunities or other opportunities that have positive short-term financial impacts that we do not believe are aligned with the long-term success of our platform, even if our decision may negatively impact our operating results in the short term. In addition, in connection with implementing our new Nextdoor initiative, we anticipate shifts in usage and available ad impressions which may adversely impact our business, operating results, and financial condition. Our decisions may not result in the long-term benefits that we expect, in which case our neighbor engagement, business, operating results, and financial condition could be harmed.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expand our international operations where we have limited operating experience and may be subject to increased business, regulatory, and economic risks that could seriously harm our business, operating results,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choose to further expand our business operations abroad by opening new and expanding within existing neighborhoods outside of the United States, though our primary focus remains on improving our product experience and aligning our operations to best serve users and advertisers in our existing markets. As of March 31, 2026, the Nextdoor platform was accessible in 11 countries (including the United States). We may enter new international markets and expand in existing markets where we have limited or no experience in marketing, selling, advertising and deploying our platform or selling advertising. Any of our limited experience and infrastructure in such markets, individuals’ lack of familiarity with us or our platform, the existence of alternative platforms in such jurisdictions that offer similar products and services or the lack of a critical mass of potential neighbors in such markets may make it more difficult for us to effectively monetize any increase in neighbors in those markets, and may increase our costs without a corresponding increase in revenues. If we fail to deploy or manage our operations in international markets successfully, comply with international regulations or effectively monetize our platform in international markets to the same degree as we are able to monetize our efforts within the United States, our business, operating results and financial conditions will be adversely affected. In the future, if our international operations increase, or more of our expenses are denominated in currencies other than the U.S. dollar, our operating results may be more greatly affected by fluctuations in the exchange rates of the currencies in which we do business. In addition, as our international operations and sales to advertisers continue to grow, we will be subject to a variety of risks inherent in doing business internationally,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political, social and economic instability, including as a result of geopolitical conflicts, acts of war or terrorism;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related to the legal and regulatory environment in foreign jurisdictions, including with respect to privacy and data protection, and unexpected changes in laws, regulatory requirements, and enforcement;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potential damage to our brand and reputation due to compliance with local laws, including potential censorship and requirements to provide neighbor information to local authorities;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enhanced difficulty in reviewing content on the Nextdoor platform and enforcing community standards across different languages and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fluctuations in currency exchange rates;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foreign exchange controls and tax and other regulations and orders that might prevent us from repatriating cash earned in countries outside the United States or otherwise limit our ability to move cash freely, and impede our ability to invest such cash efficiently;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compliance with multiple U.S. and international tax jurisdictions and management of tax impact of global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potentially higher levels of credit risk and payment fraud;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integrating any foreign acquisitions;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burdens of complying with a variety of foreign laws, including laws related to taxation, content removal, data localization, data transfer, consents, payments, and regulatory oversight, as well as laws relating to online safety, intermediary liability, or content moderation;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reduced protection for intellectual property rights in some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different regulations and practices with respect to employee/employer relationships, existence of workers’ councils and labor unions, increase in labor costs due to high wage inflation in certain international jurisdictions, and other challenges caused by distance, language and cultural differences, making it harder to do business in certain international jurisdictions;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staffing and managing global operations and the increased travel, infrastructure, and legal compliance costs associated with multiple international locations.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must manage the potential conflicts between locally accepted business practices in any given jurisdiction and our obligations to comply with laws and regulations, including anti-money laundering laws, anti-corruption laws or regulations applicable to us, such as the U.S. Foreign Corrupt Practices Act, and the U.K. Bribery Act 2010. We also must manage our obligations to comply with laws and regulations related to export controls, sanctions, and embargoes, including regulations established by the U.S. Office of Foreign Assets Control. Government agencies and authorities have a broad range of civil and criminal penalties they may seek to impose against companies for violations of anti-corruption laws or regulations, export controls, and other laws, rules, sanctions, embargoes, and regulations. Any failure by us to comply with local business practices or the laws and regulations applicable to us in the markets in which we operate may adversely affect our business, operating results, and financial condition. Additionally, if we are unable to expand internationally and manage the complexity of our global operations successfully, our business, operating results, and financial condition could be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need additional capital in the future, it may not be available on favorable terms, if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historically relied on outside financing to fund our operations, capital expenditures and expansion. We may require additional capital from equity or debt financing in the future to support our growth, fund our operations or to respond to competitive pressures or strategic opportunities. We may not be able to secure timely additional financing on favorable terms, if at all. The current macroeconomic environment may make it more difficult to raise additional capital on favorable terms, if at all. If we raise additional funds through further issuances of equity, convertible debt securities or other securities convertible into equity, our existing stockholders could suffer significant dilution in their percentage ownership, and any new securities that we issue could have rights, preferences and privileges senior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If we are unable to obtain adequate financing or financing on terms that are satisfactory to us, if and when we require financing, our ability to grow or support our business and to respond to business challenges that we may face could be significantly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make acquisitions, which could harm our financial condition or operating results and may adversely affect the price of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part of our business strategy, we have made, and may in the future make acquisitions to add specialized employees and complementary companies, products or technologies, data, and enter new geographic regions. Our previous and future acquisitions may not achieve our goals, and we may not realize benefits from acquisitions we make in the future. If we fail to successfully integrate acquisitions, or the personnel or technologies associated with those acquisitions, our business, operating results, and financial condition could be harmed. Any integration process will require significant time and resources, and we may not be able to manage the process successfully. Our acquisition strategy may change over time and any future acquisitions we complete could be viewed negatively by neighbors,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In the future, we may not be able to find other suitable acquisition candidates, and we may not be able to complete acquisitions on favorable terms, if at all. Our acquisition strategy could require significant management attention, disrupt our business and harm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depends largely on our ability to attract,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future success depends on our continuing ability to attract, train, assimilate, and retain highly 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and the change by companies to offer a remote or hybrid work environment may increase the competition for such employees from employers outside of our traditional office locations.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able to retain our current key employees or attract, train, assimilate, or retain other highly skilled personnel in the future. We have incurred, and may continue to incur, significant costs to attract and retain highly skilled personnel, and we may lose new employees to our competitors or other technology companies before we realize the benefit of our investment in recruiting and training them. As we move into new geographies, we will need to attract and recruit skilled personnel in those areas. Further, labor is subject to external factors that are beyond our control, including our industry’s highly competitive market for skilled workers and leaders, cost inflation, and workforce participation rates. Further, in 2023, 2024, and 2025, in response to changing economic conditions and in an effort to reduce our operational costs and improve our organizational efficiency, we executed restructuring plans, which included a restructuring and reduction of the current workforce. As part of the restructuring plan implemented in 2024, we ceased occupying and abandoned certain floors of our leased headquarters in San Francisco in order to adjust our office space footprint to better align with the needs of our work model. These restructuring plans could negatively impact our ability to attract, integrate, retain and motivate key employees. If we are unable to attract and retain suitably qualified individuals who are capable of meeting our growing technical, operational, and managerial requirements, on a timely basis or at all, our business, operating results, and financial condition may be adversely affected.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future success also depends in large part on the continued services of senior management and other key personnel. In particular, we are dependent on the services of Nirav Tolia, our Chief Executive Officer and President, who is critical to the future vision and strategic direction of our business. We rely on our senior management team and key employees in the areas of engineering, sales and product development, design, marketing, operations, strategy, security, and general and administrative functions. Our senior management and other key personnel are all employed on an at-will basis, which means that they could terminate their employment with us at any time, for any reason, and without notice. We do not currently maintain key-person life insurance policies on any of our officers or employees. If we lose the services of senior management or other key personnel, or if we are unable to attract, train, assimilate, and retain the highly skilled personnel that we need, our business, operating results, and financial condition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Volatility or lack of appreciation in our stock price may also affect our ability to attract and retain our key employees. Our employees may be more likely to leave if the shares they own or the shares underlying their vested options have significantly appreciated in value relative to the original purchase price of the shares or the exercise price of the options, or conversely, if the exercise price of the options that they hold is significantly above the market price of our Class A common stock. If we are unable to retain our employees, or if we need to increase our compensation expenses to retain our employees, our business, operating results, and financial condition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Security and Technology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dependent on third-party software and service providers, including ads platforms and programmatic advertising partners, for management and delivery of certain advertisements on the Nextdoor platform. Any failure or interruption experienced by such third parties could result in the inability of certain businesses to advertise on our platform, and adversely impact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Currently, we are dependent on third-party software and service providers, including ads platforms and programmatic advertising partners, for management and delivery of certain advertisements on the Nextdoor platform. As such, the continued use of third-party software and service providers, including these ads platforms and programmatic advertising partners, is critical to our continued success and any service disruptions, adverse changes to the terms of use, pricing or related terms and conditions for such third-party providers’ products, or difficulties with such products, including our data usage, meeting our requirements or standards could result in the inability of certain businesses to advertise on our platform, and adversely impact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rely on third-party software, cloud infrastructure, and communications service providers, including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on third-party software and service providers, including AWS, to provide systems, storage and services, including neighbor login authentication, for our website and third-party communications and email delivery services to send notifications and other messages to neighbors and advertisers. Any technical problem with, cyber-attack on or loss of access to such third parties’ systems, servers, or technologies could result in the inability of neighbors to access the Nextdoor platform or receive timely communications from us or result in the theft of neighbors’ personal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Because we rely on third-party technology providers in our business, including cloud infrastructure, communications, and other software services, we rely on the cybersecurity practices and policies adopted by these third parties. Our ability to monitor our third-party technology providers’ cybersecurity practices is limited.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significant disruption, limitation or loss of our access to or other interference with our use of AWS, including as a result of termination by AWS of its agreement with us, would negatively impact our business, operating results, and financial condition. In addition, any transition of the cloud services currently provided by AWS to another cloud services provider would be difficult to implement and would cause us to incur significant time and expense and could disrupt or degrade our ability to deliver our products and services. The level of service provided by AWS could affect the availability or speed of our services. Similarly, outages, service limitations, or deliverability issues affecting the third</w:t>
        <w:noBreakHyphen/>
        <w:t>party communications and email services we use could impair our ability to send notifications and other messages to neighbors and advertisers in a reliable and timely manner. If neighbors or advertisers are not able to access our platform or encounter difficulties in doing so, or if they do not reliably receive communications from us, we may lose neighbors or advertisers, which could harm our reputation,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utilize data center hosting facilities operated by AWS in various locations. We are unable to serve network traffic from back-up data center services. An unexpected disruption of services provided by these data centers could hamper our ability to handle existing or increased traffic, result in the loss of data or cause our platform to become unavailable, which may harm our reputation,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rely on third parties, including email providers, mobile data networks, and identity verification service providers to complete the verification process for our neighbors’ accounts. Any failure or interruption experienced by such third parties could result in the inability of neighbors to join our platform, resulting in harm to our reputation and an adverse impact to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on third parties to verify our neighbors’ accounts through several methods, including but not limited to email, SMS text message, geolocation and mailed invitations. For example, we utilize email providers, mobile data networks, and identity verification service providers to verify neighbors’ accounts. Account verification is a critical feature of our platform because it demonstrates that neighbors actually live in the neighborhood they desire to join. Any failure, interruption, or loss of access to such third parties or their software could result in the inability of neighbors to join our platform. Our reliance on third parties makes us vulnerable to any service interruptions, whether as a result of a cyber-attack, security breach, weather or other events, or delays in their operations. Additionally, alternative email providers, mobile data networks, identity verification service providers or postal providers may be more costly to use than our current providers. Any disruption in the third parties could harm our neighbor growth, which in turn could make us a less attractive advertising platform and harm our reputation, and could harm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Technologies have been developed that can block the display of advertisements on the Nextdoor platform, which could adversely impact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Technologies have been developed, and will likely continue to be developed, that can block the display of advertisements on the Nextdoor platform. We generate substantially all of our revenue from advertising, and ad-blocking technologies may prevent the display of certain advertisements appearing on our platform, which could harm our business, operating results, and financial condition. Existing ad-blocking technologies that have not been effective on our platform may become effective as we make certain platform changes, and new ad-blocking technologies may be developed in the future. More neighbors may choose to use such ad-blocking products to block or obscure the display of advertisements on our platform if we are unable to successfully balance the amount of our organic content and paid advertisements, or if neighbors’ attitudes toward advertisements become more negative. Further, regardless of their effectiveness, ad-blockers may generate concern regarding the health of the digital advertising industry, which could reduce the value of digital advertising and harm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Security breaches, including improper access to or disclosure of our data or our neighbors’ data, or other hacking and phishing attacks on our or third-party systems, could harm our reputation, adversely affect our business, and result in legal liability.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collect, store and otherwise process personal data relating to a significant number of individuals such as our neighbors, employees and partners, including, but not limited to, neighbor contact details, network details, and location data. The evolution of information technology systems introduces unknown and complex security risks that can be unpredictable and difficult to defend against. Cyber-attacks continue to evolve in sophistication and volume, and inherently may be difficult to detect for long periods of time. More capable general-purpose AI models released by major providers that are or may soon become widely accessible to developers and end users have amplified, and will continue to amplify, the capabilities of threat actors, enabling more targeted and convincing phishing and social engineering campaigns, automated identification and exploitation of software vulnerabilities, the generation of novel malware and attack vectors, prompt injection attacks, automated reconnaissance, and the ability to conduct attacks at greater speed and scale than previously possible. These AI-enhanced threats may be more difficult to detect using traditional security measures and may require us to invest in additional defensive capabilities. In particular, social media companies, like us, are prone to cyber-attacks by third parties seeking unauthorized access to company or user data or to disrupt their ability to provide access to their products and services.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take a variety of technical and organizational security measures and other measures to protect our data. Although we have implemented systems and processes that are designed to protect our data, prevent data loss, disable undesirable accounts and activities on our platform and prevent or detect security breaches, and maintain an information security policy, such measures cannot provide absolute security, and despite measures that we have or will in the future put in place, we may be unable to anticipate or prevent unauthorized access to such data. For example, computer malware, viruses, social engineering (such as spear phishing attacks), ransomware, and general hacking have become more prevalent in the industry, have occurred on our systems in the past, and are likely to occur on our systems in the future. In addition, we regularly encounter attempts to create false or undesirable accounts or take other actions on our platform for purposes such as spamming, spreading misinformation, or other objectionable ends. Our efforts to protect our data may also be unsuccessful due to software bugs or other technical malfunctions; employee, contractor, or vendor error or malfeasance; threat actors, nation-states and nation-state supported actors engaging in cyber-attacks; or other threats that evolve.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Some third parties, including advertisers, vendors and service providers, may store information that we share with them on their networks. If these third parties fail to implement adequate data-security practices or fail to comply with their contractual obligations and/or, where applicable, our applicable terms and policies, our data may be improperly accessed, used or disclosed. Even if these third parties take all the necessary precautions and comply with their applicable obligations, their networks may still suffer a security incident, which could compromise our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Security incidents may cause interruptions to our platform, degrade the neighbor experience, cause neighbors or advertisers to lose confidence and trust in our platform, impair our internal systems, or result in financial harm to our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affected neighbors, government authorities or other third parties could initiate legal or regulatory actions against us in connection with any actual or perceived security breaches or improper disclosure of data, which could cause us to incur significant expense and liability or result in orders or consent decrees forcing us to modify our business practices. Such incidents or our efforts to remediate such incidents may also result in a decline in our active neighbor base or engagement levels and trust. In addition, such incidents could also result in the loss or misuse of such data, which could harm our business and reputation and diminish our competitive position. In addition, any of these events could have a material and adverse effect on our business, operating results, financial condition, market acceptance of our products or revenues and may also divert development resources and increase service and support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landscape of laws, regulations, and industry standards related to cybersecurity is evolving globally. We may be subject to increased compliance burdens by regulators and customers with respect to our platform, as well as additional costs to oversee and monitor security risks. Many jurisdictions have enacted laws mandating companies to inform individuals, stockholders, regulatory authorities, and others of security breaches. For example, the SEC has adopted cybersecurity risk management and disclosure rules, which require the disclosure of information pertaining to material cybersecurity incidents and cybersecurity risk management, strategy, and governance.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we maintain insurance policies, our coverage may be insufficient to compensate us for all losses caused by security incidents, and any such security incidents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 Furthermore, our insurance coverage may not extend to all risks we face, including all AI-related risks, and may not cover us for all losses for errors or omissions caused by AI.</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agreements with third parties, including without limitation significant agreements with payment processors, credit card and debit card issuers and bank partners, contain contractual commitments we are required to adhere to related to information security and data privacy compliance. If we experience a data protection violation or security incident that triggers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market and distribute our platform (including related mobile applications) through a variety of third-party publishers and distribution channels. Our ability to market our brands on any given property or channel is subject to the policies of the relevant third party. There is no guarantee that mobile platforms will continue to feature our platform, or that neighbors using mobile devices will continue to use our platform rather than competing products. We are dependent on the interoperability of our platform with mobile operating systems, networks, technologies, products, and standards that we do not control, such as the Android and iOS operating systems. Any changes, bugs, or technical issues in such systems, or changes in our relationships with mobile operating system partners, handset manufacturers, or mobile carriers, or in their terms of service or policies that degrade the functionality of our platform, reduce or eliminate our ability to update or distribute our platform, give preferential treatment to competitive products, limit our ability to deliver, target, or measure the effectiveness of advertisements, or charge fees related to the distribution of our platform or our delivery or placement of advertisements could materially adversely affect the usage of our platform on mobile devices, our business, operating results, and financial condition. For example, Apple requires neighbors using the app to opt in before their identifier for advertisers can be accessed by an app and has security measures in its Apple mail client available on its operating systems which have impacted, and are expected to continue to impact, our ability to track individual users and devices, and measure the effectiveness of our advertisements. While we have not observed any directly attributable negative impact on our business, operating results or financial condition, including our revenue, revenue growth rates, and operating income (loss), related to these features, we may be impacted by such changes, or other changes to third-party policies or applications in the future, and as a result, our business, operating results and financial condition, including our revenue, revenue growth rates, and operating income (loss), could, in the future, be adversely impacted by changes made by third-party publishers and distribution channels.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certain publishers and channels have, from time to time, limited or prohibited advertisements for a variety of reasons. There is no assurance that we will not be limited or prohibited from using certain current or prospective marketing channels in the future. If this were to happen in the case of a significant marketing channel and/or for a significant period of time, our business, operating results, and financial condition could be materially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platform and internal systems rely on software and hardware that is highly technical, and any errors, bugs, or vulnerabilities in these systems, or failures to address or mitigate technical limitations in our systems, could adversely affect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platform and internal systems rely on software and hardware, including software and hardware developed or maintained internally and/or by third parties, that is highly technical and complex. In addition, our platform and internal systems depend on the ability of such software and hardware to store, retrieve, process, and manage immense amounts of data. The software and hardware on which we rely has contained, and will in the future contain, errors, bugs, or vulnerabilities, and our systems are subject to certain technical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limitations that may compromise our ability to meet our objectives. Some errors, bugs, or vulnerabilities inherently may be difficult to detect and may only be discovered after the code has been released for external or internal use. Errors, bugs, vulnerabilities, design defects, or technical limitations within the software and hardware on which we rely have in the past led to, and may in the future lead to, outcomes including a negative experience for neighbors and advertisers who use our platform, compromised ability of our platform to perform in a manner consistent with our terms, contracts, or policies, delayed product introductions or enhancements, targeting, measurement, or billing errors, compromised ability to protect the data of neighbors and/or our intellectual property or other data, or reductions in our ability to provide some or all of our services. For example, we make commitments to our neighbors as to how their data will be used within and across our platform, and our systems are subject to errors, bugs and technical limitations that may prevent us from fulfilling these commitments reliably. In addition, any errors, bugs, vulnerabilities, or defects in our systems or the software and hardware on which we rely, failures to properly address or mitigate the technical limitations in our systems, or associated degradations or interruptions of service or failures to fulfill our commitments to our neighbors, have in the past led to, and may in the future lead to, outcomes including damage to our reputation, loss of neighbors, loss of advertisers, loss of revenue, regulatory inquiries, litigation, or liability for fines, damages, or other remedies, any of which could adversely affect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Social and ethical issues may result in reputational harm and liability.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Positions we may take (or choose not to take) on social and ethical issues may be unpopular with some of our employees, neighbors, or with our advertisers or potential advertisers, which may in the future impact our ability to attract or retain employees, neighbors or advertisers. Further, actions taken by our customers or partners, including through the use or misuse of our products, may result in reputational harm or possible liability. Any such claims could cause reputational harm to our brand or result in liability.</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Our public disclosures, and any standards we may set for ourselves or a failure to meet these standards, may influence our reputation and the value of our brand. For example, we have elected to share publicly certain information about our sustainability initiatives. Moreover, laws and regulations may require us to provide sustainability-related disclosure.</w:t>
      </w:r>
      <w:r>
        <w:rPr>
          <w:color w:val="000000"/>
        </w:rPr>
        <w:t xml:space="preserve"> </w:t>
      </w:r>
      <w:r>
        <w:rPr>
          <w:rFonts w:ascii="Times New Roman;serif" w:hAnsi="Times New Roman;serif"/>
          <w:b w:val="false"/>
          <w:color w:val="000000"/>
          <w:sz w:val="20"/>
        </w:rPr>
        <w:t>For example, California has adopted two climate-related bills, which require companies doing business in California that meet certain revenue thresholds to publicly disclose certain greenhouse gas emissions data and climate-related financial risk reports. California also</w:t>
      </w:r>
      <w:r>
        <w:rPr>
          <w:color w:val="000000"/>
        </w:rPr>
        <w:t xml:space="preserve"> </w:t>
      </w:r>
      <w:r>
        <w:rPr>
          <w:rFonts w:ascii="Times New Roman;serif" w:hAnsi="Times New Roman;serif"/>
          <w:b w:val="false"/>
          <w:color w:val="000000"/>
          <w:sz w:val="20"/>
        </w:rPr>
        <w:t>enacted the Voluntary Carbon Market Disclosures Act, which requires companies that operate within the state to make certain climate-related claims and to provide enhanced disclosures around the achievement of such claims. Our business may face increased scrutiny related to these activities and our related disclosures, including from the investment community, and our failure to achieve progress in these areas on a timely basis, or at all, could adversely affect our reputation, business, and financial performance. In connection with any legal or regulatory requirements, we may be required to establish additional internal controls, engage additional consultants, and incur additional costs related to evaluating our environmental impact and preparing such disclosures. If we fail to implement sufficient internal controls or accurately capture and disclose, among other things, our environmental impact, our reputation, business, operating results and financial condition may be materially adversely affected.</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Financial and Accounting Matters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operating results may fluctuate significantly, which makes our future results difficult to predict.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quarterly and annual operating results have fluctuated in the past and may fluctuate in the future. Additionally, we are continuing to scale our monetization efforts, which makes it difficult to forecast our future results and subjects us to a number of uncertainties, including our ability to plan for and anticipate future growth. As a result, you should not rely upon our past quarterly and annual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generate revenues from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acquire, retain, and grow our neighbors and neighbor engagement on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advertisers;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recognize revenue or collect payments from advertisers in a particular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spending by our advertisers due to macroeconomic conditions, seasonality, episodic regional or global events, or other factors;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domestic and global business and macroeconomic conditions, including the implementation of tariffs by the United States, China, or other governments, actual or perceived instability in the global banking system, potential recession, local and national elections, inflation, changing</w:t>
      </w:r>
      <w:r>
        <w:rPr>
          <w:color w:val="000000"/>
        </w:rPr>
        <w:t xml:space="preserve"> </w:t>
      </w:r>
      <w:r>
        <w:rPr>
          <w:rFonts w:ascii="Times New Roman;serif" w:hAnsi="Times New Roman;serif"/>
          <w:b w:val="false"/>
          <w:color w:val="000000"/>
          <w:sz w:val="20"/>
        </w:rPr>
        <w:t xml:space="preserve">interest rates, and geopolitical conflicts; </w:t>
      </w:r>
    </w:p>
    <w:p>
      <w:pPr>
        <w:pStyle w:val="TextBody"/>
        <w:bidi w:val="0"/>
        <w:spacing w:before="0" w:after="0"/>
        <w:jc w:val="both"/>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fluctuations in internet usage generally;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prominence, size, format, quality and relevancy of advertisements shown to neighbors;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of technologies designed to block the display of advertisements;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to third-party policies or applications that limit our ability to deliver, target, or measure the effectiveness of advertising, including changes by mobile operating system and browser providers such as Apple and Google;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pricing of our advertisements;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cost of and mix of new and existing sales and marketing and promotional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availability of our platform and app on mobile devices and other third-party platforms;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to our platform or the development and introduction of new products or services by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advertising industry association rules and standards that limit our ability to deliver, target or measure the effectiveness of advertising, such as the Network Advertising Initiative, and Interactive Advertising Bureau;</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neighbor behavior or platform changes that may reduce traffic to features of the platform that we monetize;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system failures, disruptions, breaches of security or privacy, whether on our platform or on those of third parties, and the costs associated with any such breaches and remediation;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negative publicity associated with our platform, including as a result of content on our platform, security breaches and neighbor privacy concerns that may result in advertisers reducing or eliminating their spend with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health epidemics, such as pandemics, influenza, and other highly communicable diseases or viruses;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use of our cash, cash equivalents, and marketable securities, including to repurchase shares of our outstanding Class A common stock or to make acquisitions or investments;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of incurring additional expenses, such as increases in sales and marketing or research and development;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litigation judgments, settlements, or other litigation-related costs;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legislative or regulatory environment, including with respect to privacy and cybersecurity, or actions by governments or regulators, including fines, orders, or consent decrees;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U.S. generally accepted accounting principles.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impact of one or more of the foregoing and other factors may cause our operating results to vary significantly. As such, quarter-to-quarter comparisons of our operating results may not be meaningful and should not be relied upon as an indication of future performance. If our quarterly and annual operating results fall below the expectations of investors or securities analysts, the price of our Class A common stock could decline substantially. If we fail to meet or exceed the expectations of investors or securities analysts, then the trading price of our Class A common stock could fall substantially, and we could face costly lawsuits, including securities class action suits. Furthermore, any quarterly or annual fluctuations in our operating results may, in turn, cause the price of our Class A common stock to fluctuate substantially.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believe that our rapid historical growth may understate the potential seasonality of our business. As our revenue growth rate slows, we expect that the seasonality in our business may become more pronounced and may in the future cause our operating results to fluctuate. For example, advertising spending is traditionally seasonally strong in the fourth quarter of each year and we believe that this seasonality affects our quarterly results, which generally reflect higher sequential revenue growth from the third to fourth quarter compared to sequential revenue growth from the fourth quarter to the subsequent first quarter. In addition, global economic concerns continue to create uncertainty and unpredictability and add risk to our future outlook. An 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downturn in any particular region in which we do business or globally could result in reductions in revenue, as our advertisers reduce their advertising budgets, and other adverse effects that could harm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Certain of our market opportunities and key metric estimates could prove to be inaccurate, and have been inaccurate in the past, and any real or perceived inaccuracies may harm our reputation and negatively affect our business.</w:t>
      </w:r>
    </w:p>
    <w:p>
      <w:pPr>
        <w:pStyle w:val="TextBody"/>
        <w:bidi w:val="0"/>
        <w:spacing w:lineRule="auto" w:line="288" w:before="0" w:after="180"/>
        <w:jc w:val="both"/>
        <w:rPr/>
      </w:pPr>
      <w:r>
        <w:rPr>
          <w:rFonts w:ascii="Times New Roman;serif" w:hAnsi="Times New Roman;serif"/>
          <w:b w:val="false"/>
          <w:color w:val="000000"/>
          <w:sz w:val="20"/>
        </w:rPr>
        <w:t>The estimates discussed herein are subject to significant uncertainty and are based on assumptions that may not prove to be accurate. The key assumptions underlying our estimates include our ability to scale new neighbor growth, our ability to grow engagement by our existing neighbor base and our ability to increase monetization of our platform. These assumptions involve risks and uncertainties, including, but not limited to, those described in this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section, which could cause actual results to differ materially from our estimates. Unfavorable changes in any of these or other assumptions, most of which are beyond our control, could materially and adversely affect our business, operating results, and financial condition and result in our estimates being materially different than actual results. Market opportunity estimates, whether obtained from third-party sources or developed internally, are subject to significant uncertainty and are based on assumptions that may not prove to be accurate. In particular, our estimates regarding our market penetration in new and existing markets are difficult to predict.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regularly review key business and other metrics, including Platform WAU, Verified Neighbors, Platform ARPU and other measures to evaluate growth trends, measure our performance, and make strategic decisions. These key metrics are calculated using internal company data derived from our analytics platform and have not been validated by an independent third party and there are inherent challenges in such measurements. If we fail to maintain an effective analytics platform, or if there are undetected errors in our systems, our key metrics calculations could be inaccurate. Any such inaccuracies, which may have occurred in the past or may occur in the future, may be difficult to identify in a timely manner. For example, in Q2 2025, we identified an issue related to iOS push notifications in the calculation of our Platform WAU metric which resulted in an immaterial overstatement of the Platform WAU figures previously disclosed for Q1 2024 through Q1 2025. Accordingly, the Platform WAU metric for Q1 2024 through Q1 2025 was revised in the Quarterly Report on Form 10-Q for Q2 2025 with the corrected figures. Our key business metrics may also be impacted by compliance or fraud-related bans, technical incidents, or false or spam accounts in existence on our platform. We regularly deactivate accounts that violate our terms of service, and exclude these accounts from the calculation of our key business metrics; however, we may not succeed in identifying and removing all such accounts from our platform. If our metrics are incorrect or provide incomplete information about neighbors and their behavior, we may make inaccurate conclusions about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regularly review and may adjust our processes for calculating our estimates to improve their accuracy. Our estimates may differ from estimates published by third parties or from similarly titled metrics of our competitors due to differences in methodology. If investors or analysts do not perceive our estimates to be accurate representations of our business, or if we discover material inaccuracies in our estimates, our reputation, business, operating results, and financial condition would be adversely affected.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may change our key business metrics from time to time, including as a result of changes to our platform. We regularly evaluate whether our key business metrics remain meaningful indicators of the performance of our business. As a result of these evaluations, we may make changes to our key business metrics, including eliminating or replacing existing metrics. For example, in May 2025, we announced that we had made changes to the business that made Platform WAU a more important business metric for us and, in the second quarter of 2025, began reporting Platform WAU instead of WAU (previously defined as a Nextdoor user who opens our application, logs onto our website or engages with an email with monetizable content). In addition, we continue to present ARPU (now referred to as Platform ARPU), with the denominator based on the average number of Platform WAU instead of WAU. If these changes make it more difficult for investors or analysts to compare our performance over time or to other companies, or if investors perceive any changes to our key business metrics disclosures negatively, our business, operating results, and financial condition could be adversely affected.</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significant net losses each year since we began operations in 2007, including net losses of $11.4 million and $22.0 million for the three months ended March 31, 2026 and 2025, respectively. We have an accumulated deficit of $929.7 million as of March 31, 2026. We anticipate that our operating expenses and capital expenditures will increase in the foreseeable future as we continue to invest in acquiring additional neighbors, increasing engagement on our platform, increasing monetization on our platform, expanding our platform and operations internationally, attracting and retaining team members, developing and enhancing our platform, marketing and sales, and enhancing our infrastructure. Our expansion efforts may prove more expensive than we anticipate, and we may not succeed in increasing our revenues sufficiently to offset these higher expenses. While we consistently evaluate opportunities to reduce our operating costs and optimize efficiencies, including, for example, through our workforce reductions in 2023, 2024, and 2025, we cannot guarantee that these efforts will be successful or that we will not re-accelerate operating expenditures in the future in order to capitalize on growth opportunities. Given the significant operating and capital expenditures associated with our business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to continue to incur net losses for the foreseeable future and cannot assure you that we will be able to achieve profitability. If we do achieve profitability, it cannot be certain that we will be able to sustain or increase such profitability.</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ability to use our U.S. federal and state net operating losses to offset future taxable income may be subject to certain limitations which could subject our business to higher tax liability.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U.S. federal net operating loss (“NOL”) carryforwards of approximately $583.9 million and state NOL carryforwards of approximately $365.5 million, which if not utilized, will begin to expire beginning in 2028 and 2026, respectively. To the extent that we continue to generate taxable losses, unused losses will carry forward to offset future taxable income, if any. Under the 2017 Tax Cuts and Jobs Act, unused U.S. federal NOLs generated in tax years beginning after December 31, 2017, will not expire and may be carried forward indefinitely, but the deductibility of such federal NOLs in taxable years beginning after December 31, 2020, is limited to 80% of current year taxable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Section 382 of the Code, if a corporation that undergoes an “ownership change,” which is generally defined as a greater than 50 percentage point change (by value) in its equity ownership by certain stockholders over a three-year period, the corporation’s ability to utilize its pre-change NOL carryforwards to offset its post-change income or taxes may be limited. Though we recently completed a Section 382 study that supports that our use of NOLs will not be subject to limitation, it is possible that the limitation could still apply.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may experience an ownership change in the future as a result of subsequent shifts in our stock ownership, some of which may be outside our control. Therefore, it is possible that an ownership change could limit the amount of NOLs we can use to offset future taxable income. Any NOL carryforwards of companies we have acquired, may be subject to limitations, thereby increasing our overall tax liability. Our NOL carryforwards may also be limited under similar provisions of state law. We have recorded a full valuation allowance related to our U.S. federal and state NOL carryforwards and other net deferred tax assets due to the uncertainty of the ultimate realization of the future benefits of those assets. Our NOL carryforwards may expire unutilized or underutilized, which could prevent us from offsetting future taxable income. Any future changes in U.S. tax laws in respect of the utilization of NOL carryforwards may further affect the limitation in future years. In addition, there may be periods during which the use of NOL carryforwards is suspended or otherwise limited at the state level, which could also impact our ability to utilize NOL carryforwards. As a result, even if we attain profitability, we may be unable to use all or a material portion of our NOLs, which could adversely affect our business, operating results, financial condition,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financial results may be adversely affected by changes in accounting principles generally accepted in the United States and our financial estimates may be different from our financial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GAAP is subject to interpretation by the Financial Accounting Standards Board, the American Institute of Certified Public Accountants, the SEC and various bodies formed to promulgate and interpret appropriate accounting principles. A change in these principles or interpretations could harm our revenue and financial results, and could affect the reporting of transactions completed before the announcement of a change.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currency exchange rates fluctuate substantially in the future, our operating results, which are reported in U.S. dollars,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continue to expand our international operations, we will become more exposed to the effects of fluctuations in currency exchange rates. A substantial majority of our revenues to date have been denominated in U.S. dollars and, therefore, we have not historically been subject to foreign currency risk. In addition, if we continue to expand internationally, we expect to incur increased expenses for employee compensation and other operating expenses at non-U.S. locations in the local currency. Fluctuations in the exchange rates between the U.S. dollar and other currencies could result in the dollar equivalent of such expenses being higher. This could have a negative impact on our operating results. Although we may in the future decide to undertake foreign exchange hedging transactions to cover a portion of our foreign currency exchange exposure, we currently do not hedge our exposure to foreign currency exchange risks.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have greater than anticipated tax liabilities, which could harm our business, revenue and financial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number of tax jurisdictions globally, including in the United States at the federal, state and local levels, and in foreign countries, and may continue to expand the scale of our operations in the future. We are subject to review and potential audit by a number of U.S. and non-U.S. tax authorities. A change in law or in our global operations could result in higher effective tax rates, reduced cash flows and lower overall profitability. In particular, our intercompany relationships are subject to complex transfer pricing regulations administered by taxing authorities in various jurisdictions. Significant judgment is required in determining our worldwide provision for income taxes and other tax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various indirect non-income taxes, such as payroll, sales, use, value-added and goods and services taxes in the United States and various foreign jurisdictions, and we may face indirect tax audits in various U.S. and foreign jurisdictions. In certain jurisdictions, we collect and remit indirect taxes. However, tax authorities may question,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neighbors from utilizing our platform or could otherwise harm our business, operating results, and financial condition. Evolving economic nexus and digital platform tax rules may expand our obligations in jurisdictions based on user activity, revenue, or other factors. Certain U.S. states and municipalities have enacted or are considering legislation that would impose new taxes on revenue derived from digital advertising services or social media platforms, which may be based on gross revenues and determined by user location or other allocation methodologies. The application of these rules to our business is uncertain and may result in increased tax expense, and significant compliance costs. The adoption of similar measures by additional jurisdictions could increase our overall tax burden and compliance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Although we do not currently incur significant tax costs due to our history of operating losses, our tax liabilities may increase if our profitability increases in the future. In addition, our effective tax rate may change from year to year based on changes in the mix of activities and income allocated or earned among various jurisdictions, tax laws and the applicable tax rates in these jurisdictions (including future tax laws that may become material), tax treaties between countries, our eligibility for benefits under those tax treaties and the valuation of deferred tax assets and liabilities. Changes in the valuation of our deferred tax assets, and the resolution of uncertain tax positions could materially impact our effective tax rate. Such changes could result in an increase in the effective tax rate applicable to all or a portion of our income, which would negatively affect our financial results.</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cannot guarantee that our share repurchase program will be fully consummated or that it will enhance long-term stockholder value. Share repurchases could also increase the volatility of the trading price of our stock and diminish our cash reserves.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April 30, 2026, our Board of Directors authorized and approved a share repurchase program pursuant to which we may repurchase up to $100.0 million in aggregate of shares of our Class A common stock, with the authorization to expire on June 30, 2028, or such shorter period if $100.0 million in aggregate of shares of our Class A common stock have been repurchased. Although our Board of Directors has authorized this share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share repurchase program may be modified, suspended, or terminated at any time, and we cannot guarantee that the share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Legal and Regulatory Matters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be liable as a result of content or information that is published or made available on our platform.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many U.S. federal and state and foreign laws and regulations that involve matters central to our business, including laws and regulations that involve data privacy and protection, intellectual property (including copyright and patent laws), content regulation, the use of AI, rights of publicity, advertising, marketing, health and safety, competition, protection of minors, age verification, consumer protection, taxation, anti-bribery, anti-money laundering and corruption, economic or other trade prohibitions or sanctions or securities law compliance. Although content on our platform is typically generated by third parties, and not by us, we may be sued or face regulatory liability for claims relating to personal information, content or information that is made available on our service, including claims of defamation, disparagement, intellectual property infringement, breach of our privacy commitments, breach of privacy and data security laws, or other alleged damages could be asserted against us. Lawmakers in the United States and in other countries may introduce new regulatory regimes that increase potential liability for content available on our platform. There are a number of new laws and legislative proposals in the United States and globally aimed at limiting the scope of protections available to online services and/or that further impose new obligations affecting our business, such as liability for copyright infringement, illegal or harmful content moderation, addictive or defective design, health warning labels on social media platforms, distributing targeted and other advertisements to teens, and other forms of unlawful content and/or online harm. These legislative and/or regulatory requirements may increase our costs of operations, our liability for content posted by users on our platform, our litigation costs, and/or may expose us to regulatory sanctions such as fines or penalties. If these or other additional statutory or regulatory changes reduce liability protections for content published on our platform, we may be required to make significant changes to our business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including increasing our content moderation operations and building in additional product features or tools that may not be favorable to our business, add payment obligations or compliance costs. In addition, the integration of third-party news or alert content, introduced as part of the new Nextdoor initiative, may increase our exposure to inaccurate, misleading, or objectionable content, and may create additional challenges for content moderation. If we fail to adequately moderate or address problematic content, we could face reputational, legal, or regulatory risk. We may also receive statutory or regulatory scrutiny for our policies governing content and advertising on our platform. Responding to such scrutiny could require significant resources and any required changes to our operations may impact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the availability of copyright protection and other legal protections for intellectual property generated by certain new technologies, such as generative AI, is uncertain. The use of generative AI and other forms of AI may expose us to risks because the intellectual property ownership and license rights, including copyright, of generative and other AI output, has not been fully interpreted by U.S. courts or been fully addressed by U.S. federal or state regulation, as well as in foreign jurisdictions. Our systems, tools and personnel that help us to proactively detect potentially policy-violating or otherwise inappropriate content cannot identify all such content on our service, and in many cases this content will appear on the Nextdoor platform. This risk may increase as we develop and increase the use of certain features, such as video, for which identifying such content and obtaining appropriate consents is challenging, and as we continue to roll out our new Nextdoor initiative, which we expect to utilize third-party content. Additionally, some controversial content may not be banned on the Nextdoor platform and, even if it is not featured in advertisements to neighbors, it may still appear in the Feed or elsewhere. This risk is enhanced in certain jurisdictions outside of the United States where our protection from liability for content published on our platform by third parties may be unclear and where we may be less protected under local laws than we are in the United States. Further, if law and/or policy-violating content is found on the Nextdoor platform, or we do not give appropriate notice or obtain appropriate consents, we may be in violation of the terms of certain of our key agreements, which may result in termination of the agreement and potentially payment of damages in some cases. We could incur significant costs in investigating and defending such claims and, if we are found liable, damages. If any of these events occur, our business, operating results, and financial condition could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we rely on a variety of statutory and common-law frameworks and defenses, including those provided by the Digital Millennium Copyright Act (the “DMCA”), the Communications Decency Act (“CDA”), the fair-use doctrine in the United States and the Electronic Commerce Directive (the “E-Commerce Directive”) in the European Union, differences between statutes, limitations on immunity, requirements to maintain immunity, and moderation efforts in the many jurisdictions in which we operate may affect our ability to rely on these frameworks and defenses, or create uncertainty regarding liability for information or content uploaded by neighbors and advertisers or otherwise contributed by third parties to our platform.</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Actions by governments that restrict access to the Nextdoor platform in their countries, or that otherwise impair our ability to sell advertising in their countries, could substantially harm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Governments may seek to censor content available on the Nextdoor platform or restrict access to the platform from their country entirely, or impose other restrictions that may affect the accessibility of the platform in their country for an extended period of time or indefinitely. In addition, government authorities in other countries may seek to restrict neighbors’ access to the platform if they consider us to be in violation of their laws or a threat to public safety or for other reasons. It is possible that government authorities could take action that impairs our ability to sell advertising, collect, process, use, store, disclose or transfer data including in countries where access to our consumer-facing platform may be blocked or restricted. In the event that content shown on the Nextdoor platform is subject to censorship, access to the platform is restricted, in whole or in part, in one or more countries, or other restrictions are imposed on the platform, or our competitors are able to successfully penetrate new geographic markets or capture a greater share of existing geographic markets that we cannot access or where we face other restrictions, our ability to retain or increase our neighbor base, neighbor engagement, or the level of advertising by advertisers may be adversely affected, we may not be able to maintain or grow our revenue as anticipated, and our financial results could be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is subject to complex and evolving U.S. and foreign laws, regulations, and industry standards, many of which are subject to change and uncertain interpretations, which uncertainty could harm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many U.S. federal and state and foreign laws, regulations and industry standards that involve matters central to our business, including laws and regulations that involve data privacy, security and protection, online safety (including children’s online safety), intellectual property (including trademark, copyright, and patent laws), content, rights of publicity, advertising, marketing, health and safety, competition, protection of minors, age verification, consumer protection, taxation, telecommunications, anti-bribery, anti-censorship, anti-money laundering and corruption, telecommunications, AI and machine learning, and securities. These laws and regulations are constantly evolving and may be interpreted, implemented, applied, created, suspended, or amended, in a manner that could require burdensome or inconsistent compliance efforts, introduce legal or regulatory liability, or otherwise harm our business.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 the introduction of new products, expansion of our activities in certain jurisdictions, or other actions that we may take may subject the company to additional laws, regulations, or other governmental scrutiny.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 variety of statutory and common-law frameworks and defenses relevant to the content available on the Nextdoor platform, including the DMCA, the CDA and the fair-use doctrine in the United States, and the E-Commerce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see such protections lessened either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harms resulting from third-party content in the United States could decrease or change. Although the U.S. Supreme Court declined to narrow the scope of Section 230 in its Gonzalez v. Google decision, courts have increasingly permitted negligence, product liability, failure-to-warn, and consumer protection claims against social media platforms to proceed on theories that target platform design choices and alleged misrepresentations about platform safety rather than user-generated content, and therefore may fall outside Section 230's protections. In March 2026, juries in separate proceedings found major social media platforms liable for negligently designing products alleged to be addictive to minors and for misleading consumers about child safety risks, with a substantial number of similar cases pending in federal multidistrict litigation. Although we are not a defendant in those proceedings, the underlying legal theories could be applied to any social media platform, and similar claims against us could result in significant litigation costs, damages, or required changes to our platform design. There are also legislative efforts to amend or sunset Section 230 of the CDA, which if successful could expose us to additional lawsuits and potential judgments that could significantly harm our business. In addition, the Federal Trade Commission has launched a public inquiry seeking information on technology platforms’ censorship efforts (including denial or degradation of services) based on the content of users’ speech or their affiliations, and how this conduct may have violated current law. We could incur significant costs investigating, defending, or otherwise responding to such claims and inquiries, and, if we are found liable, we may be subject to significant damages or the suspension of services or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Digital Services Act (the “DSA”), signed into law in the European Union on October 19, 2022, is a package of legislation intended to update the liability, safety, and transparency rules for online platforms, search engines, and other digital products and services. The DSA, which started to apply to our business in February 2024, has negatively impacted and may continue to negatively impact the scope of the limited immunity provided by the E-Commerce Directive, limit targeted advertising, burdensome reporting obligations, and require us to expend resources to try to comply with the new regulations or incur liability. The DSA also includes significant penalties for non-compliance. On October 26, 2023, similarly, the United Kingdom’s Online Safety Act (the “OSA”) became law. The OSA creates requirements around content moderation and handling illegal and harmful content and will require us to expend resources to try to comply with the new regulations or incur liability. Additionally, Australia’s Online Safety Act 2021, which went into effect in January 2022, and its accompanying Social Media Services Code, which went into effect in December 2023, impose new obligations and liabilities on platforms with respect to certain types of harmful content and prohibitions on access by minors. In addition, several U.S. states and foreign countries have passed age verification laws to protect minors from harmful online content, especially adult material. These laws generally require websites and platforms to verify users' ages, or to verify parental consent, subject to methodological requirements that vary across jurisdictions, before allowing users to access our platforms or to access certain content. Many of these U.S. state laws are currently subject to legal challenge. Consequently, we may now be required in some U.S. states and are now required in some foreign countries to exclude current users from the platform based on age, to apply specified protections or features to user accounts associated with minors, or to include mandatory age verification in our user onboarding process, which may impede user growth or increase attrition. These existing and proposed laws, together with any changes to the existing laws and regulations within the jurisdictions in which we operate, could require us to expend additional resources to maintain compliance with new or evolving regulations. As a result, we may incur additional liability, and our business, operating results, and financial condition could be harmed.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collect, store, use, share, and otherwise process data, some of which contains personal information about individuals including, but not limited to, our neighbors, employees and partners, where such personal information includes, but is not limited to, contact details, demographic information, network details, and location data. We are therefore subject to U.S. (federal, state, and local) and foreign laws and regulations regarding data privacy, security and protection, which apply to the processing of personal information. The regulatory frameworks for data privacy, security, and protection worldwide and interpretations of existing laws and regulations is likely to continue to be uncertain, as current or future legislation or regulations in the United States and other jurisdictions, or new interpretations of existing laws and regulations, could significantly restrict or impose conditions on our ability to process data, for example through more burdensome notice or consent requirements, or more stringent use restrictions, that impact our use of advertising technologies or platform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internal and publicly posted policies, statements and notices regarding our collection, processing, use, disclosure, deletion and security of personal and non-personal information, as well as individuals’ rights with respect to personal information, and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event that a court or regulator finds these statements to be deceptive, unfair, inaccurate, inadequate, or misrepresentative of our actual practices, we could be exposed to legal or regulatory liability. Any such proceedings or violations could force us to spend money in investigation, mitigation, defense, or settlement, result in the imposition of monetary liability or demands for injunctive relief, divert management's time and attention, increase our costs of doing business, and adversely affect our reputation. Furthermore, the uncertain and shifting regulatory environment and trust climate may cause concerns regarding privacy and data protection and may cause our customers to resist providing the data necessary to allow them to use our services effectively. Although we endeavor to comply with our public statements and policies, we may at times fail to do so or be accused of having failed to do so. The publication of our privacy policies and notices that provide commitments about data privacy, security, and protection can subject us to potential actions if they are found to be deceptive, unfair, or otherwise misrepresent our actual practices, which could materially and adversely affect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United States, we are subject to numerous federal, state and local data privacy, security, and protection laws and regulations governing the processing of information about individuals, including more than twenty U.S. states that have enacted comprehensive consumer privacy laws, with additional states expected to follow. In California, for example, the CCPA establishes certain transparency obligations and creates data privacy rights for users, including rights to access and delete their personal information as well as opt-out of the sale or sharing of their personal information (as those terms are understood under the CCPA). Additionally, California’s Opt Me Out Act, effective January 1, 2027, requires all browsers operating in California to include built-in functionality that enables users to send opt-out preference signals to websites, communicating their preferences not to sell or share personal information. This law may substantially increase the volume of opt-out requests we receive, which may impact our advertising revenue and data collection capabilities for targeted marketing and personalized advertising. Furthermore, the California Privacy Protection Agency, which administers and enforces the CCPA, has leveraged its rulemaking authority to impose new regulations impacting covered businesses, with additional obligations coming into effect over the next several years, including independent cybersecurity audits, comprehensive risk assessments for certain personal information processing activities, and requirements for the use of automated decision making technologies (“ADMT”) for significant decisions affecting individuals. The CCPA also prohibits covered businesses from discriminating against consumers for exercising any rights established under the CCPA — prohibiting, for example, unjustified increased fees for individuals who opt out of the sale of their personal information. The CCPA imposes statutory damages for certain violations of the law as well as a private right of action for certain data breaches that result in the loss of personal information, which increases the likelihood of, and risks associated with, data breach litigation. Nearly half of U.S. states have also passed comparable legislation, with several such state laws imposing unique privacy and data security compliance requirements relevant to our business. We anticipate that additional state privacy laws will go into effect in the coming years, which may impose obligations similar to or more stringent than those we may face under other data protection laws. Additionally, the Federal Trade Commission and many state attorneys general are interpreting federal and state consumer protection laws to impose standards for the online collection, use, dissemination and security of data, and there have been numerous attempts to introduce privacy legislation at the federal level. Compliance with existing laws, any newly enacted privacy, security, and data protection laws or regulations, browser-level opt out requirements, cybersecurity audit obligations, risk assessment mandates, and ADMT requirements may be challenging and cost- and time-intensive, and may require us to modify our data processing practices and policies, incur substantial costs and potential liability, and make significant modifications to our advertising technologies and business model in an effort to comply with such legislation.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Of further concern in the United States, regulatory attention to AI systems, including generative AI, continues to increase. More than half of U.S. states have introduced or enacted legislation addressing the development and use of AI. For example, the Colorado Artificial Intelligence Act, which becomes effective on June 30, 2026, focuses on the regulation of high-risk AI systems in certain critical sectors and imposes general disclosure requirements. In addition, the Texas Responsible AI Governance Act, which became effective January 1, 2026, prohibits the use of AI systems for specified purposes, such as incitement of violence, self-harm, or criminality, unlawful discrimination, and violation of constitutional rights. Further, California has enacted several laws, some of which are currently being challenged, requiring transparency in the development of AI systems or addressing potential harms from AI technologies, such as the creation and distribution of deepfakes. As these laws are proposed, enacted, challenged, interpreted, and implemented, compliance with AI laws and regulations may be challenging and cost- and time-intensive, or such compliance efforts may require us to modify our data processing practices and policies, or impact our access to and permitted uses of large language models, training data, or other AI technologies, and to incur substantial costs and potential liability in an effort to comply with such legislation.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Outside the United States, we are subject to an increasing number of laws, regulations and industry standards that apply to data privacy and security. In Canada, we are subject to PIPEDA, which governs the collection, use and disclosure of Canadian residents’ personal information in the course of commercial activities. Further, Canada’s legislature proposed amendments to PIPEDA, but the adoption of those amendments remains uncertain since the election of a new Canadian government in April 2025. In Australia, we are also subject to, among other laws, Australia’s Privacy Act 1988 and the Australian Privacy Principles (“APPs”), which require 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among other things: (a) establish a governance framework for managing privacy and data protection; (b) give individuals the option of not identifying themselves or using a pseudonym (unless certain exceptions apply); (c) destroy or de-identify unsolicited personal information that was not obtained for a purpose reasonably necessary or directly related to our business activities; and (d) not transfer or disclose personal information to a party outside of Australia unless consent is obtained, the destination country has substantially similar privacy protections to Australia, or the overseas recipient contractually agrees to comply with the APPs. Since late 2025, the Australian Parliament has proposed further privacy reforms, which remain under consideration, and the Office of the Australian Information Commissioner published updated APP Guidelines and enforcement guidance. In the European Union, we are subject to the EU GDPR, and in the United Kingdom we are subject to the UK GDPR. The GDPR and UK GDPR each imposes a strict data protection compliance regime, grants rights to data subjects in regard to their personal data (including the right to be “forgotten” and the right to data portability) and enhances current rights (e.g., data subject access requests). The UK GDPR was modified by the Data (Use and Access) Act, adopted June 19, 2025, with provisions coming into effect over time, including enhanced enforcement powers granted to the UK Information Commissioner’s Office as of February 5,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GDPR prohibits transfers of personal information from the European Economic Area (“EEA”) or United Kingdom to countries not formally deemed adequate by the European Commission or the UK Information Commissioner’s Office, respectively, including the United States, unless a particular compliance mechanism (and, if necessary, certain safeguards) is implemented. The mechanisms that we and many other companies rely upon for EEA and United Kingdom data transfers (for example, standard contractual clauses or the EU-US Data Privacy Framework) are subject to legal challenge, regulatory interpretation, and judicial decisions. While the United States and the European Union reached agreement on the EU-US Data Privacy Framework (and similar agreements were reached with respect to the United Kingdom and Switzerland), and we currently self-certify to the EU-US Data Privacy Framework and the UK Extension to the EU-US Data Privacy Framework, there are legal challenges to this data transfer mechanism as well, which could affect the manner in which we provide our services, the geographical location or segregation of our relevant systems and operations and could adversely affect our financial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global expansion of artificial intelligence laws has the potential to restrict or impose supplementary obligations on our utilization of this technology. For example, the EU AI Act, which entered into force on August 1, 2024, establishes obligations for entities engaged in the development and deployment of AI systems, certain of which have already taken effect, including prohibitions on specified AI practices and requirements for general-purpose AI models, with additional obligations, including requirements for high-risk AI systems and transparency obligations, expected to apply beginning in August 2026. The legislation employs a risk-based methodology, prohibits specified high-risk AI practices, and mandates requirements for the deployment of general-purpose AI with respect to transparency, data governance, and human oversight. Further, although the EU AI Act is currently in effect, its precise obligations are subject to change as EU lawmakers consider and negotiate amendments through the Omnibus Package on AI. Our compliance efforts may require us to modify our use of AI technologies, and to incur substantial costs and potential liability in an effort to comply with such legislation.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subject to evolving laws on cookies and e-marketing. In the European Union and the United Kingdom, informed consent is required for the placement of certain cookies or similar technologies on a user’s device as well as for direct electronic marketing communications. Further, under the GDPR, valid consent is tightly defined, including a prohibition on pre-checked consents, and the European Union and United Kingdom require organizations to obtain separate consents for each type of cookie or similar technology, or for particularized uses of personal data. In this EU, modifications to these rules have been proposed under the Digital Legislative Package, published November 19, 2025, which remains under consideration. U.S. regulators are also increasingly focused on the use of cookies for targeted advertising. If regulators start to enforce strict approaches regarding the use of cookies,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neighbors.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we have put in efforts to comply with these regulations, the uncertainty surrounding enforcement and evolving legal landscapes could change our compliance status. Similarly, there are a number of legislative proposals in the jurisdictions where we operate that could impose new obligations or limitations in areas affecting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costs of complying with these laws and regulations, which in some cases can be enforced by private parties in addition to government entities, are high and likely to increase in the future, particularly as the degree, variety, and enforcement of regulation increases, our business grows and our geographic scope expands. The impact of these laws and regulations may disproportionately affect our business in comparison to our peers in the technology sector with greater resources. Even though we communicate with lawmakers and regulators in countries and regions in which we conduct business, and despite having a dedicated team to monitor legal and regulatory developments, any failure or perceived failure of compliance on our part to comply with the laws and regulations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subject us to significant liabilities or penalties, or otherwise adversely affect our business, financial condition or operating results. Furthermore, it is possible that certain governments may seek to block or limit our products or otherwise impose other restrictions that may affect the accessibility or usability of any or all our products for an extended period of time or indefinitely.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currently, and in the future may be, involved in legal disputes that are expensive and time consuming, and, if resolved adversely, could harm our business, operating results, and financial condition.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are currently involved in, and may in the future be involved in, actual and threatened legal proceedings, claims, investigations and government inquiries arising in the ordinary course of our business, including intellectual property, data privacy, cybersecurity, our use of AI, consumer protection, privacy and other torts, illegal or objectionable content, consumer protection, securities, stockholder derivative claims, employment, governance, workplace culture, contractual rights, civil rights infringement, false or misleading advertising, or other legal claims relating to content or information that is provided to us or published or made available on our platform. Any proceedings, claims or inquiries involving us, whether successful or not, may be time consuming, result in costly litigation, unfavorable outcomes, increased costs of business, may require us to change our business practices or platform, require significant amount of management’s time, may harm our reputation or otherwise harm our business, operating results, and financial condition. See Note 6, Commitments and Contingencies, to the consolidated financial statements elsewhere in this report for a description of certain litigation matters that we are involved in.</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currently involved in and have been subject to actual and threatened litigation with respect to third-party patents, trademarks, copyrights and other intellectual property, and may continue to be subject to intellectual property litigation and threats thereof.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grow our business and platform offerings, and become increasingly high profile, the possibility of receiving a larger number of intellectual property claims against the company grows. In addition, various “non-practicing entities” that own patents and other intellectual property rights have asserted, and may in the future attempt to assert, intellectual property claims against us to extract value through licensing or other settlements.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we receive letters from patent holders alleging that the Nextdoor platform infringes on their patent rights and from trademark holders alleging infringement of their trademark rights. We also receive letters from holders of copyrighted content alleging infringement of their intellectual property rights. Our technologies and content, including the content that neighbors upload to the platform, may not be able to withstand such third-party claims.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With respect to any intellectual property claims, we may have to seek a license to continue using technologies or engaging in practices found to be in violation of a third-party’s rights, which may not be available on reasonable terms and may significantly increase our operating expenses. A license to continue such technologies or practices may not be available to us at all and we may be required to discontinue use of such technologies or practices or to develop alternative non-infringing technologies or practices. The development of alternative non-infringing technologies or practices could require significant effort and expense or may not be achievable at all. Our business, operating results, and financial condition could be harmed as a result.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obligations associated with operating as a public company require significant resources and management attention and have, and will continue to, cause us to incur additional expenses, which will adversely affect our profitability.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public company, we incur and expect to continue to incur significant accounting, legal and various other expenses. We are required to comply with certain requirements of the Exchange Act, the Sarbanes-Oxley Act, the Dodd-Frank Wall Street Reform and Consumer Protection Act of 2010, the listing requirements of the NYSE and other applicable securities rules and regulations. The Exchange Act requires, among other things, that we file annual, quarterly, and current reports with respect to our business and operating results with the SEC. We are also required to ensure that we have the ability to prepare financial statements that are fully compliant with all SEC reporting requirements on a timely basis. Compliance with these rules and regulations will continue to increase our legal and financial compliance costs, make some activities more difficult, time-consuming or costly and increase demand on our systems and resources. As a public company, we have and will continue to, among other things: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prepare and distribute periodic public reports and other stockholder communications in compliance with our obligations under the federal securities 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create or expand the roles and duties of our Board of Directors and committees of the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institute and maintain comprehensive financial reporting and disclosure compliance functions;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establish new and enhance existing internal policies, including those relating to disclosure controls and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actions and the additional involvement of accountants and legal advisors, requires a significant commitment of our resources. We might not be successful in complying with these obligations and the significant commitment of resources required for complying with them could have a material adverse effect on our business, financial condition, results of operations and cash flows. If our efforts to comply with new laws, regulations and standards differ from the activities intended by regulatory or governing bodies due to ambiguities related to practice, regulatory authorities may initiate legal proceedings against us, and our business may be harmed. Moreover, we have incurred significant costs with respect to our directors’ and officers’ insurance coverage.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and qualified executive officers.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Being a public company requires significant resources and management oversight. As a result, management’s attention may be diverted from other business concerns, which could harm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Failure to maintain effective systems of internal controls and disclosure controls could have a material adverse effect on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Effective internal and disclosure controls are necessary for us to provide reliable financial reports and effectively prevent fraud and to operate successfully as a public company. We are required by the Sarbanes-Oxley Act to design and maintain a system of internal control over financial reporting and disclosure controls and procedures. If we cannot provide reliable financial reports or prevent fraud, our reputation and operating results would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w:t>
      </w:r>
    </w:p>
    <w:p>
      <w:pPr>
        <w:pStyle w:val="TextBody"/>
        <w:bidi w:val="0"/>
        <w:spacing w:lineRule="auto" w:line="26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incurred and expect to continue to incur significant expenses and devote substantial management effort toward ensuring compliance with the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obligated to maintain proper and effective internal control over financial reporting. If we identify material weaknesses in the future, or otherwise fail to maintain an effective system of internal control over financial reporting in the future, we may not be able to accurately or timely report our financial condition or operating results, which may adversely affect investor confidence in our company and, as a result, the value of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and the rules and regulations of the applicable listing standards of the NYSE.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principal executive and financial officers. In order to maintain and improve the effectiveness of our internal controls and procedures, we have expended, and anticipate that we will continue to expend, significant resources, including accounting related costs and significant management oversight.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Class A common stock to decline, and we may be subject to investigation or sanctions by the SEC. In addition, if we are unable to continue to meet these requirements, we may not be able to remain listed on the NYSE.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Failure to obtain, maintain, protect or enforce our intellectual property and proprietary rights could enable others to copy or use aspects of our platform without compensating us, which could harm our brand, business,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and expect to continue to rely on a combination of confidentiality, assignment, and license agreements with our employees, consultants, and third parties with whom we have relationships, as well as trademark, copyright, patent, trade secret, and domain name protection laws, to protect our proprietary rights. In the United States and internationally, we have filed various applications for protection of certain aspects of our intellectual property, and we currently hold issued patents and copyrights in the United States, issued copyrights in the United States, and multiple trademark registrations in the United States and other foreign countries. Third parties may knowingly or unknowingly infringe our proprietary rights, third parties may challenge proprietary rights held by us, and pending and future trademark and patent applications may not be approved.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the patent laws in the United States may also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on our trademarks, trade names, and brand names to distinguish our platform from the products of our competitors. However, third parties may have already registered identical or similar marks for products or solutions that also address the software market. Efforts by third parties to limit use of our brand names or trademarks and barriers to the registration of brand names and trademarks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effective intellectual property protection may not be available in every country in which we operate or intend to operate our business. In any or all of these cases, we may be required to expend significant time and expense in order to prevent infringement or to enforce our rights. Although we have generally taken measures to protect our proprietary rights, there can be no assurance that others will not offer products or concepts that are substantially similar to ours and compete with our business. If the protection of our proprietary rights is inadequate to prevent unauthorized use or appropriation by third parties, the value of our brands and other intangible assets may be diminished and competitors may be able to more effectively mimic the Nextdoor platform and methods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cannot assure that we will be successful in such action. As such, policing unauthorized use of our technology or platform is difficult. Furthermore, many of our current and potential competitors have the ability to dedicate substantially greater resources to enforce their intellectual property rights (or to contest claims of infringement) than we do. Accordingly, despite our efforts, we may not be able to prevent third parties from knowingly or unknowingly infringing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misappropriating or circumventing our intellectual property rights.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Moreover, we may need to expend additional resources to defend our intellectual property rights in foreign countries, and our inability to do so could impair our business, results of operations and financial condition or adversely affect our business, operating results,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Confidentiality agreements with employees and others may not adequately prevent disclosure of trade secrets and proprietary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devoted substantial resources to the development of our intellectual property and proprietary rights. To protect our intellectual property and proprietary rights, we rely in part on confidentiality agreements with our employees, vendors, licensees, independent contractors and other advisors. These agreements may not effectively prevent disclosure of confidential information and may not provide an adequate remedy in the event of unauthorized disclosure of confidential information. Effective trade secret protection may also not be available in every country in which the Nextdoor platform is available or where we have employees or independent contractors. The loss of trade secret protection could make it easier for third parties to compete with the Nextdoor platform by copying functionality. In addition, any changes in, or unexpected interpretations of, the trade secret and employment laws in any country in which we operate may compromise our ability to enforce our trade secret and intellectual property rights.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 As such, we cannot guarantee that the steps taken by us will prevent infringement, violation or misappropriation of our technology.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Third parties may claim that our platform infringes their intellectual property rights and this may create liability for us or otherwise adversely affect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Third parties may claim that the Nextdoor platform infringes their intellectual property rights, and such claims may result in legal claims against us and our technology partners and customers. These claims may damage our brand and reputation and create liability for us. Furthermore,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the number of such claims to increase as the functionality of our platform overlaps with that of other products and services, and as the volume of issued software patents and patent applications continues to increase.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Companies in the software and technology industries own large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We have received, and may in the future receive, notices that claim we have misappropriated, misused, or infringed other parties’ intellectual property rights, and, to the extent we gain greater market visibility, we may face a higher risk of being the subject of intellectual property infringement claims.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products. In addition, we may lose valuable intellectual property rights or personnel. A loss of key personnel or their work product could hamper or prevent our ability to develop, market and support potential products or enhancements, which could severely harm our business. 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These claims could also result in us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platform. If we cannot license or develop alternative non-infringing substitutes for any infringing technology used in any aspect of our business, we would be forced to limit use of our platform. Any of these results would adversely affect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use of “open source” software could subject us to possible litigation or could prevent us from offering products that include open source software or require us to obtain licenses on unfavorable terms.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products that incorporate the open source software for no cost, that we make publicly available the source code for any modifications or derivative work we create based upon, incorporating or using the open source software, or that we license such modifications or derivative works under the terms of the particular open source license. Some open source software may include generative AI software or other software that incorporates or relies on generative AI. The use of such software may expose us to risks as the intellectual property ownership and license rights, including copyright, of generative AI software and tools have not been fully interpreted by U.S. courts or addressed by federal or state regulations. Authors of open source software we use may also update the terms of open source licenses governing such software to commercial license terms that may require us to pay fees in order to continue using such software. From time to time, companies that use third-party open source software have also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Such use, under certain circumstances, could materially adversely affect our business, operating results, financial condition and future prospects, as well as our reputation, including if we are required to take remedial action that may divert resources away from our development efforts.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using open source software, we also license to others some of our software through open source projects. Open sourcing our own software requires the company to make the source code publicly available, and therefore can affect our ability to protect our intellectual property rights with respect to that software. Additionally, if a third-party software provider has incorporated open source software into software that we license from such provider, we could be required to disclose any of our source code that incorporates or is a modification or derivative work of such licensed software. If an author or other third party that distributes open source software that we use or license were to allege that we had not complied with the conditions of the applicable license, we could be required to incur significant legal expenses defending against such allegations and could be subject to significant damages, enjoined from offering our products that contained the open source software, required to release proprietary source code, required to obtain licenses from third parties or otherwise required to comply with the unfavorable conditions unless and until we can re-engineer the product so that it complies with the open source license or does not incorporate the open source software. As such, our ability to protect our intellectual property rights with respect to such software source code may be limited or lost entirely, and we may be unable to prevent our competitors or others from using such contributed software source code. Any of these risks could be difficult to eliminate or manage and could harm our intellectual property position and have a material adverse effect on our business, results of operations, financial condition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Some open source licenses contain requirements that we make available as source code for modifications or derivative works we create based upon our use and distribution of the open source software. If we combine and distribute our proprietary software with open source software in a certain manner, we could, under certain open source licenses, be required to release the combined source code of our proprietary software to the public, including authorizing further modification and redistribution, or otherwise be limited in the licensing of our offerings, each of which could provide an advantage to our competitors or other entrants to the market, create security vulnerabilities in our platform, require us to re-engineer all or a portion of our platform, and reduce or eliminate the value of our platform. This would allow our competitors to create similar offerings with lower development effort and time and ultimately could result in a loss of sales for us.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occasion, companies that use open source software have faced claims challenging their use of open source software or compliance with open source license terms. There is evolving legal precedent for interpreting the terms of certain open source licenses, including the determination of which works are subject to the terms of such licenses. The terms of many open source licenses have not been interpreted by U.S. or foreign courts, and accordingly there is a risk that those licenses could be construed in a manner that imposes unanticipated conditions or restrictions on our ability to commercialize our platform. In that event, we could be required to seek licenses from third parties in order to continue offering our platform, to re-develop our platform, or to release our proprietary source code under the terms of an open source license, any of which could harm our business. Enforcement activity for open source licenses can also be unpredictable. Were it determined that our use was not in compliance with a particular license, we may be required to release our proprietary source code, defend claims, pay damages for breach of contract or copyright infringement, grant licenses to our patents, re-engineer our platform, or take other remedial action that may divert resources away from our product development efforts, any of which could negatively impact our business. Open source compliance problems can also result in damage to reputation and challenges in recruitment or retention of engineering personnel. Further, given the nature of open source software, it may be more likely that third parties might assert copyright and other intellectual property infringement claims against us based on our use of these open source software programs. Litigation could be costly for us to defend, have a material adverse effect on our business, results of operations and financial condition, or require us to devote additional development resources to change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license technology from third parties for the development of our products, and our inability to maintain those licenses could harm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currently incorporate, and will in the future continue to incorporate, technology that we license from third parties, including software, into our platform. Licensing technologies from third parties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operate.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our platform that is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Any impairment of the technologies or of our relationship with these third parties could harm our business, operating results and financial condition.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price of our Class A common stock has been and may continue to be volatile.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trading price of our Class A common stock has been, and is likely to continue to be volatile and could be subject to fluctuations in response to various factors, some of which are beyond our control. Factors that could cause fluctuations in the trading price of our Class A common stock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fluctuations in our user growth, retention, engagement, revenue, or other operating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developments involving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variations between our actual operating results and the expectations of securities analysts, investors, and the financial community;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fluctuations in our quarterly or annual operating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forward-looking financial or operating information we may provide to the public or securities analysts, any changes in this information, or our failure to meet expectations based on this information;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publication of research reports by securities analysts about us, our competitors or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public’s reaction to our press releases, our other public announcements and our filings with the SEC;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additional shares of our Class A common stock being sold into the market by us or our existing stockholders, or the anticipation of such sales;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additions and departures of key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commencement of, or involvement in, litigation involving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volume of shares of our Class A common stock available for public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by us or our competitors of significant products or features, technical innovations, acquisitions, strategic partnerships, joint ventures, or capital commitments;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by us or estimates by third parties of actual or anticipated changes in the size of our user base or the level of user engagement;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operating performance and stock market valuations of technology companies in our industry, including our partners and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interest rate increases on the overall stock market and the market for technology company stocks;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price and volume fluctuations in the overall stock market, including as a result of trends in the economy as a whole;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developments in new legislation and pending lawsuits or regulatory actions, including interim or final rulings by judicial or regulatory bodies;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events or factors, including those resulting from recessions, the implementation of tariffs by the United States, China, or other governments, inflation, changing interest rates, local and national elections, actual or perceived instability in the global banking system, international currency fluctuations, corruption, political instability, acts of war or terrorism, and general global conflicts.</w:t>
      </w:r>
    </w:p>
    <w:p>
      <w:pPr>
        <w:pStyle w:val="TextBody"/>
        <w:bidi w:val="0"/>
        <w:spacing w:before="0" w:after="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dual class structure of our common stock may adversely affect the trading market for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stock index providers limit the eligibility of public companies with multiple classes of shares of common stock from inclusion in their indices.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dual class structure of our common stock has the effect of concentrating voting power with our management and other existing stockholders, which will limit your ability to influence the outcome of important transactions, including a change in control.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Class B common stock has 10 votes per share and our Class A common stock has one vote per share. Stockholders who hold shares of our Class B common stock, including certain of our executive officers, employees, and directors and their affiliates, together hold a substantial majority of the voting power of our outstanding capital stock as of March 31, 2026. Because of the 10-to-1 voting ratio between our Class B common stock and Class A common stock, the holders of our Class B common stock collectively control a majority of the combined voting power of common stock and therefore are able to control all matters submitted to our stockholders for approval so long as the shares of Class B common stock represent at least 9.1% of all outstanding shares of our Class A common stock and Class B common stock. This concentrated control will limit or preclude your ability to influence the outcome of important corporate matters, including a change in control, for the foreseeable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Transfers by holders of our Class B common stock will generally result in those shares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in the long term.</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do not intend to pay cash dividends for the foreseeable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currently intend to retain our future earnings, if any, to finance the further development and expansion of our business, as well as to fund our share repurchase program,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As a result, you may only receive a return on your investment in our Class A common stock if the market price of our Class A common stock increases.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analysts do not publish research about our business or if they publish inaccurate or unfavorable research, our stock price and trading volume could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Class A common stock will depend in part on the research and reports that analysts publish about our business. We do not have any control over these analysts. If one or more of the analysts who cover our company downgrade our Class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common stock or publish inaccurate or unfavorable research about our business, the price of our Class A common stock would likely decline. If few analysts cover our company, demand for our Class A common stock could decrease and our Class A common stock price and trading volume may decline. Similar results may occur if one or more of these analysts stop covering us in the future or fail to publish reports on us regularly.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be subject to securities litigation, which is expensive and could divert management attention.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Future resales of our Class A common stock may cause the market price of our securities to drop significantly, even if our business is doing well.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Class A common stock in the public market could occur at any time. These sales, or the perception in the market that the holders of a large number of our Class A common stock intend to sell shares, could reduce the market price of our Class A common stock. As of March 31, 2026, we had 250,105,089 shares of our Class A common stock outstanding. We have filed a registration statement related to the offer and sale from time to time by the selling securityholders named in the prospectus that forms a part of the registration statement of up to 206,159,498 shares of our Class A common stock, which registration statement has been declared effective by the SEC. To the extent shares are sold into the market pursuant to a registration statement that has been declared effective by the SEC, under Rule 144 or otherwise, particularly in substantial quantities, the market price of our Class A common stock could decline.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Provisions in our charter documents and under Delaware law, including anti-takeover provisions, could make an acquisition of us, which may be beneficial to our stockholders, more difficult and may limit attempts by our stockholders to replace or remove our current management.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Provisions in our Amended and Restated Certificate of Incorporation (the “Certificate of Incorporation”) and our Amended and Restated Bylaws (the “Bylaws”), including anti-takeover provisions, may have the effect of delaying or preventing a merger, acquisition or other change of control of the company that our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Certificate of Incorporation and Bylaws include provisions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our Board of Directors is classified into three classes of directors with staggered three-year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permit our Board of Directors to establish the number of directors and fill any vacancies and newly created directorships;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require super-majority voting to amend some provisions in our Certificate of Incorporation and Bylaws;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authorize the issuance of “blank check” preferred stock that our Board of Directors could use to implement a stockholder rights plan;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only our chairperson of the Board of Directors, our chief executive officer, the lead independent director or a majority of our Board of Directors will be authorized to call a special meeting of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eliminate the ability of our stockholders to call special meetings of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do not provide for cumulative voting;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directors may only be removed “for cause” and only with the approval of two-thirds of our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prohibit stockholder action by written consent, which requires all stockholder actions to be taken at a meeting of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our Board of Directors is expressly authorized to make, alter, or repeal our Bylaws;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Certificate of Incorporation contains exclusive forum provisions for certain claims, which may limit our stockholders’ ability to obtain a favorable judicial forum for disputes with us or our directors, officers, or employees.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Certificate of Incorporation, our Bylaws, or any action asserting a claim against us that is governed by the internal affairs doctrine.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Moreover, Section 22 of the Securities Act creates concurrent jurisdiction for federal and state courts over all claims brought to enforce any duty or liability created by the Securities Act or the rules and regulations thereunder. Our Certificate of Incorporation provides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stockholders will not be deemed to have waived our compliance with the federal securities laws and the regulations promulgated thereunder.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harm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Sales of Unregistered Securities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share repurchase activity for the three months ended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90"/>
        <w:gridCol w:w="366"/>
        <w:gridCol w:w="369"/>
        <w:gridCol w:w="109"/>
        <w:gridCol w:w="109"/>
        <w:gridCol w:w="109"/>
        <w:gridCol w:w="805"/>
        <w:gridCol w:w="452"/>
        <w:gridCol w:w="453"/>
        <w:gridCol w:w="109"/>
        <w:gridCol w:w="109"/>
        <w:gridCol w:w="109"/>
        <w:gridCol w:w="292"/>
        <w:gridCol w:w="709"/>
        <w:gridCol w:w="151"/>
        <w:gridCol w:w="109"/>
        <w:gridCol w:w="109"/>
        <w:gridCol w:w="109"/>
        <w:gridCol w:w="1020"/>
        <w:gridCol w:w="701"/>
        <w:gridCol w:w="703"/>
        <w:gridCol w:w="109"/>
        <w:gridCol w:w="109"/>
        <w:gridCol w:w="109"/>
        <w:gridCol w:w="460"/>
        <w:gridCol w:w="1580"/>
        <w:gridCol w:w="346"/>
      </w:tblGrid>
      <w:tr>
        <w:trPr/>
        <w:tc>
          <w:tcPr>
            <w:tcW w:w="49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Average Price Paid per Share </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the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Approximate Dollar Value of Shares that May Yet Be Purchased Under the Plans or Programs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to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3,173,392 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3,173,392 </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72,206 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to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5,664,777 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5,664,777 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to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8,154,813 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8,154,813 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16,992,982 </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16,992,982 </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On May 31, 2022, our Board of Directors authorized and approved a share repurchase program to repurchase up to $100.0 million in aggregate of our Class A common stock, with the authorization to expire on June 30, 2024. On February 21, 2024, our Board of Directors authorized and approved an increase of $150.0 million to this share repurchase program and extended the expiration date to March 31, 2026. This share repurchase program expired on March 31, 2026. </w:t>
      </w:r>
    </w:p>
    <w:p>
      <w:pPr>
        <w:pStyle w:val="TextBody"/>
        <w:bidi w:val="0"/>
        <w:spacing w:lineRule="auto" w:line="288" w:before="0" w:after="18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Average price paid per share includes costs associated with the repurchases, excluding the 1% excise tax as a result of the Inflation Reduction Act.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April 2026, the Company’s Board of Directors authorized and approved a new share repurchase program to repurchase up to $100.0 million in aggregate of the Company’s Class A common stock, with the authorization to expire on June 30, 2028. The timing of any repurchases will depend on market conditions and other investment opportunities, and will be made at the Company’s discretion. The program does not obligate us to repurchase any dollar amount or number of shares, and the program may be extended, modified, suspended, or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officers (as defined in Rule 16a-1(f) under the Exchange Act) (“Section 16 officers”) are only permitted to trade in our securities pursuant to a prearranged trading plan intended to satisfy the affirmative defense of Rule 10b5-1(c) under the Exchange Act (a “Rule 10b5-1 Plan”). During the three months ended March 31, 2026, none of our Section 16 officers or our directors adopted or terminated a Rule 10b5-1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26"/>
        <w:gridCol w:w="288"/>
        <w:gridCol w:w="289"/>
        <w:gridCol w:w="109"/>
        <w:gridCol w:w="109"/>
        <w:gridCol w:w="109"/>
        <w:gridCol w:w="2022"/>
        <w:gridCol w:w="2022"/>
        <w:gridCol w:w="2039"/>
        <w:gridCol w:w="109"/>
        <w:gridCol w:w="109"/>
        <w:gridCol w:w="109"/>
        <w:gridCol w:w="170"/>
        <w:gridCol w:w="170"/>
        <w:gridCol w:w="171"/>
        <w:gridCol w:w="118"/>
        <w:gridCol w:w="118"/>
        <w:gridCol w:w="118"/>
        <w:gridCol w:w="210"/>
        <w:gridCol w:w="210"/>
        <w:gridCol w:w="211"/>
        <w:gridCol w:w="118"/>
        <w:gridCol w:w="118"/>
        <w:gridCol w:w="118"/>
        <w:gridCol w:w="207"/>
        <w:gridCol w:w="207"/>
        <w:gridCol w:w="301"/>
      </w:tblGrid>
      <w:tr>
        <w:trPr/>
        <w:tc>
          <w:tcPr>
            <w:tcW w:w="3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9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311ceo302certification-q1.htm">
              <w:r>
                <w:rPr>
                  <w:rStyle w:val="InternetLink"/>
                  <w:rFonts w:ascii="Times New Roman;serif" w:hAnsi="Times New Roman;serif"/>
                  <w:b w:val="false"/>
                  <w:color w:val="0000FF"/>
                  <w:sz w:val="20"/>
                  <w:u w:val="single"/>
                </w:rPr>
                <w:t>Certification of Principal Executive Officer pursuant to Rule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2cfo302certification-q1.htm">
              <w:r>
                <w:rPr>
                  <w:rStyle w:val="InternetLink"/>
                  <w:rFonts w:ascii="Times New Roman;serif" w:hAnsi="Times New Roman;serif"/>
                  <w:b w:val="false"/>
                  <w:color w:val="0000FF"/>
                  <w:sz w:val="20"/>
                  <w:u w:val="single"/>
                </w:rPr>
                <w:t>Certification of Principal Financial Officer pursuant to Rule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32.1</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1ceo906certification-q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32.2</w:t>
            </w:r>
            <w:r>
              <w:rPr>
                <w:rFonts w:ascii="Times New Roman;serif" w:hAnsi="Times New Roman;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2cfo906certification-q1.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Date File (formatted in iXBRL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180"/>
        <w:jc w:val="both"/>
        <w:rPr/>
      </w:pPr>
      <w:hyperlink w:anchor="id24e2b2a891b4d719816f3ae255292e2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Quarterly Report on Form 10-Q to be signed on its behalf by the undersigned thereunto duly authorized.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May 6, 2026</w:t>
      </w:r>
    </w:p>
    <w:tbl>
      <w:tblPr>
        <w:tblW w:w="4562" w:type="dxa"/>
        <w:jc w:val="right"/>
        <w:tblInd w:w="0" w:type="dxa"/>
        <w:tblLayout w:type="fixed"/>
        <w:tblCellMar>
          <w:top w:w="28" w:type="dxa"/>
          <w:left w:w="28" w:type="dxa"/>
          <w:bottom w:w="28" w:type="dxa"/>
          <w:right w:w="28" w:type="dxa"/>
        </w:tblCellMar>
      </w:tblPr>
      <w:tblGrid>
        <w:gridCol w:w="491"/>
        <w:gridCol w:w="431"/>
        <w:gridCol w:w="431"/>
        <w:gridCol w:w="933"/>
        <w:gridCol w:w="933"/>
        <w:gridCol w:w="1343"/>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45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NEXTDOOR HOLDINGS, INC.</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Nirav Tolia</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Nirav Tolia</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tbl>
      <w:tblPr>
        <w:tblW w:w="3904" w:type="dxa"/>
        <w:jc w:val="right"/>
        <w:tblInd w:w="0" w:type="dxa"/>
        <w:tblLayout w:type="fixed"/>
        <w:tblCellMar>
          <w:top w:w="28" w:type="dxa"/>
          <w:left w:w="28" w:type="dxa"/>
          <w:bottom w:w="28" w:type="dxa"/>
          <w:right w:w="28" w:type="dxa"/>
        </w:tblCellMar>
      </w:tblPr>
      <w:tblGrid>
        <w:gridCol w:w="232"/>
        <w:gridCol w:w="205"/>
        <w:gridCol w:w="208"/>
        <w:gridCol w:w="1034"/>
        <w:gridCol w:w="1034"/>
        <w:gridCol w:w="1037"/>
        <w:gridCol w:w="154"/>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Indrajit Ponnambalam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Indrajit Ponnambalam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p>
            <w:pPr>
              <w:pStyle w:val="TableContents"/>
              <w:bidi w:val="0"/>
              <w:spacing w:lineRule="auto" w:line="268"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RULE 13A-14(A) AND 15D-14(A) UNDER THE EXCHANGE ACT,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Nirav Tolia,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Nextdoor Holdings, Inc. (the “registrant”);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controls over financial reporting. </w:t>
      </w:r>
    </w:p>
    <w:tbl>
      <w:tblPr>
        <w:tblW w:w="8348"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487"/>
        <w:gridCol w:w="487"/>
        <w:gridCol w:w="495"/>
        <w:gridCol w:w="1419"/>
        <w:gridCol w:w="1419"/>
        <w:gridCol w:w="202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53" w:after="3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Chairperson of the Board of Directors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PURSUANT TO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RULE 13A-14(A) AND 15D-14(A) UNDER THE EXCHANGE ACT,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Indrajit Ponnambalam,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Nextdoor Holdings, Inc. (the “registrant”);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tbl>
      <w:tblPr>
        <w:tblW w:w="517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59"/>
        <w:gridCol w:w="159"/>
        <w:gridCol w:w="161"/>
        <w:gridCol w:w="781"/>
        <w:gridCol w:w="781"/>
        <w:gridCol w:w="110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Indrajit Ponnambalam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201F1E"/>
                <w:sz w:val="20"/>
              </w:rPr>
            </w:pPr>
            <w:r>
              <w:rPr>
                <w:rFonts w:ascii="Times New Roman;serif" w:hAnsi="Times New Roman;serif"/>
                <w:b w:val="false"/>
                <w:color w:val="201F1E"/>
                <w:sz w:val="20"/>
              </w:rPr>
              <w:t>Indrajit Ponnambalam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SECTION 906 </w:t>
        <w:br/>
        <w:t>OF THE SARBANES-OXLEY ACT OF 2002</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Nextdoor Holdings, Inc. (the “Company”) on Form 10-Q for the quarter ended March 31, 2026,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pStyle w:val="TextBody"/>
        <w:bidi w:val="0"/>
        <w:spacing w:lineRule="auto" w:line="333"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3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8348"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479"/>
        <w:gridCol w:w="479"/>
        <w:gridCol w:w="486"/>
        <w:gridCol w:w="1427"/>
        <w:gridCol w:w="1427"/>
        <w:gridCol w:w="202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53" w:after="30"/>
              <w:jc w:val="left"/>
              <w:rPr/>
            </w:pPr>
            <w:r>
              <w:rPr>
                <w:rFonts w:ascii="Times New Roman;serif" w:hAnsi="Times New Roman;serif"/>
                <w:b w:val="false"/>
                <w:color w:val="000000"/>
                <w:sz w:val="24"/>
              </w:rPr>
              <w:t>/s/</w:t>
            </w:r>
            <w:r>
              <w:rPr>
                <w:color w:val="000000"/>
              </w:rPr>
              <w:t xml:space="preserve"> </w:t>
            </w:r>
            <w:r>
              <w:rPr>
                <w:rFonts w:ascii="Times New Roman;serif" w:hAnsi="Times New Roman;serif"/>
                <w:b w:val="false"/>
                <w:i/>
                <w:color w:val="000000"/>
                <w:sz w:val="20"/>
              </w:rPr>
              <w:t>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Chairperson of the Board of Directors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SECTION 906 </w:t>
        <w:br/>
        <w:t>OF THE SARBANES-OXLEY ACT OF 2002</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386"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Nextdoor Holdings, Inc. (the “Company”) on Form 10-Q for the quarter ended March 31, 2026,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pStyle w:val="TextBody"/>
        <w:bidi w:val="0"/>
        <w:spacing w:lineRule="auto" w:line="386"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8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17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59"/>
        <w:gridCol w:w="159"/>
        <w:gridCol w:w="161"/>
        <w:gridCol w:w="781"/>
        <w:gridCol w:w="781"/>
        <w:gridCol w:w="110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Indrajit Ponnambalam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Indrajit Ponnambalam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12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43762</Words>
  <Characters>245709</Characters>
  <CharactersWithSpaces>288019</CharactersWithSpaces>
  <Paragraphs>2334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