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880" w:hanging="368"/>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40" w:lineRule="exact"/>
        <w:rPr>
          <w:sz w:val="24"/>
          <w:szCs w:val="24"/>
          <w:color w:val="auto"/>
        </w:rPr>
      </w:pPr>
    </w:p>
    <w:p>
      <w:pPr>
        <w:ind w:left="880" w:hanging="386"/>
        <w:spacing w:after="0"/>
        <w:tabs>
          <w:tab w:leader="none" w:pos="8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144145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7" w:lineRule="exact"/>
        <w:rPr>
          <w:sz w:val="24"/>
          <w:szCs w:val="24"/>
          <w:color w:val="auto"/>
        </w:rPr>
      </w:pPr>
    </w:p>
    <w:tbl>
      <w:tblPr>
        <w:tblLayout w:type="fixed"/>
        <w:tblInd w:w="10" w:type="dxa"/>
        <w:tblCellMar>
          <w:top w:w="0" w:type="dxa"/>
          <w:left w:w="0" w:type="dxa"/>
          <w:bottom w:w="0" w:type="dxa"/>
          <w:right w:w="0" w:type="dxa"/>
        </w:tblCellMar>
      </w:tblPr>
      <w:tr>
        <w:trPr>
          <w:trHeight w:val="353"/>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4"/>
          </w:tcPr>
          <w:p>
            <w:pPr>
              <w:jc w:val="center"/>
              <w:ind w:right="80"/>
              <w:spacing w:after="0"/>
              <w:rPr>
                <w:sz w:val="20"/>
                <w:szCs w:val="20"/>
                <w:color w:val="auto"/>
              </w:rPr>
            </w:pPr>
            <w:r>
              <w:rPr>
                <w:rFonts w:ascii="Times New Roman" w:cs="Times New Roman" w:eastAsia="Times New Roman" w:hAnsi="Times New Roman"/>
                <w:sz w:val="29"/>
                <w:szCs w:val="29"/>
                <w:b w:val="1"/>
                <w:bCs w:val="1"/>
                <w:color w:val="auto"/>
                <w:w w:val="99"/>
              </w:rPr>
              <w:t>Nextdoor Holdings, Inc.</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7740" w:type="dxa"/>
            <w:vAlign w:val="bottom"/>
            <w:gridSpan w:val="6"/>
          </w:tcPr>
          <w:p>
            <w:pPr>
              <w:jc w:val="center"/>
              <w:ind w:right="34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38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86-1776836</w:t>
            </w:r>
          </w:p>
        </w:tc>
        <w:tc>
          <w:tcPr>
            <w:tcW w:w="0" w:type="dxa"/>
            <w:vAlign w:val="bottom"/>
          </w:tcPr>
          <w:p>
            <w:pPr>
              <w:spacing w:after="0"/>
              <w:rPr>
                <w:sz w:val="1"/>
                <w:szCs w:val="1"/>
                <w:color w:val="auto"/>
              </w:rPr>
            </w:pPr>
          </w:p>
        </w:tc>
      </w:tr>
      <w:tr>
        <w:trPr>
          <w:trHeight w:val="456"/>
        </w:trPr>
        <w:tc>
          <w:tcPr>
            <w:tcW w:w="3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20" w:type="dxa"/>
            <w:vAlign w:val="bottom"/>
          </w:tcPr>
          <w:p>
            <w:pPr>
              <w:jc w:val="center"/>
              <w:ind w:left="14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80" w:type="dxa"/>
            <w:vAlign w:val="bottom"/>
          </w:tcPr>
          <w:p>
            <w:pPr>
              <w:jc w:val="center"/>
              <w:ind w:left="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420 Taylor Street</w:t>
            </w: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San Francisco, California 94102</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700" w:type="dxa"/>
            <w:vAlign w:val="bottom"/>
            <w:gridSpan w:val="3"/>
          </w:tcPr>
          <w:p>
            <w:pPr>
              <w:jc w:val="center"/>
              <w:ind w:left="1442"/>
              <w:spacing w:after="0"/>
              <w:rPr>
                <w:sz w:val="20"/>
                <w:szCs w:val="20"/>
                <w:color w:val="auto"/>
              </w:rPr>
            </w:pPr>
            <w:r>
              <w:rPr>
                <w:rFonts w:ascii="Times New Roman" w:cs="Times New Roman" w:eastAsia="Times New Roman" w:hAnsi="Times New Roman"/>
                <w:sz w:val="14"/>
                <w:szCs w:val="14"/>
                <w:b w:val="1"/>
                <w:bCs w:val="1"/>
                <w:color w:val="auto"/>
              </w:rPr>
              <w:t>(415) 344-0333</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3860" w:type="dxa"/>
            <w:vAlign w:val="bottom"/>
            <w:gridSpan w:val="5"/>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6"/>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2"/>
          </w:tcPr>
          <w:p>
            <w:pPr>
              <w:spacing w:after="0"/>
              <w:rPr>
                <w:sz w:val="11"/>
                <w:szCs w:val="11"/>
                <w:color w:val="auto"/>
              </w:rPr>
            </w:pPr>
          </w:p>
        </w:tc>
        <w:tc>
          <w:tcPr>
            <w:tcW w:w="1160" w:type="dxa"/>
            <w:vAlign w:val="bottom"/>
            <w:tcBorders>
              <w:bottom w:val="single" w:sz="8" w:color="auto"/>
            </w:tcBorders>
            <w:gridSpan w:val="2"/>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520" w:type="dxa"/>
            <w:vAlign w:val="bottom"/>
            <w:tcBorders>
              <w:left w:val="single" w:sz="8" w:color="auto"/>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rPr>
              <w:t>Title of each class</w:t>
            </w:r>
          </w:p>
        </w:tc>
        <w:tc>
          <w:tcPr>
            <w:tcW w:w="44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jc w:val="center"/>
              <w:ind w:right="11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3520" w:type="dxa"/>
            <w:vAlign w:val="bottom"/>
            <w:tcBorders>
              <w:left w:val="single" w:sz="8" w:color="auto"/>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44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ind w:right="588"/>
              <w:spacing w:after="0"/>
              <w:rPr>
                <w:sz w:val="20"/>
                <w:szCs w:val="20"/>
                <w:color w:val="auto"/>
              </w:rPr>
            </w:pPr>
            <w:r>
              <w:rPr>
                <w:rFonts w:ascii="Times New Roman" w:cs="Times New Roman" w:eastAsia="Times New Roman" w:hAnsi="Times New Roman"/>
                <w:sz w:val="14"/>
                <w:szCs w:val="14"/>
                <w:color w:val="auto"/>
              </w:rPr>
              <w:t>KIND</w:t>
            </w:r>
          </w:p>
        </w:tc>
        <w:tc>
          <w:tcPr>
            <w:tcW w:w="1160" w:type="dxa"/>
            <w:vAlign w:val="bottom"/>
            <w:tcBorders>
              <w:bottom w:val="single" w:sz="8" w:color="auto"/>
            </w:tcBorders>
            <w:gridSpan w:val="2"/>
          </w:tcPr>
          <w:p>
            <w:pPr>
              <w:spacing w:after="0"/>
              <w:rPr>
                <w:sz w:val="17"/>
                <w:szCs w:val="17"/>
                <w:color w:val="auto"/>
              </w:rPr>
            </w:pPr>
          </w:p>
        </w:tc>
        <w:tc>
          <w:tcPr>
            <w:tcW w:w="3880" w:type="dxa"/>
            <w:vAlign w:val="bottom"/>
            <w:tcBorders>
              <w:bottom w:val="single" w:sz="8" w:color="auto"/>
              <w:right w:val="single" w:sz="8" w:color="auto"/>
            </w:tcBorders>
          </w:tcPr>
          <w:p>
            <w:pPr>
              <w:jc w:val="center"/>
              <w:ind w:right="112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47" w:lineRule="exact"/>
        <w:rPr>
          <w:sz w:val="24"/>
          <w:szCs w:val="24"/>
          <w:color w:val="auto"/>
        </w:rPr>
      </w:pPr>
    </w:p>
    <w:p>
      <w:pPr>
        <w:ind w:right="200"/>
        <w:spacing w:after="0" w:line="20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0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right="58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tabs>
          <w:tab w:leader="none" w:pos="6700" w:val="left"/>
          <w:tab w:leader="none" w:pos="73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5, 2022, there were 153,514,732 shares of the registrant’s Class A common stock outstanding and 227,957,422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979805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7722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60"/>
          </w:cols>
          <w:pgMar w:left="320" w:top="84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6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r>
      <w:tr>
        <w:trPr>
          <w:trHeight w:val="414"/>
        </w:trPr>
        <w:tc>
          <w:tcPr>
            <w:tcW w:w="96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 Summary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66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580" w:type="dxa"/>
            <w:vAlign w:val="bottom"/>
          </w:tcPr>
          <w:p>
            <w:pPr>
              <w:spacing w:after="0"/>
              <w:rPr>
                <w:sz w:val="19"/>
                <w:szCs w:val="19"/>
                <w:color w:val="auto"/>
              </w:rPr>
            </w:pP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Equity (Deficit)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966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580" w:type="dxa"/>
            <w:vAlign w:val="bottom"/>
          </w:tcPr>
          <w:p>
            <w:pPr>
              <w:spacing w:after="0"/>
              <w:rPr>
                <w:sz w:val="19"/>
                <w:szCs w:val="19"/>
                <w:color w:val="auto"/>
              </w:rPr>
            </w:pP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 Exhibits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905"/>
        </w:trPr>
        <w:tc>
          <w:tcPr>
            <w:tcW w:w="966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Pr>
          <w:p>
            <w:pPr>
              <w:spacing w:after="0"/>
              <w:rPr>
                <w:sz w:val="24"/>
                <w:szCs w:val="24"/>
                <w:color w:val="auto"/>
              </w:rPr>
            </w:pPr>
          </w:p>
        </w:tc>
      </w:tr>
      <w:tr>
        <w:trPr>
          <w:trHeight w:val="277"/>
        </w:trPr>
        <w:tc>
          <w:tcPr>
            <w:tcW w:w="9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color w:val="auto"/>
        </w:rPr>
        <w: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89"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including our ability to scale new neighbor growth, our ability to grow engagement by our existing neighbor base and our ability to increase monetization of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monetization efforts;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operations abroad by opening new and expanding within existing neighborhoods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effectively;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sources of capital to finance operations and growth;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strategic relationships with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New York Stock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both within and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 in Ukraine), other physical security threats, cyber-attacks, or other catastrophic events;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52"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economic, and macroeconomic climate, whether in the advertising industry in general, or among specific types of advertisers or within particular geographies, including but not limited to the impacts related to labor shortages, supply chain disruptions, a potential recession, inflation and rising interest rates;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on the foregoing; and</w:t>
      </w:r>
    </w:p>
    <w:p>
      <w:pPr>
        <w:spacing w:after="0" w:line="2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factors detailed in Part II, Item 1A, “Risk Factors” in this Quarterly Report.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urged to carefully review and consider the various disclosures made in this Quarterly Report and in other documents we file from time to time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in this Quarterly Report, the terms “Nextdoor,” “we,” “us,”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08"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competitive. Competition presents an ongoing threat to the success of our business.</w:t>
      </w:r>
    </w:p>
    <w:p>
      <w:pPr>
        <w:spacing w:after="0" w:line="238" w:lineRule="exact"/>
        <w:rPr>
          <w:rFonts w:ascii="Times New Roman" w:cs="Times New Roman" w:eastAsia="Times New Roman" w:hAnsi="Times New Roman"/>
          <w:sz w:val="18"/>
          <w:szCs w:val="18"/>
          <w:color w:val="auto"/>
        </w:rPr>
      </w:pPr>
    </w:p>
    <w:p>
      <w:pPr>
        <w:jc w:val="both"/>
        <w:ind w:left="660" w:right="2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including the ongoing COVID-19 pandemic, have had or could have an adverse impact on our business, operations, and the markets and communities in which we, our partners and our customers operate. In addition, during the ongoing COVID-19 pandemic, we experienced an increase in neighbor growth and engagement and there is no guarantee that we will be able to maintain our neighbor growth and engagement as the ongoing COVID-19 pandemic subsides.</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additional capital in the future, it may not be available on favorable terms, if at all.</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208"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software and service providers, including the Google Ad Manager (“</w:t>
      </w:r>
      <w:r>
        <w:rPr>
          <w:rFonts w:ascii="Times New Roman" w:cs="Times New Roman" w:eastAsia="Times New Roman" w:hAnsi="Times New Roman"/>
          <w:sz w:val="18"/>
          <w:szCs w:val="18"/>
          <w:i w:val="1"/>
          <w:iCs w:val="1"/>
          <w:color w:val="auto"/>
        </w:rPr>
        <w:t>GAM</w:t>
      </w:r>
      <w:r>
        <w:rPr>
          <w:rFonts w:ascii="Times New Roman" w:cs="Times New Roman" w:eastAsia="Times New Roman" w:hAnsi="Times New Roman"/>
          <w:sz w:val="18"/>
          <w:szCs w:val="18"/>
          <w:color w:val="auto"/>
        </w:rPr>
        <w:t>”) platform, for management and delivery of advertisements on the Nextdoor platform. Any failure or interruption experienced by such third-parties, including as a result of the ongoing COVID-19 pandemic, could result in the inability of certain businesses to advertise on our platform, and adversely impact our business, operating results, and financial condition.</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and service providers, including Amazon Web Services (“</w:t>
      </w:r>
      <w:r>
        <w:rPr>
          <w:rFonts w:ascii="Times New Roman" w:cs="Times New Roman" w:eastAsia="Times New Roman" w:hAnsi="Times New Roman"/>
          <w:sz w:val="18"/>
          <w:szCs w:val="18"/>
          <w:i w:val="1"/>
          <w:iCs w:val="1"/>
          <w:color w:val="auto"/>
        </w:rPr>
        <w:t>AWS</w:t>
      </w:r>
      <w:r>
        <w:rPr>
          <w:rFonts w:ascii="Times New Roman" w:cs="Times New Roman" w:eastAsia="Times New Roman" w:hAnsi="Times New Roman"/>
          <w:sz w:val="18"/>
          <w:szCs w:val="18"/>
          <w:color w:val="auto"/>
        </w:rPr>
        <w:t>”), to provide systems, storage and services for our platform. Any failure or interruption experienced by such third parties, including as a result of the ongoing COVID-19 pandemic, could result in the inability of neighbors and advertisers to access or utilize our platform, and adversely impact our business, operating results, and financial condition.</w:t>
      </w:r>
    </w:p>
    <w:p>
      <w:pPr>
        <w:spacing w:after="0" w:line="20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have been developed that can block the display of advertisements on the Nextdoor platform, which could adversely impact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including improper access to or disclosure of our data or our neighbors’ data, or other hacking and phishing attacks on our third-party system, could harm our reputation and adversely affect our business.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5" w:name="page6"/>
    <w:bookmarkEnd w:id="5"/>
    <w:p>
      <w:pPr>
        <w:ind w:left="328" w:right="20"/>
        <w:spacing w:after="0" w:line="266" w:lineRule="auto"/>
        <w:rPr>
          <w:sz w:val="20"/>
          <w:szCs w:val="20"/>
          <w:color w:val="auto"/>
        </w:rPr>
      </w:pPr>
      <w:r>
        <w:rPr>
          <w:rFonts w:ascii="Times New Roman" w:cs="Times New Roman" w:eastAsia="Times New Roman" w:hAnsi="Times New Roman"/>
          <w:sz w:val="18"/>
          <w:szCs w:val="18"/>
          <w:color w:val="auto"/>
        </w:rPr>
        <w:t>distribution, use or marketing of our platform in any material way, it could materially adversely affect our business, operating results, and financial condition.</w:t>
      </w:r>
    </w:p>
    <w:p>
      <w:pPr>
        <w:spacing w:after="0" w:line="189" w:lineRule="exact"/>
        <w:rPr>
          <w:sz w:val="20"/>
          <w:szCs w:val="20"/>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market opportunities and key metric estimates could prove to be inaccurate, and any real or perceived inaccuracies may harm our reputation and negatively affect our business.</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net losses in the future and we cannot assure you that we will achieve or sustain profitability. If we cannot achieve or sustain profitability, our business, financial condition and operating results will be adversely affected.</w:t>
      </w:r>
    </w:p>
    <w:p>
      <w:pPr>
        <w:spacing w:after="0" w:line="18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greater than anticipated tax liabilities, which could harm our business, revenue and financial results.</w:t>
      </w:r>
    </w:p>
    <w:p>
      <w:pPr>
        <w:spacing w:after="0" w:line="238"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share repurchase program will be fully consummated or that it will enhance long-term stockholder value. Share repurchases could also increase the volatility of the trading price of our stock and could diminish our cash reserves.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as a result of content or information that is published or made available on our platform.</w:t>
      </w:r>
    </w:p>
    <w:p>
      <w:pPr>
        <w:spacing w:after="0" w:line="157"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89"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involved in legal disputes that are expensive and time consuming, and, if resolved adversely, could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systems of internal controls and disclosure controls could have a material adverse effect on our business, operating results, and financial conditions.</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8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technology from third parties, and our inability to maintain those licenses could harm our business.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Class A common stock has been and may continue to be volatile.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167640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521,812</w:t>
            </w: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Marketable securities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193,999</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$374 and $425 as of June 30, 2022 and December 31, 2021, respectively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29,673</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16,259</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761,743</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59,422</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Liability for unvested restricted stock</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0" w:type="dxa"/>
            <w:vAlign w:val="bottom"/>
          </w:tcPr>
          <w:p>
            <w:pPr>
              <w:spacing w:after="0"/>
              <w:rPr>
                <w:sz w:val="1"/>
                <w:szCs w:val="1"/>
                <w:color w:val="auto"/>
              </w:rPr>
            </w:pPr>
          </w:p>
        </w:tc>
      </w:tr>
      <w:tr>
        <w:trPr>
          <w:trHeight w:val="204"/>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33,503</w:t>
            </w: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61,598</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95,101</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Class A common stock, $0.0001 par value; 2,500,000 shares authorized, 154,979 and 78,954 shares issued and</w:t>
            </w:r>
          </w:p>
        </w:tc>
        <w:tc>
          <w:tcPr>
            <w:tcW w:w="2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outstanding as of June 30, 2022 and December 31, 2021, respectively</w:t>
            </w:r>
          </w:p>
        </w:tc>
        <w:tc>
          <w:tcPr>
            <w:tcW w:w="2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Class B common stock, $0.0001 par value; 500,000 shares authorized, 230,699 and 304,701 shares issued and</w:t>
            </w:r>
          </w:p>
        </w:tc>
        <w:tc>
          <w:tcPr>
            <w:tcW w:w="2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7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outstanding as of June 30, 2022 and December 31, 2021, respectively</w:t>
            </w:r>
          </w:p>
        </w:tc>
        <w:tc>
          <w:tcPr>
            <w:tcW w:w="2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1,225,815</w:t>
            </w:r>
          </w:p>
        </w:tc>
        <w:tc>
          <w:tcPr>
            <w:tcW w:w="0" w:type="dxa"/>
            <w:vAlign w:val="bottom"/>
          </w:tcPr>
          <w:p>
            <w:pPr>
              <w:spacing w:after="0"/>
              <w:rPr>
                <w:sz w:val="1"/>
                <w:szCs w:val="1"/>
                <w:color w:val="auto"/>
              </w:rPr>
            </w:pPr>
          </w:p>
        </w:tc>
      </w:tr>
      <w:tr>
        <w:trPr>
          <w:trHeight w:val="213"/>
        </w:trPr>
        <w:tc>
          <w:tcPr>
            <w:tcW w:w="7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(480,339)</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701,458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744,985</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80,165</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126,626</w:t>
            </w:r>
          </w:p>
        </w:tc>
        <w:tc>
          <w:tcPr>
            <w:tcW w:w="0" w:type="dxa"/>
            <w:vAlign w:val="bottom"/>
          </w:tcPr>
          <w:p>
            <w:pPr>
              <w:spacing w:after="0"/>
              <w:rPr>
                <w:sz w:val="1"/>
                <w:szCs w:val="1"/>
                <w:color w:val="auto"/>
              </w:rPr>
            </w:pPr>
          </w:p>
        </w:tc>
      </w:tr>
      <w:tr>
        <w:trPr>
          <w:trHeight w:val="223"/>
        </w:trPr>
        <w:tc>
          <w:tcPr>
            <w:tcW w:w="5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computing net loss per share attributable to</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100,517</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75"/>
        </w:trPr>
        <w:tc>
          <w:tcPr>
            <w:tcW w:w="52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unrealized gain (loss) on available-for-sale marketable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(46,533)</w:t>
            </w:r>
          </w:p>
        </w:tc>
      </w:tr>
      <w:tr>
        <w:trPr>
          <w:trHeight w:val="21"/>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72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0" w:type="dxa"/>
            <w:vAlign w:val="bottom"/>
            <w:vMerge w:val="restart"/>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30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40" w:type="dxa"/>
            <w:vAlign w:val="bottom"/>
          </w:tcPr>
          <w:p>
            <w:pPr>
              <w:jc w:val="center"/>
              <w:ind w:right="81"/>
              <w:spacing w:after="0" w:line="12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8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7"/>
                <w:szCs w:val="17"/>
                <w:color w:val="auto"/>
              </w:rPr>
            </w:pPr>
          </w:p>
        </w:tc>
        <w:tc>
          <w:tcPr>
            <w:tcW w:w="8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March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1,242,955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(513,287)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727,666</w:t>
            </w: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Release of restricted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Conversion from Class B to</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(76,706)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Class A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Issuance of common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Times New Roman" w:cs="Times New Roman" w:eastAsia="Times New Roman" w:hAnsi="Times New Roman"/>
                <w:sz w:val="16"/>
                <w:szCs w:val="16"/>
                <w:color w:val="auto"/>
              </w:rPr>
              <w:t>upon exercise of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400"/>
              <w:spacing w:after="0" w:line="162" w:lineRule="exact"/>
              <w:rPr>
                <w:sz w:val="20"/>
                <w:szCs w:val="20"/>
                <w:color w:val="auto"/>
              </w:rPr>
            </w:pPr>
            <w:r>
              <w:rPr>
                <w:rFonts w:ascii="Times New Roman" w:cs="Times New Roman" w:eastAsia="Times New Roman" w:hAnsi="Times New Roman"/>
                <w:sz w:val="16"/>
                <w:szCs w:val="16"/>
                <w:color w:val="auto"/>
              </w:rPr>
              <w:t>options, net of repurchases</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of unvested common stock</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Issuance of common stock in</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Vesting of early exercised</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17,544</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(36,843)</w:t>
            </w:r>
          </w:p>
        </w:tc>
        <w:tc>
          <w:tcPr>
            <w:tcW w:w="0" w:type="dxa"/>
            <w:vAlign w:val="bottom"/>
          </w:tcPr>
          <w:p>
            <w:pPr>
              <w:spacing w:after="0"/>
              <w:rPr>
                <w:sz w:val="1"/>
                <w:szCs w:val="1"/>
                <w:color w:val="auto"/>
              </w:rPr>
            </w:pPr>
          </w:p>
        </w:tc>
      </w:tr>
      <w:tr>
        <w:trPr>
          <w:trHeight w:val="250"/>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as of June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154,979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230,699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1,255,034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(550,130)</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701,458</w:t>
            </w:r>
          </w:p>
        </w:tc>
        <w:tc>
          <w:tcPr>
            <w:tcW w:w="0" w:type="dxa"/>
            <w:vAlign w:val="bottom"/>
          </w:tcPr>
          <w:p>
            <w:pPr>
              <w:spacing w:after="0"/>
              <w:rPr>
                <w:sz w:val="1"/>
                <w:szCs w:val="1"/>
                <w:color w:val="auto"/>
              </w:rPr>
            </w:pPr>
          </w:p>
        </w:tc>
      </w:tr>
      <w:tr>
        <w:trPr>
          <w:trHeight w:val="416"/>
        </w:trPr>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72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0" w:type="dxa"/>
            <w:vAlign w:val="bottom"/>
            <w:vMerge w:val="restart"/>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30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40" w:type="dxa"/>
            <w:vAlign w:val="bottom"/>
          </w:tcPr>
          <w:p>
            <w:pPr>
              <w:jc w:val="center"/>
              <w:ind w:right="81"/>
              <w:spacing w:after="0" w:line="12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8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7"/>
                <w:szCs w:val="17"/>
                <w:color w:val="auto"/>
              </w:rPr>
            </w:pPr>
          </w:p>
        </w:tc>
        <w:tc>
          <w:tcPr>
            <w:tcW w:w="8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March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447,166</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108,137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(410,154)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(309,245)</w:t>
            </w: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upon exercise of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options, net of repurchases</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of unvested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Issuance of common stock in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Vesting of early exercised</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0" w:type="dxa"/>
            <w:vAlign w:val="bottom"/>
          </w:tcPr>
          <w:p>
            <w:pPr>
              <w:spacing w:after="0"/>
              <w:rPr>
                <w:sz w:val="1"/>
                <w:szCs w:val="1"/>
                <w:color w:val="auto"/>
              </w:rPr>
            </w:pPr>
          </w:p>
        </w:tc>
      </w:tr>
      <w:tr>
        <w:trPr>
          <w:trHeight w:val="23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June 30, 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447,166</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(317,039)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720" w:type="dxa"/>
            <w:vAlign w:val="bottom"/>
            <w:tcBorders>
              <w:right w:val="single" w:sz="8" w:color="auto"/>
            </w:tcBorders>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vMerge w:val="restart"/>
          </w:tcPr>
          <w:p>
            <w:pPr>
              <w:spacing w:after="0"/>
              <w:rPr>
                <w:sz w:val="5"/>
                <w:szCs w:val="5"/>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0" w:type="dxa"/>
            <w:vAlign w:val="bottom"/>
            <w:vMerge w:val="restart"/>
          </w:tcPr>
          <w:p>
            <w:pPr>
              <w:spacing w:after="0"/>
              <w:rPr>
                <w:sz w:val="5"/>
                <w:szCs w:val="5"/>
                <w:color w:val="auto"/>
              </w:rPr>
            </w:pPr>
          </w:p>
        </w:tc>
        <w:tc>
          <w:tcPr>
            <w:tcW w:w="920" w:type="dxa"/>
            <w:vAlign w:val="bottom"/>
            <w:gridSpan w:val="3"/>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5"/>
                <w:szCs w:val="5"/>
                <w:color w:val="auto"/>
              </w:rPr>
            </w:pPr>
          </w:p>
        </w:tc>
        <w:tc>
          <w:tcPr>
            <w:tcW w:w="880" w:type="dxa"/>
            <w:vAlign w:val="bottom"/>
            <w:gridSpan w:val="2"/>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9"/>
        </w:trPr>
        <w:tc>
          <w:tcPr>
            <w:tcW w:w="2300" w:type="dxa"/>
            <w:vAlign w:val="bottom"/>
          </w:tcPr>
          <w:p>
            <w:pPr>
              <w:spacing w:after="0"/>
              <w:rPr>
                <w:sz w:val="6"/>
                <w:szCs w:val="6"/>
                <w:color w:val="auto"/>
              </w:rPr>
            </w:pPr>
          </w:p>
        </w:tc>
        <w:tc>
          <w:tcPr>
            <w:tcW w:w="1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80" w:type="dxa"/>
            <w:vAlign w:val="bottom"/>
            <w:gridSpan w:val="3"/>
          </w:tcPr>
          <w:p>
            <w:pPr>
              <w:jc w:val="center"/>
              <w:ind w:right="100"/>
              <w:spacing w:after="0" w:line="11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4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tcPr>
          <w:p>
            <w:pPr>
              <w:jc w:val="center"/>
              <w:ind w:right="81"/>
              <w:spacing w:after="0" w:line="117"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8"/>
                <w:szCs w:val="18"/>
                <w:color w:val="auto"/>
              </w:rPr>
            </w:pPr>
          </w:p>
        </w:tc>
        <w:tc>
          <w:tcPr>
            <w:tcW w:w="7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78,954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1,225,815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744,985</w:t>
            </w: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Release of restricted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Tax withholdings on release of</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restricted stock units</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Conversion from Class B to</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Class A common stock</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upon exercise of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options, net of repurchases</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of unvested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Issuance of common stock in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Vesting of early exercised</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(69,791)</w:t>
            </w: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June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1,255,034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701,458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72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vMerge w:val="restart"/>
          </w:tcPr>
          <w:p>
            <w:pPr>
              <w:spacing w:after="0"/>
              <w:rPr>
                <w:sz w:val="7"/>
                <w:szCs w:val="7"/>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0" w:type="dxa"/>
            <w:vAlign w:val="bottom"/>
            <w:vMerge w:val="restart"/>
          </w:tcPr>
          <w:p>
            <w:pPr>
              <w:spacing w:after="0"/>
              <w:rPr>
                <w:sz w:val="7"/>
                <w:szCs w:val="7"/>
                <w:color w:val="auto"/>
              </w:rPr>
            </w:pPr>
          </w:p>
        </w:tc>
        <w:tc>
          <w:tcPr>
            <w:tcW w:w="920" w:type="dxa"/>
            <w:vAlign w:val="bottom"/>
            <w:gridSpan w:val="3"/>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880" w:type="dxa"/>
            <w:vAlign w:val="bottom"/>
            <w:gridSpan w:val="2"/>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1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40" w:type="dxa"/>
            <w:vAlign w:val="bottom"/>
          </w:tcPr>
          <w:p>
            <w:pPr>
              <w:jc w:val="center"/>
              <w:ind w:right="81"/>
              <w:spacing w:after="0" w:line="12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84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447,166</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(385,014)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(297,856)</w:t>
            </w: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upon exercise of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options, net of repurchases</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7,906</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of unvested common stock</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Issuance of common stock in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Vesting of early exercised</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3"/>
        </w:trPr>
        <w:tc>
          <w:tcPr>
            <w:tcW w:w="2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2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(46,639)</w:t>
            </w: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June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447,166</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(317,039)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220" w:firstLine="8"/>
        <w:spacing w:after="0" w:line="28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Company’s common and redeemable convertible preferred stock prior to the Reverse Recapitalization (as defined in Note 1) have been retroactively restated to reflect the exchange ratio of 3.1057 established in the Merger Agreement as described in Note 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(69,791)</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(25,593)</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33,845</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(435,600)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12,865</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 net of repurchases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transaction costs related to the Reverse Recapitalization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withholdings on release of restricted stock units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Prepayment under share repurchase program</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521,812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84,743</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taxes, net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Vesting of restricted stock and early exercised stock options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0" w:type="dxa"/>
            <w:vAlign w:val="bottom"/>
          </w:tcPr>
          <w:p>
            <w:pPr>
              <w:spacing w:after="0"/>
              <w:rPr>
                <w:sz w:val="1"/>
                <w:szCs w:val="1"/>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 not yet settled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0"/>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Unpaid deferred transaction costs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spacing w:after="0" w:line="122"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On November 5, 2021 (the “Closing”), the Company consummated the transactions contemplated by the Agreement and Plan of Merger, dated July 6, 2021, as amended on September 30, 2021 (the “Merger Agreement”), by and among Khosla Ventures Acquisition Co. II (“KVSB”), a special purpose acquisition company, Lorelei Merger Sub Inc. (“Merger Sub”), and Nextdoor, Inc. (“Legacy Nextdoor”), with Legacy Nextdoor surviving as a wholly owned subsidiary of KVSB (the “Merger” and, collectively with the other transactions that occurred in connection with the Merger, including the PIPE Investment (as described in Note 3, the “Reverse Recapitalization”). In connection with the Closing, KVSB was renamed to Nextdoor Holdings, Inc. Reported results from operations included herein prior to the Reverse Recapitalization are those of Legacy Nextdoor.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Reverse Recapitalization for further details.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2021.</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2022 or any other future interim or annual period.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GAAP. This determination was primarily based on the evaluation of the following facts and circumstances:</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Nextdoor stockholders had a relative majority of the voting power of Nextdoor;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Nextdoor had ten members, and Legacy Nextdoor stockholders had the ability to nominate a majority of the members of the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Nextdoor’s senior management comprised the senior management roles of Nextdoor and were responsible for the day-to-day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Nextdoor assumed the Nextdoor Holdings, Inc. name and Legacy Nextdoor’s corporate headquarters;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strategy and operations of Nextdoor continued Legacy Nextdoor’s strategy and operations to leverage technology to connect millions of neighbors online and in real life to build stronger, more vibrant, and resilient neighborhoods.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shares and corresponding capital amounts and all per share data related to Legacy Nextdoor’s outstanding redeemable convertible preferred stock, common stock, and stock-based awards prior to the Reverse Recapitalization have been retroactively adjusted using the Exchange Ratio (as defined in Note 3). The net assets of KVSB were recognized as of the Closing at historical cost, with no goodwill or other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recorded. Operations prior to the Merger are those of Legacy Nextdoor and Legacy Nextdoor’s operations are the only ongoing operations of Nextdoor.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disclosed in Note 2 to the consolidated financial statements described in our Annual Report as of and for the year ended December 31, 2021 that have had a material impact on the Company’s condensed consolidated financial statements and related notes, except as noted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insignificant interest rate risk and original maturities of three months or less at the time of purchase. Cash and cash equivalents include demand deposits, money market accounts, corporate bonds, and commercial paper. Interest is accrued as earned. Cash and cash equivalents are recorded at cost, which approximates fair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 Topic 740 – Simplifying the Accounting for Income Taxes</w:t>
      </w:r>
      <w:r>
        <w:rPr>
          <w:rFonts w:ascii="Times New Roman" w:cs="Times New Roman" w:eastAsia="Times New Roman" w:hAnsi="Times New Roman"/>
          <w:sz w:val="18"/>
          <w:szCs w:val="18"/>
          <w:color w:val="auto"/>
        </w:rPr>
        <w:t>, which simplifies the accounting for income taxes by removing certain exceptions to the general principals in Topic 740. The amendments also improve consistent application of and simplify GAAP for other areas of Topic 740 by clarifying and amending existing guidance. The Company adopted this standard as of January 1, 2022, and the adoption did not have a material impact on the Company’s condensed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Reverse Recapitalization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as described in Note 1, Merger Sub merged with and into Legacy Nextdoor, with Legacy Nextdoor surviving the Merger. Legacy Nextdoor became a wholly owned subsidiary of KVSB and KVSB was immediately renamed Nextdoor Holdings, Inc. Upon the consummation of the Merger, the following events contemplated by the Merger Agreement occurred, based on Legacy Nextdoor’s capitalization as of November 5, 2021:</w:t>
      </w:r>
    </w:p>
    <w:p>
      <w:pPr>
        <w:spacing w:after="0" w:line="126"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61,331,815 issued and outstanding shares of Legacy Nextdoor redeemable convertible preferred stock were converted into 61,331,815 shares of Legacy Nextdoor common stock at the conversion rate as calculated pursuant to Legacy Nextdoor’s certificate of incorporation;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97,886,321 issued and outstanding shares of Legacy Nextdoor common stock (including Legacy Nextdoor common stock resulting from the conversion of the Legacy Nextdoor redeemable convertible preferred stock) were converted into 304,003,976 shares of Nextdoor Class B common stock after giving effect to the exchange ratio of 3.1057 as calculated in accordance with the Merger Agreement (“Exchange Ratio”);</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19,196,313 granted and outstanding unexercised Legacy Nextdoor options were converted into 59,616,898 Nextdoor options exercisable for shares of Nextdoor Class B common stock with the same terms and vesting conditions except for the number of shares exercisable and the exercise price, each of which was adjusted by the Exchange Ratio;</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866,687 granted and outstanding unvested Legacy Nextdoor restricted stock units (“RSUs”) were converted into 2,691,577 Nextdoor RSUs for shares of Nextdoor Class B common stock with the same terms and vesting conditions except for the number of shares, which was adjusted by the Exchange Ratio;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entitlement to receive 58,135 shares of Legacy Nextdoor common stock pursuant to the Pixel Labs Merger Agreement converted into the right to receive 180,549 shares of Nextdoor Class B common stock, which was adjusted by the Exchange Ratio.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304,003,976 shares of Nextdoor Class B common stock issued and outstanding as of the Closing and Nextdoor options and RSUs covering 62,308,475 shares reserved for the potential future issuance of Nextdoor Class B common stock as of the Closing.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Closing of the Merger:</w:t>
      </w:r>
    </w:p>
    <w:p>
      <w:pPr>
        <w:spacing w:after="0" w:line="171"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KVSB Class B founder shares, consisting of 5,000,000 shares of KVSB Class B common stock, automatically converted into an aggregate of 7,347,249 shares of Nextdoor Class A common stock;</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KVSB Class K founder shares, consisting of 5,000,000 shares of KVSB Class K common stock, converted into an aggregate of 3,061,354 shares of Nextdoor Class A common stock;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1,132,688 private placement sponsor shares of KVSB Class A common stock converted into shares of Nextdoor Class A common stock on a one-to-one basis;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40,412,372 shares of KVSB Class A common stock held by KVSB public stockholders, net of the redemption of 1,222,040 shares of KVSB Class A common stock, converted into Nextdoor Class A common stock on a one-to-one basis.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6, 2021, concurrently with the execution of the Merger Agreement, KVSB entered into subscription agreements with certain investors (collectively, the “PIPE Investors”), pursuant to, and on the terms and subject to the conditions of which, the PIPE Investors subscribed for an aggregate of 27,000,000 shares of Class A common stock, which included 750,000 shares of Nextdoor Class A common stock to the KVSB sponsor and 4,500,000 shares of Nextdoor Class A common stock to certain Legacy Nextdoor stockholders, including 500,000 shares of Nextdoor Class A common stock to Nextdoor's Chief Executive Officer and President, for an aggregate purchase price of $270.0 million (the “PIPE Investment”). The PIPE Investment was consummated substantially concurrently with the Closing of the Merger.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78,953,663 shares of Nextdoor Class A common stock issued and outstanding as of the Closing.</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shares of Class A common stock is entitled to one vote for each share of Class A common stock held on all matters submitted to a vote of stockholders and each holder of shares of Class B common stock is entitled to 10 votes for each share of Class B common stock held on all matters submitted to a vote of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of shares of common stock issued and outstanding immediately following the Reverse Recapitalization: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600" w:type="dxa"/>
            <w:vAlign w:val="bottom"/>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864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KVSB Class A common stock, outstanding prior to Reverse Recapitalization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42,767,100</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redemption of KVSB Class A common stock</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(1,222,040)</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KVSB Class B founder shares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7,347,249</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KVSB Class K common stock</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3,061,354</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to PIPE Investors</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27,000,000</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Nextdoor Class A common stock</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78,953,663</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r>
      <w:tr>
        <w:trPr>
          <w:trHeight w:val="230"/>
        </w:trPr>
        <w:tc>
          <w:tcPr>
            <w:tcW w:w="8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Conversion of Legacy Nextdoor common stock </w:t>
            </w:r>
            <w:r>
              <w:rPr>
                <w:rFonts w:ascii="Times New Roman" w:cs="Times New Roman" w:eastAsia="Times New Roman" w:hAnsi="Times New Roman"/>
                <w:sz w:val="23"/>
                <w:szCs w:val="23"/>
                <w:color w:val="auto"/>
                <w:vertAlign w:val="superscript"/>
              </w:rPr>
              <w:t>(1)</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113,526,555</w:t>
            </w: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Conversion of Legacy Nextdoor redeemable convertible preferred stock </w:t>
            </w:r>
            <w:r>
              <w:rPr>
                <w:rFonts w:ascii="Times New Roman" w:cs="Times New Roman" w:eastAsia="Times New Roman" w:hAnsi="Times New Roman"/>
                <w:sz w:val="23"/>
                <w:szCs w:val="23"/>
                <w:color w:val="auto"/>
                <w:vertAlign w:val="superscript"/>
              </w:rPr>
              <w:t>(2)</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190,477,421</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Nextdoor Class B common stock</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304,003,976</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tcBorders>
              <w:bottom w:val="single" w:sz="8" w:color="auto"/>
            </w:tcBorders>
            <w:shd w:val="clear" w:color="auto" w:fill="CCEEFF"/>
          </w:tcPr>
          <w:p>
            <w:pPr>
              <w:spacing w:after="0"/>
              <w:rPr>
                <w:sz w:val="23"/>
                <w:szCs w:val="23"/>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Reverse Recapitalization</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382,957,639</w:t>
            </w:r>
          </w:p>
        </w:tc>
      </w:tr>
      <w:tr>
        <w:trPr>
          <w:trHeight w:val="20"/>
        </w:trPr>
        <w:tc>
          <w:tcPr>
            <w:tcW w:w="86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200" w:firstLine="8"/>
        <w:spacing w:after="0" w:line="282"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completion of the Reverse Recapitalization, the 36,554,506 outstanding shares of Legacy Nextdoor common stock were converted into shares of Nextdoor Class B common stock using the Exchange Ratio.</w:t>
      </w:r>
    </w:p>
    <w:p>
      <w:pPr>
        <w:spacing w:after="0" w:line="121" w:lineRule="exact"/>
        <w:rPr>
          <w:rFonts w:ascii="Times New Roman" w:cs="Times New Roman" w:eastAsia="Times New Roman" w:hAnsi="Times New Roman"/>
          <w:sz w:val="14"/>
          <w:szCs w:val="14"/>
          <w:color w:val="auto"/>
        </w:rPr>
      </w:pPr>
    </w:p>
    <w:p>
      <w:pPr>
        <w:ind w:right="60" w:firstLine="8"/>
        <w:spacing w:after="0" w:line="302"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completion of the Reverse Recapitalization, all 61,331,815 outstanding shares of Legacy Nextdoor redeemable convertible preferred stock converted into Legacy Nextdoor common stock on a one-to-one basis, which were then converted into shares of Nextdoor Class B common stock using the Exchange Ratio.</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at historical cost, with no goodwill or other intangible assets recorded. Operations prior to the Merger are those of Legacy Nextdoor and Legacy Nextdoor’s operations are the only ongoing operations of Nextdoor.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Reverse Recapitalization, the Company raised $628.5 million of proceeds which included the contribution of $416.4 million of funds held in KVSB’s trust account, $0.2 million of cash held in KVSB’s operating cash account, and $270.0 million of proceeds from the PIPE Investment, net of $12.2 million paid to redeem 1,222,040 public shares of KVSB’s Class A common stock and $45.9 million in transaction costs incurred by KVSB. Legacy Nextdoor incurred $5.7 million of transaction costs, which consisted of direct incremental legal, accounting, consulting, and other fees which were recorded as deferred transaction costs and upon completion of the Reverse Recapitalization were reclassified to additional paid-in capital as a reduction of the net proceeds received.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and corresponding capital amounts and all per share data related to Legacy Nextdoor’s outstanding redeemable convertible preferred stock, common stock, and stock-based awards prior to the Reverse Recapitalization have been retroactively adjusted using the Exchange Ratio.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Pixel Labs, Inc. Business Combination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22, 2019, the Company executed a merger agreement to acquire the assets and liabilities of Pixel Labs, Inc. (“Pixel Labs”). The acquisition closed on August 27, 2019. The purchase accounting was completed in 2019 and no measurement period adjustments were recorded. The aggregate purchase consideration of $7.6 million included a time-based cash and share holdback of $0.7 million and $0.2 million, respectively, to be paid at a future date. In November 2020 final settlement of the holdback was completed.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closing, certain Pixel Labs stockholders had not completed administrative forms that were required for the Company’s common stock to be legally issued. During the three and six months ended June 30, 2022, an additional 1,465 and 173,100 shares were issued as a result of the administrative forms being completed, respectively. During the three and six months ended June 30, 2021, an additional 20,885 shares were issued as a result of the administrative forms being completed.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Deferred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advertising arrangements the Company requires payment upfront from its customers. The Company records deferred revenue when it collects cash from customers in advance of revenue recognition. As of June 30, 2022 and December 31, 2021, deferred revenue was $4.9 million and $3.4 million, respectively, and included within accrued expenses and other current liabilities on the condensed consolidated balance sheets. For the three months ended June 30, 2022 and 2021, revenue recognized from deferred revenue at the beginning of each period was $2.5 million and $2.1 million, respectively. For the six months ended June 30, 2022 and 2021, revenue recognized from deferred revenue at the beginning of each period was $2.8 million and $1.8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Cash Equivalents and Marketable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costs, unrealized gains and losses, and estimated fair values of the Company’s cash equivalents and marketable securities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33,887</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156,548</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361,245</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44,330</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30,092</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629,567</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626,102</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634,277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474,294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474,294</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83,728</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78,363</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194,016</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193,999</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668,293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marketable securities are designated as available-for-sale securities as of June 30, 2022 and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the Company’s marketable securities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1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534,347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531,886</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626,102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within one year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Fair Value Measurements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97"/>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137,077</w:t>
            </w: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137,043</w:t>
            </w:r>
          </w:p>
        </w:tc>
      </w:tr>
      <w:tr>
        <w:trPr>
          <w:trHeight w:val="256"/>
        </w:trPr>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56,939</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56,956</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-505460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-187960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are classified by level within the fair value hierarchy. There were no financial assets or liabilities measured using Level 3 inputs as of June 30, 2022 and December 31, 2021. The following table presents information about the Company’s financial assets that are measured at fair value on a 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60" w:type="dxa"/>
            <w:vAlign w:val="bottom"/>
            <w:gridSpan w:val="7"/>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 as of June 30, 2022</w:t>
            </w: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33,887</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156,548</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361,245</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44,330</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30,092</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626,102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626,102</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628,688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634,277</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60" w:type="dxa"/>
            <w:vAlign w:val="bottom"/>
            <w:gridSpan w:val="7"/>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2021</w:t>
            </w: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474,294</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83,728</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78,363</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193,999</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474,294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668,293</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early exercise of unvested stock options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June 30, 2022 and December 31,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history of prior indemnification claims and the unique facts and circumstances involved in each particular agreement. For the three and six months ended June 30, 2022 and 2021, the Company did not incur material costs to defend lawsuits or settle claims related to these indemnifications. The Company believes the fair value of these liabilities is not material and accordingly has no liabilities recorded for these agreements as of June 30, 2022 and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Opportunity Finance Network Loan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29, 2022, the Company entered into a credit agreement with Opportunity Finance Network (“OFN”) to lend up to an aggregate of $15.0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over the course of 24 months. OFN is a national network of community development financial institutions (“CDFIs”). OFN will use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make low-cost, fixed-rate loans to OFN-member CDFIs that on-lend those loan proceeds to fund affordable housing, community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businesses, nonprofit organizations, consumer finance, and other eligible financing extended by such CDFIs. OFN may borrow in increments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or more and may not borrow more than $7.5 million within the first 12 months immediately following the closing date of June 29, 2022.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 made by the Company will bear interest at a rate of 0.75% per annum and will be due quarterly from OFN. The outstanding principal,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accrued and unpaid interest, for each disbursement becomes due and payable 10 years following the disbursement date. As of June 30, 2022,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disbursements had been made related to this loan.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Common Stock and Stockholders’ Equity (Deficit)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shares and corresponding capital amounts and all per share data related to Legacy Nextdoor’s authorized and outstanding redeemable convertible preferred stock, common stock, and stock-based awards prior to the Reverse Recapitalization have been retroactively adjusted using the Exchange Ratio.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Repurchase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(deficit). As of June 30, 2022 and December 31, 2021, the Company had $0.4 million and $0.7 million recorded in accrued expenses and other current liabilities related to 266,466 and 421,594 unvested shares of common stock subject to repurchase,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to Repurchase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an executive of the Company purchased 15,408,183 shares of restricted stock, subject to time-based service requirements, which vest over a forty-eight month period. The shares issued upon the purchase of restricted stock are considered to be legally issued and outstanding on the date of purchase and the executive has full voting rights. Upon termination of service, the Company may repurchase unvested shares acquired at a price equal to the price per share paid upon the exercise. Upon vesting of the shares pursuant to the grant agreements, the shares and related liability are reclassified into stockholders’ equity (deficit). As of June 30, 2022, the Company had $1.9 million recorded in deposits related to 1,284,013 unvested shares of common stock subject to repurchase. As of December 31, 2021, the Company had $4.8 million recorded in deposits related to 3,210,037 unvested shares of common stock subject to repurchase. For the three months ended June 30, 2022 and 2021, the Company recorded stock-based compensation expense of $1.1 million and $1.1 million, respectively, related to this restricted stock. For the six months ended June 30, 2022 and 2021, the Company recorded stock-based compensation expense of $2.3 million and $2.3 million, respectively, related to this restricted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RSUs.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As of June 30, 2022, no shares of Class A common stock have been purchased under the 2021 ESPP.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Company currently anticipates that the Share Repurchase Program will extend through June 30, 2024, or such shorter period if $100.0 million in aggregate of shares of the Company’s Class A common stock have been repurchased. The Share Repurchase Program does not obligate the Company to repurchase any dollar amount or number of shares, and the program may be extended, modified, suspended, or discontinued at any time.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the Company repurchased and retired 3,061,092 shares of Class A common stock at an average purchase price of $3.43 per share for an aggregate repurchase price of $10.5 million. As of June 30, 2022, the Company had $89.5 million available for future share repurchases under the Share Repurchase Program. Subsequent to June 30, 2022 and through August 9, 2022, the Company repurchased and retired an additional 4,547,680 shares of Class A common stock at an average purchase price of $3.63 per share for an aggregate repurchase price of $16.5 million, of which $14.5 million was funded by a prepayment made as of June 30,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four years. RSUs granted for Class A common stock generally vest on a quarterly basis over four years.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summary of the Company’s stock option activity for the six months ended June 30, 2022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322,799</w:t>
            </w:r>
          </w:p>
        </w:tc>
        <w:tc>
          <w:tcPr>
            <w:tcW w:w="0" w:type="dxa"/>
            <w:vAlign w:val="bottom"/>
          </w:tcPr>
          <w:p>
            <w:pPr>
              <w:spacing w:after="0"/>
              <w:rPr>
                <w:sz w:val="1"/>
                <w:szCs w:val="1"/>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58,003</w:t>
            </w:r>
          </w:p>
        </w:tc>
        <w:tc>
          <w:tcPr>
            <w:tcW w:w="0" w:type="dxa"/>
            <w:vAlign w:val="bottom"/>
          </w:tcPr>
          <w:p>
            <w:pPr>
              <w:spacing w:after="0"/>
              <w:rPr>
                <w:sz w:val="1"/>
                <w:szCs w:val="1"/>
                <w:color w:val="auto"/>
              </w:rPr>
            </w:pPr>
          </w:p>
        </w:tc>
      </w:tr>
      <w:tr>
        <w:trPr>
          <w:trHeight w:val="22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June 30,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$3.15 per share and $3.65 per share during the six months ended June 30, 2022 and 2021, respectively.</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total number of shares vested during the six months ended June 30, 2022 and 2021 was 7,402,658 and 7,806,320, respectively. The weighted average grant-date fair value of options vested was $2.71 per share and $1.93 per share during the six months ended June 30, 2022 and 2021, respectively. The intrinsic value of the options exercised was $11.8 million and $8.9 million for the six months ended June 30, 2022 and 2021, respectively.</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did not issue any grants to non-employees during the six months ended June 30, 2022. The Company granted 19,640 options to non-employees during the six months ended June 30, 2021.</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summary of the Company’s RSU activity for the six months ended June 30, 2022 and related information is as follows (in thousands, except per share data):</w:t>
      </w:r>
    </w:p>
    <w:tbl>
      <w:tblPr>
        <w:tblLayout w:type="fixed"/>
        <w:tblInd w:w="0" w:type="dxa"/>
        <w:tblCellMar>
          <w:top w:w="0" w:type="dxa"/>
          <w:left w:w="0" w:type="dxa"/>
          <w:bottom w:w="0" w:type="dxa"/>
          <w:right w:w="0" w:type="dxa"/>
        </w:tblCellMar>
      </w:tblPr>
      <w:tr>
        <w:trPr>
          <w:trHeight w:val="147"/>
        </w:trPr>
        <w:tc>
          <w:tcPr>
            <w:tcW w:w="8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7"/>
        </w:trPr>
        <w:tc>
          <w:tcPr>
            <w:tcW w:w="8440" w:type="dxa"/>
            <w:vAlign w:val="bottom"/>
          </w:tcPr>
          <w:p>
            <w:pPr>
              <w:spacing w:after="0"/>
              <w:rPr>
                <w:sz w:val="11"/>
                <w:szCs w:val="11"/>
                <w:color w:val="auto"/>
              </w:rPr>
            </w:pPr>
          </w:p>
        </w:tc>
        <w:tc>
          <w:tcPr>
            <w:tcW w:w="13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employee and non-employee stock option grants made during the following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53.9% - 58.5%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53.8% -54.5%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$3.39 - $6.06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$4.92 - $5.90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condensed consolidated statements of operations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74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was $175.9 million of unrecognized stock-based compensation expense, which is expected to be recognized over a weighted average period of 2.4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 Attributable to Common Stockholders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result of the Reverse Recapitalization, the Company has retroactively adjusted the weighted average number of shares of common stock outstanding prior to the Closing by multiplying them by the Exchange Ratio of 3.1057 used to determine the number of shares of common stock into which they converted. In addition, as described in Note 3, the Reverse Recapitalization gave rise to Class A and Class B common stock. The following table sets forth the computation of basic and diluted net loss per share attributable to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Pr>
          <w:p>
            <w:pPr>
              <w:spacing w:after="0"/>
              <w:rPr>
                <w:sz w:val="16"/>
                <w:szCs w:val="16"/>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3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4"/>
                <w:szCs w:val="14"/>
                <w:color w:val="auto"/>
              </w:rPr>
              <w:t>Common</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4"/>
                <w:szCs w:val="14"/>
                <w:color w:val="auto"/>
              </w:rPr>
              <w:t>Common</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(51,366)</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(46,639)</w:t>
            </w: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5"/>
        </w:trPr>
        <w:tc>
          <w:tcPr>
            <w:tcW w:w="3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Class A</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4"/>
        </w:trPr>
        <w:tc>
          <w:tcPr>
            <w:tcW w:w="33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and Class B common stockholders, basic</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261,856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100,517</w:t>
            </w:r>
          </w:p>
        </w:tc>
      </w:tr>
      <w:tr>
        <w:trPr>
          <w:trHeight w:val="175"/>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Class A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B common stockholders, basic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bl>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90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190,477</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60,639</w:t>
            </w: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subject to repurchase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76,657</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257,000</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expense for the three months ended June 30, 2022 and 2021 of less than $0.1 million and $0.1 million, respectively, both of which were primarily related to foreign taxes. The Company recorded an income tax expense for the six months ended June 30, 2022 and 2021 of less than $0.1 million and $0.1 million, respectively, both of which were primarily related to foreign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Geographical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geography based on the customers’ location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7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76,134</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June 30, 2022, Nextdoor was in more than 295,000 neighborhoods around the world and in nearly 1 in 3 households in the United States.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business metrics for the three months ended June 30, 2022 are as follows:</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Active Users (“</w:t>
      </w:r>
      <w:r>
        <w:rPr>
          <w:rFonts w:ascii="Times New Roman" w:cs="Times New Roman" w:eastAsia="Times New Roman" w:hAnsi="Times New Roman"/>
          <w:sz w:val="18"/>
          <w:szCs w:val="18"/>
          <w:i w:val="1"/>
          <w:iCs w:val="1"/>
          <w:color w:val="auto"/>
        </w:rPr>
        <w:t>WAUs”</w:t>
      </w:r>
      <w:r>
        <w:rPr>
          <w:rFonts w:ascii="Times New Roman" w:cs="Times New Roman" w:eastAsia="Times New Roman" w:hAnsi="Times New Roman"/>
          <w:sz w:val="18"/>
          <w:szCs w:val="18"/>
          <w:color w:val="auto"/>
        </w:rPr>
        <w:t>) were 36.9 million, an increase of 26% compared to the three months ended June 30, 2021.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weekly active user (“</w:t>
      </w:r>
      <w:r>
        <w:rPr>
          <w:rFonts w:ascii="Times New Roman" w:cs="Times New Roman" w:eastAsia="Times New Roman" w:hAnsi="Times New Roman"/>
          <w:sz w:val="18"/>
          <w:szCs w:val="18"/>
          <w:i w:val="1"/>
          <w:iCs w:val="1"/>
          <w:color w:val="auto"/>
        </w:rPr>
        <w:t>ARPU</w:t>
      </w:r>
      <w:r>
        <w:rPr>
          <w:rFonts w:ascii="Times New Roman" w:cs="Times New Roman" w:eastAsia="Times New Roman" w:hAnsi="Times New Roman"/>
          <w:sz w:val="18"/>
          <w:szCs w:val="18"/>
          <w:color w:val="auto"/>
        </w:rPr>
        <w:t>”) was $1.48, a decrease of 6% compared to the three months ended June 30,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 as of and for the three and six months ended June 30, 2022 are as follows:</w:t>
      </w:r>
    </w:p>
    <w:p>
      <w:pPr>
        <w:spacing w:after="0" w:line="173"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three months ended June 30, 2022 was $54.5 million, an increase of 19% compared to the three months ended June 30, 2021. Revenue for the six months ended June 30, 2022 was $105.5 million, an increase of 32% compared to the six months ended June 30, 2021.</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for the three months ended June 30, 2022 were $92.8 million, an increase of 38% compared to the three months ended June 30, 2021. Total costs and expenses for the six months ended June 30, 2022 were $177.0 million, an increase of 40% compared to the six months ended June 30, 2021.</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three months ended June 30, 2022 increased 71% to $(36.8) million, compared to $(21.5) million for the three months ended June 30, 2021. Net loss for the six months ended June 30, 2022 increased 50% to $(69.8) million, compared to $(46.6) million for the six months ended June 30, 2021.</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for the three months ended June 30, 2022 increased 78% to $(20.0) million, compared to $(11.3) million for the three months ended June 30, 2021. Adjusted EBITDA loss for the six months ended June 30, 2022 increased 42% to $(40.0) million, compared to $(28.1) million for the six months ended June 30, 2021.</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$666.3 million as of June 30, 2022.</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Non-GAAP Financial Measure</w:t>
      </w:r>
      <w:r>
        <w:rPr>
          <w:rFonts w:ascii="Times New Roman" w:cs="Times New Roman" w:eastAsia="Times New Roman" w:hAnsi="Times New Roman"/>
          <w:sz w:val="18"/>
          <w:szCs w:val="18"/>
          <w:color w:val="auto"/>
        </w:rPr>
        <w:t>” below for more information and for a reconciliation of net loss, the most directly comparable financial measure calculated and presented in accordance with U.S. generally accepted accounting principles (</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to Adjusted EBITDA.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Transactions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November 5, 2021, we consummated the Business Combination and the PIPE Investment (as described in the unaudited condensed consolidated financial statements included elsewhere in this Quarterly Report) (collectively, the “</w:t>
      </w:r>
      <w:r>
        <w:rPr>
          <w:rFonts w:ascii="Times New Roman" w:cs="Times New Roman" w:eastAsia="Times New Roman" w:hAnsi="Times New Roman"/>
          <w:sz w:val="18"/>
          <w:szCs w:val="18"/>
          <w:i w:val="1"/>
          <w:iCs w:val="1"/>
          <w:color w:val="auto"/>
        </w:rPr>
        <w:t>Reverse Recapitalization</w:t>
      </w:r>
      <w:r>
        <w:rPr>
          <w:rFonts w:ascii="Times New Roman" w:cs="Times New Roman" w:eastAsia="Times New Roman" w:hAnsi="Times New Roman"/>
          <w:sz w:val="18"/>
          <w:szCs w:val="18"/>
          <w:color w:val="auto"/>
        </w:rPr>
        <w:t>”). Reported results from operations included herein prior to the Reverse Recapitalization are those of Legacy Nextdoor. Each share of Legacy Nextdoor common stock that was issued and outstanding immediately prior to the Closing Date, after giving effect to the conversion of all issued and outstanding shares of Legacy Nextdoor preferred stock to Legacy Nextdoor common stock, was canceled and converted into a number of shares of Nextdoor Class B common stock equal to the exchange ratio of 3.1057 as calculated in accordance with the Merger Agreement (“</w:t>
      </w:r>
      <w:r>
        <w:rPr>
          <w:rFonts w:ascii="Times New Roman" w:cs="Times New Roman" w:eastAsia="Times New Roman" w:hAnsi="Times New Roman"/>
          <w:sz w:val="18"/>
          <w:szCs w:val="18"/>
          <w:i w:val="1"/>
          <w:iCs w:val="1"/>
          <w:color w:val="auto"/>
        </w:rPr>
        <w:t>Exchange Ratio</w:t>
      </w:r>
      <w:r>
        <w:rPr>
          <w:rFonts w:ascii="Times New Roman" w:cs="Times New Roman" w:eastAsia="Times New Roman" w:hAnsi="Times New Roman"/>
          <w:sz w:val="18"/>
          <w:szCs w:val="18"/>
          <w:color w:val="auto"/>
        </w:rPr>
        <w:t>”) multiplied by the number of shares of Legacy Nextdoor common stock. The Merger was accounted for as a reverse recapitalization in accordance with GAAP. Under this method of accounting, KVSB was treated as the “acquired” company for financial reporting purposes. Accordingly, the financial statements of Nextdoor represent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Weekly Active Users (WAUs)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define a WAU as a Nextdoor user who opens our application, logs on to our website, or engages with an email with monetizable content at least once during a defined 7-day period.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WAU for the three months ended June 30, 2022 and 2021 were 36.9 million and 29.2 million, respectively, which represents 26% growth period over period. As illustrated below, our international WAUs have generally grown at a faster rate than our U.S. WAUs, and we expect this international growth to continue to outpace U.S. growth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14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3" w:lineRule="exact"/>
        <w:rPr>
          <w:sz w:val="20"/>
          <w:szCs w:val="20"/>
          <w:color w:val="auto"/>
        </w:rPr>
      </w:pPr>
    </w:p>
    <w:p>
      <w:pPr>
        <w:jc w:val="both"/>
        <w:ind w:firstLine="8"/>
        <w:spacing w:after="0" w:line="229" w:lineRule="auto"/>
        <w:tabs>
          <w:tab w:leader="none" w:pos="103"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w:t>
      </w:r>
      <w:r>
        <w:rPr>
          <w:rFonts w:ascii="Times New Roman" w:cs="Times New Roman" w:eastAsia="Times New Roman" w:hAnsi="Times New Roman"/>
          <w:sz w:val="14"/>
          <w:szCs w:val="14"/>
          <w:i w:val="1"/>
          <w:iCs w:val="1"/>
          <w:color w:val="auto"/>
        </w:rPr>
        <w:t>CPM</w:t>
      </w:r>
      <w:r>
        <w:rPr>
          <w:rFonts w:ascii="Times New Roman" w:cs="Times New Roman" w:eastAsia="Times New Roman" w:hAnsi="Times New Roman"/>
          <w:sz w:val="14"/>
          <w:szCs w:val="14"/>
          <w:color w:val="auto"/>
        </w:rPr>
        <w:t>”) basis, a cost per click (“</w:t>
      </w:r>
      <w:r>
        <w:rPr>
          <w:rFonts w:ascii="Times New Roman" w:cs="Times New Roman" w:eastAsia="Times New Roman" w:hAnsi="Times New Roman"/>
          <w:sz w:val="14"/>
          <w:szCs w:val="14"/>
          <w:i w:val="1"/>
          <w:iCs w:val="1"/>
          <w:color w:val="auto"/>
        </w:rPr>
        <w:t>CPC</w:t>
      </w:r>
      <w:r>
        <w:rPr>
          <w:rFonts w:ascii="Times New Roman" w:cs="Times New Roman" w:eastAsia="Times New Roman" w:hAnsi="Times New Roman"/>
          <w:sz w:val="14"/>
          <w:szCs w:val="14"/>
          <w:color w:val="auto"/>
        </w:rPr>
        <w:t>”) basis or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Average Weekly Active Users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122555</wp:posOffset>
            </wp:positionV>
            <wp:extent cx="5314950" cy="5734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Weekly Active User (ARPU)</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ARPU is higher primarily due to our decision to focus our earliest monetization efforts there, the size and maturity of our audience in the United States, as well the size of the U.S. advertising market. For purposes of calculating ARPU, revenue by user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geography is apportioned to each region based on a determination of the location of the account where the revenue-generating activities occur. Our ARPU for the three months ended June 30, 2022 and 2021 was $1.48 and $1.57, respectively. Our ARPU reflects the seasonality of our advertising revenue, with the fourth quarter typically being the strongest quarter of each year.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122555</wp:posOffset>
            </wp:positionV>
            <wp:extent cx="5314950" cy="5734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cost of revenue will increase on an absolute dollar basis as neighbor activity on our platform increases. While we expect to realize scale benefits over time, our cost of revenue as a percentage of revenue may vary from period-to-period and is expected to increase modestly over the near and medium term as we invest in new products and features to further increase platform engagement.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will increase on an absolute dollar basis due to investments that we are making in our platform. We expect that research and development expenses as a percentage of revenue will vary from period-to-period over the short term and decrease over the long term.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sales and marketing expenses will increase on an absolute dollar basis due to continued investment in sales activities, increased investment in marketing to acquire users, small and mid-sized customers, and further investment in international expansion. We expect sales and marketing expenses as a percentage of revenue will vary from period-to-period over the short term and decrease over the long term.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general and administrative expenses will increase on an absolute dollar basis for the foreseeable future to support our growth as well as due to additional costs associated with legal, accounting, compliance, investor relations, and other costs as a result of operating as a public company. We expect general and administrative expenses as a percentage of revenue will vary from period-to-period over the short term and decrease over the long term.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unrealized gains and losses from the re-measurement of monetary assets and liabilities denominated in non-functional currencies, and foreign currency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80,165</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and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126,626</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(36,843)</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24"/>
                <w:szCs w:val="24"/>
                <w:color w:val="auto"/>
              </w:rPr>
            </w:pPr>
          </w:p>
        </w:tc>
        <w:tc>
          <w:tcPr>
            <w:tcW w:w="26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following table sets forth the components of our unaudited condensed consolidated statements of operations as a percentage of revenue for each of the periods presented: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00" w:type="dxa"/>
            <w:vAlign w:val="bottom"/>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5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7"/>
              </w:rPr>
              <w:t>(47)%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54,541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8,763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105,541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25,376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Revenue increased by $8.8 million, or 19%, for the three months ended June 30, 2022 compared to the three months ended June 30, 2021. The increase was primarily due to increased advertiser demand across our product offerings, and increased user engagement as measured by a 26% increase in Q2 WAUs. ARPU decreased 6% in the three months ended June 30, 2022 compared to the three months ended June 30, 2021, as WAU growth outpaced the increase in the number of impressions delivered, which was partially offset by an increase in the price per delivered impression.</w:t>
      </w:r>
    </w:p>
    <w:p>
      <w:pPr>
        <w:spacing w:after="0" w:line="11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Revenue increased by $25.4 million, or 32%, for the six months ended June 30, 2022 compared to the six months ended June 30, 2021. The increase was primarily due to increased advertiser demand across our product offerings, and increased user engagement as measured by a 30% increase in WAUs. Year-to-date ARPU increased 2% in the six months ended June 30, 2022 compared to the six months ended June 30, 2021, primarily due to an increase in the price per delivered impression.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Cost of revenue increased by $3.6 million, or 54%, for the three months ended June 30, 2022 compared to the three months ended June 30, 2021. The increase was primarily due to $2.0 million higher third-party hosting costs due to increased user growth and engagement, a $0.7 million increase in allocated personnel-related costs, and a $0.5 million increase in third-party costs associated with delivering and supporting our advertising products.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Cost of revenue increased by $6.3 million, or 49%, for the six months ended June 30, 2022 compared to the six months ended June 30, 2021. The increase was primarily due to $3.6 million higher third-party hosting costs due to increased user growth and engagement, a $1.2 million increase in allocated personnel-related costs, and a $0.9 million increase in third-party costs associated with delivering and supporting our advertising products.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Research and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9,368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17,508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increased by $9.4 million, or 40%, for the three months ended June 30, 2022 compared to the three months ended June 30, 2021. The increase was primarily due to a $7.9 million increase in personnel-related costs primarily driven by an increase in headcount, a $1.0 million increase in third-party software costs, and a $0.3 million increase in allocated overhead costs reflecting an increase in headcount.</w:t>
      </w:r>
    </w:p>
    <w:p>
      <w:pPr>
        <w:spacing w:after="0" w:line="12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increased by $17.5 million, or 40%, for the six months ended June 30, 2022 compared to the six months ended June 30, 2021. The increase was primarily due to a $14.2 million increase in personnel-related costs primarily driven by an increase in headcount, a $1.7 million increase in third-party software costs, and a $0.8 million increase in allocated overhead costs reflecting an increase in headcount.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Personnel-related and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184"/>
        </w:trPr>
        <w:tc>
          <w:tcPr>
            <w:tcW w:w="1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Brand and performance</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Neighbor services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64"/>
        </w:trPr>
        <w:tc>
          <w:tcPr>
            <w:tcW w:w="18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sales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8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8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63,688</w:t>
            </w:r>
          </w:p>
        </w:tc>
        <w:tc>
          <w:tcPr>
            <w:tcW w:w="8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0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$6.3 million, or 24%, for the three months ended June 30, 2022 compared to the three months ended June 30, 2021. The increase was primarily due to a $6.5 million increase in personnel-related and other costs, which was driven by an increase in headcount, a $0.3 million increase in performance marketing costs to attract small and mid-sized customers, partially offset by a $0.9 million decrease in performance marketing costs for user acquisition.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$14.4 million, or 29%, for the six months ended June 30, 2022 compared to the six months ended June 30, 2021. The increase was primarily due to an $11.2 million increase in personnel-related and other costs, which was driven by an increase in headcount, a $2.7 million increase in performance marketing costs to attract small and mid-sized customers, and a $0.3 million increase in performance marketing costs for user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General and</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6,324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12,145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General and administrative expenses increased by $6.3 million, or 58%, for the three months ended June 30, 2022 compared to the three months ended June 30, 2021. The increase was primarily due to a $3.7 million increase in personnel-related costs which was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driven by an increase in headcount, a $1.7 million increase in insurance expenses, and a $0.3 million increase in professional fees primarily related to operating as a public company.</w:t>
      </w:r>
    </w:p>
    <w:p>
      <w:pPr>
        <w:spacing w:after="0" w:line="9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General and administrative expenses increased by $12.1 million, or 60%, for the six months ended June 30, 2022 compared to the six months ended June 30, 2021. The increase was primarily due to a $5.7 million increase in personnel-related costs which was driven by an increase in headcount, a $3.4 million increase in insurance expenses, and a $2.0 million increase in professional fees primarily related to operating as a public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140" w:type="dxa"/>
            <w:vAlign w:val="bottom"/>
          </w:tcPr>
          <w:p>
            <w:pPr>
              <w:spacing w:after="0"/>
              <w:rPr>
                <w:sz w:val="17"/>
                <w:szCs w:val="17"/>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Interest income increased by $2.1 million for the three months ended June 30, 2022 compared to the three months ended June 30, 2021. The increase was primarily driven by an increase in marketable securities and an improvement in interest rates.</w:t>
      </w:r>
    </w:p>
    <w:p>
      <w:pPr>
        <w:spacing w:after="0" w:line="94"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Interest income increased by $2.6 million for the six months ended June 30, 2022 compared to the six months ended June 30, 2021. The increase was primarily driven by an increase in marketable securities and an improvement in interest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160" w:type="dxa"/>
            <w:vAlign w:val="bottom"/>
          </w:tcPr>
          <w:p>
            <w:pPr>
              <w:spacing w:after="0"/>
              <w:rPr>
                <w:sz w:val="16"/>
                <w:szCs w:val="16"/>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Other expense increased by $0.7 million for the three months ended June 30, 2022 compared to the three months ended June 30, 2021. The increase was primarily due to the periodic re-measurement of monetary assets and liabilities denominated in non-functional currencies.</w:t>
      </w:r>
    </w:p>
    <w:p>
      <w:pPr>
        <w:spacing w:after="0" w:line="94"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Other expense increased by $0.7 million for the six months ended June 30, 2022 compared to the six months ended June 30, 2021. The increase was primarily due to the periodic re-measurement of monetary assets and liabilities denominated in non-functional currencies.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Provision for income</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69</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Provision for income taxes increased by less than $0.1 million for the three months ended June 30, 2022 compared to the three months ended June 30, 2021. The increase was primarily due to foreign income tax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decreased by less than $0.1 million for the six months ended June 30, 2022 compared to the six months ended June 30,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foreign income tax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we have generated negative cash flows from operations and have primarily financed our operations from net proceeds received from the sale of equity securities, proceeds from the Reverse Recapitalization, and payments received from our customers. We currently have no debt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generated losses from our operations, as reflected in our accumulated deficit of $550.1 million as of June 30, 2022.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expansion of our business.</w:t>
      </w:r>
    </w:p>
    <w:p>
      <w:pPr>
        <w:spacing w:after="0" w:line="1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June 30, 2022, we had $666.3 million in cash, cash equivalents, and marketable securities. We anticipate satisfying our short 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 future equity or debt financing.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and the continuing market adoption of our platform, the number of shares repurchased under our share repurchase program (the “Share Repurchase Program”), and our ability to obtain equity or debt financing.</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June 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We currently anticipate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During the three months ended June 30, 2022, we repurchased and retired 3,061,092 shares of Class A common stock at an average purchase price of $3.43 per share for an aggregate repurchase price of $10.5 million. Subsequent to June 30, 2022 and through August 9, 2022, we repurchased and retired an additional 4,547,680 shares of Class A common stock at an average purchase price of $3.63 per share for an aggregate repurchase price of $16.5 million, of which $14.5 million was funded by a prepayment made as of June 30, 2022.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during the six months ended June 30, 2022 was $28.1 million which resulted from a net loss of $(69.8) million, adjusted for non-cash charges of $31.0 million and net cash inflows of $10.7 million from changes in operating assets and liabilities. Non-cash charges primarily consisted of $29.7 million of stock-based compensation expense and $2.7 million of depreciation and amortization expense. The net cash inflows from changes in operating assets and liabilities were primarily due to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$4.3 million increase in accrued expenses and other current liabilities, a $3.7 million decrease in accounts receivable, a $3.5 million decrease in prepaid expenses and other current assets, and a $3.4 million decrease in operating lease right-of-use assets due to normal amortization. These amounts were partially offset by a $3.5 million decrease in operating lease liabilities due to lease payments and a $0.8 million decrease in accounts payable.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six months ended June 30, 2021 was $25.6 million which resulted from a net loss of $(46.6) million, adjusted for non-cash charges of $18.7 million and net cash inflows of $2.4 million from changes in operating assets and liabilities. Non-cash charges primarily consisted of $16.4 million of stock-based compensation expense and $2.2 million of depreciation and amortization expense. The net cash inflow from changes in operating assets and liabilities was primarily the result of a $3.3 million decrease in operating lease right-of-use assets due to normal amortization, a $1.6 million increase in accrued expenses and other current liabilities, and a $0.9 million increase in accounts payable. These amounts were partially offset by a $2.5 million decrease in operating lease liabilities due to lease payments and a $1.4 million decrease in prepaid expenses and other current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was $435.6 million, which consisted of purchases of marketable securities of $482.7 million and the purchase of property and equipment of $1.3 million. This was partially offset by proceeds from maturities of marketable securities of $46.6 million and proceeds from sales of marketable securities of $1.7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2021 was $12.9 million, which consisted of proceeds from maturities of marketable securities of $33.8 million. This was partially offset by the purchases of marketable securities of $14.6 million and the purchase of property and equipment of $6.3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2022 was $18.4 million, which included prepayment under the Share Repurchase Program of $14.5 million, repurchases of common stock of $10.5 million, tax withholdings on release of restricted stock units of $0.7 million, and payment of deferred transaction costs of $0.3 million, partially offset by $7.6 million of proceeds from the exercise of stock options, net of repurchases.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2021 was $7.5 million, which reflected $7.9 million of proceeds from the exercise of stock options, net of repurchases. This was partially offset by the payment of deferred transaction costs of $0.4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that represents our net loss adjusted for depreciation and amortization, stock-based compensation, net interest income, provision for income taxes, and acquisition-related costs.</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the most comparable GAAP measure, to Adjusted EBITDA: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an “emerging growth company” as defined in Section 2(a) of the Securities Act, and have elected to take advantage of the benefits of the extended transition period for complying with new or revised accounting standards. We expect to use this extended transition period for complying with new or revised accounting standards until the earlier of the date we (a) are no longer an emerging growth company or (b) affirmatively and irrevocably opt out of the extended transition period provided for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as an emerging growth company,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Dodd-Frank Wall Street Reform and Consumer Protection Act; and (c) disclose certain executive compensation-related items such as the comparison of the Chief Executive Officer’s compensation to median employee compensation.</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the market value of our common stock held by non-affiliates as of June 30, 2022, exceeded $700 million, we will lose emerging growth company status under the JOBS Act as of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had cash and cash equivalents of $40.2 million and marketable securities of $626.1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Exchange Act Rules 13a-15(e) and 15d-15(e)) as of the end of the period covered by this Quarterly Report, and have concluded that, based on such evaluation, our disclosure controls and procedures were effective as of June 30, 2022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continue to grow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maintain our current rate of growth, which is a risk characteristic often shared by companies with limited operating histories participating in rapidly evolving industries.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There can be no assurance that we will successfully increase monetization on our platform or that we will sustain or increase the current growth rate of our revenue.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3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and advertiser engagement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growth in, or lack of growth or decreases in, the number of neighbors on the platform;</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offering more attractive pricing for advertisements that we are unable or unwilling to match;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quantity or quality of advertisements shown to neighbors;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demographics of our neighbors that make us less attractive to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neighbors who exercise opt-out rights under privacy laws to restrict the advertisements they receive;</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that upload content or take other actions that are deemed to be hostile, inappropriate, illicit, objectionable, illegal, or otherwise not consistent with the brand of our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legislative, regulatory, or other legal developments;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changes to the platform that may affect, among other things, the safety and security of other neighbors or the cultivation of a positive and inclusive online community;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involving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or enforcing policies, such as advertising policies, community guidelines, and other terms or service that are perceived negatively by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improve our products for advertisers;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or reductions to, the availability, accuracy, utility, and security of analytics and measurement solutions offered by us or third parties that are intended to demonstrate the value of our advertisements to advertisers;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data privacy practices that affect the type or manner of advertising that we are able to provide, including as a result of changes to laws, regulations or regulatory actions, such as the GDPR, European Directive 2002/58/EC (the “</w:t>
      </w:r>
      <w:r>
        <w:rPr>
          <w:rFonts w:ascii="Times New Roman" w:cs="Times New Roman" w:eastAsia="Times New Roman" w:hAnsi="Times New Roman"/>
          <w:sz w:val="18"/>
          <w:szCs w:val="18"/>
          <w:i w:val="1"/>
          <w:iCs w:val="1"/>
          <w:color w:val="auto"/>
        </w:rPr>
        <w:t>ePrivacy Directive</w:t>
      </w:r>
      <w:r>
        <w:rPr>
          <w:rFonts w:ascii="Times New Roman" w:cs="Times New Roman" w:eastAsia="Times New Roman" w:hAnsi="Times New Roman"/>
          <w:sz w:val="18"/>
          <w:szCs w:val="18"/>
          <w:color w:val="auto"/>
        </w:rPr>
        <w:t>”), UK General Data Protection Regulation (“</w:t>
      </w:r>
      <w:r>
        <w:rPr>
          <w:rFonts w:ascii="Times New Roman" w:cs="Times New Roman" w:eastAsia="Times New Roman" w:hAnsi="Times New Roman"/>
          <w:sz w:val="18"/>
          <w:szCs w:val="18"/>
          <w:i w:val="1"/>
          <w:iCs w:val="1"/>
          <w:color w:val="auto"/>
        </w:rPr>
        <w:t>UK GDPR</w:t>
      </w:r>
      <w:r>
        <w:rPr>
          <w:rFonts w:ascii="Times New Roman" w:cs="Times New Roman" w:eastAsia="Times New Roman" w:hAnsi="Times New Roman"/>
          <w:sz w:val="18"/>
          <w:szCs w:val="18"/>
          <w:color w:val="auto"/>
        </w:rPr>
        <w:t>”), UK Data Protection Act 2018, the CCPA, Nevada’s Online Privacy Law (“</w:t>
      </w:r>
      <w:r>
        <w:rPr>
          <w:rFonts w:ascii="Times New Roman" w:cs="Times New Roman" w:eastAsia="Times New Roman" w:hAnsi="Times New Roman"/>
          <w:sz w:val="18"/>
          <w:szCs w:val="18"/>
          <w:i w:val="1"/>
          <w:iCs w:val="1"/>
          <w:color w:val="auto"/>
        </w:rPr>
        <w:t>Nevada Privacy Law</w:t>
      </w:r>
      <w:r>
        <w:rPr>
          <w:rFonts w:ascii="Times New Roman" w:cs="Times New Roman" w:eastAsia="Times New Roman" w:hAnsi="Times New Roman"/>
          <w:sz w:val="18"/>
          <w:szCs w:val="18"/>
          <w:color w:val="auto"/>
        </w:rPr>
        <w:t>”), the CDPA, the VCPDA, the CPRA, and other newly enacted U.S. state privacy laws, or changes to third-party policies; and</w:t>
      </w:r>
    </w:p>
    <w:p>
      <w:pPr>
        <w:spacing w:after="0" w:line="125" w:lineRule="exact"/>
        <w:rPr>
          <w:rFonts w:ascii="Times New Roman" w:cs="Times New Roman" w:eastAsia="Times New Roman" w:hAnsi="Times New Roman"/>
          <w:sz w:val="18"/>
          <w:szCs w:val="18"/>
          <w:color w:val="auto"/>
        </w:rPr>
      </w:pPr>
    </w:p>
    <w:p>
      <w:pPr>
        <w:ind w:left="660" w:right="24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conditions, whether in the advertising industry in general, among specific types of advertisers or within particular geographies, including but not limited to labor shortages, supply chain disruptions, a potential recession, inflation and rising interest rates.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certain of these factors have adversely affected our revenue to varying degrees. For example, during the second quarter of 2020, advertisers reduced their advertising spend with us as a result of the impact of the ongoing COVID-19 pandemic on global macroeconomic conditions and on the advertising industry in general.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w:t>
      </w:r>
      <w:r>
        <w:rPr>
          <w:rFonts w:ascii="Times New Roman" w:cs="Times New Roman" w:eastAsia="Times New Roman" w:hAnsi="Times New Roman"/>
          <w:sz w:val="18"/>
          <w:szCs w:val="18"/>
          <w:i w:val="1"/>
          <w:iCs w:val="1"/>
          <w:color w:val="auto"/>
        </w:rPr>
        <w:t>ITP</w:t>
      </w:r>
      <w:r>
        <w:rPr>
          <w:rFonts w:ascii="Times New Roman" w:cs="Times New Roman" w:eastAsia="Times New Roman" w:hAnsi="Times New Roman"/>
          <w:sz w:val="18"/>
          <w:szCs w:val="18"/>
          <w:color w:val="auto"/>
        </w:rPr>
        <w:t>”)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stop supporting third-party cookies in its Google Chrome browser, likely by the end of 2023, and, more recently, that it intends to limit access by mobile applications to advertising identifiers on Android devices. These web and mobile browser developers have also implemented and may continue to implement changes and restrictions in browser or device functionality that limit our ability to communicate with or understand the identity of our neighbors.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 Moreover, we are unable to predict the continued impact of the ongoing COVID-19 pandemic on neighbor growth and engagement with any certainty, and we expect these trends to continue to be subject to volatility.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could negatively impact our ability to grow, retain and engage current and prospective neighbors, including but not limited to:</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increasing their engagement with competitor’s platforms, products or services instead of, or more frequently than,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time neighbors spend across all applications and platforms, including our platform;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introduce platform enhancements that neighbors find engaging or if we introduce new features, terms, policies or procedures, or make changes to our platform, that are not favorably received by current or prospective neighbors;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frustrating the neighbor experience, such as problems that prevent us from delivering our service in a fast and reliable manner;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having difficulty installing, updating or otherwise accessing the Nextdoor platform on mobile devices through the app or web browsers;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on the Nextdoor platform changing, including a decrease in the quality and frequency of content shares on the platform;</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government and regulatory authorities, or litigation that adversely impact our platform or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preventing their content from being displayed on the Nextdoor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how we promote different features on our platform;</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neighbors and engagement are unsuccessful or discontinued, whether as a result of actions by us, third parties,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 partners and companies in the industry are the subject of adverse media reports or other negative publicity;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harassment, cyberbullying or other hostile, inappropriate, abusive or offensive content or usage on our platform;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Competition presents an ongoing threat to the success of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in almost every aspect of our business with companies that provide a variety of internet products, services, content, and online advertising, including from Meta (including Facebook and Instagram), Alphabet (including Google), Pinterest, Snap, and Twitter. In addition, aspects of our platform compete with other products and services, including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effective June 30, 2022, the Apple App Store guidelines require apps that support account creation to also allow users to delete their account within the app. This change has and may continue to impact our ability to retain users. Moreover, Google recently announced that it intends to limit access by mobile applications to advertising identifiers on Android devices, likely by the end of 2023.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platform compared to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our neighbor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neighbors with our platform and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third-party data available to us relative to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who use our free or paid advertisements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developments and enhancements to our platform or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safety and security efforts and our ability to protect neighbor data and to provide neighbors with control over their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our platform to new and existing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monetize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platform changes, such as the migration to our proprietary ad server;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size, format, quality, and relative prominence of the advertisements displayed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efforts, including our ability to measure the effectiveness of our advertisements and to provide advertisers with a compelling return on their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publisher interest in integrating their content with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regulatory authorities, or litigation, some of which may have a disproportionate effect on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 particularly software engineers, designers, and managers;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manage and grow our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those of our competitors.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AWS.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experienced rapid growth in recent periods and expect to continue to invest broadly across our organization to support our growth. Our revenue has grown from $45.8 million for the three months ended June 30, 2021 to $54.5 million for the three months ended June 30, 2022. Weekly Active Users (“</w:t>
      </w:r>
      <w:r>
        <w:rPr>
          <w:rFonts w:ascii="Times New Roman" w:cs="Times New Roman" w:eastAsia="Times New Roman" w:hAnsi="Times New Roman"/>
          <w:sz w:val="18"/>
          <w:szCs w:val="18"/>
          <w:i w:val="1"/>
          <w:iCs w:val="1"/>
          <w:color w:val="auto"/>
        </w:rPr>
        <w:t>WAUs</w:t>
      </w:r>
      <w:r>
        <w:rPr>
          <w:rFonts w:ascii="Times New Roman" w:cs="Times New Roman" w:eastAsia="Times New Roman" w:hAnsi="Times New Roman"/>
          <w:sz w:val="18"/>
          <w:szCs w:val="18"/>
          <w:color w:val="auto"/>
        </w:rPr>
        <w:t>”) on our platform have grown from 29.2 million for the three months ended June 30, 2021 to 36.9 million for the three months ended June 30, 2022. Moreover, the number of our full-time employees has grown from 565 as of June 30, 2021 to 716 as of June 30, 2022.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as we continue to grow, our business becomes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 Failure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labor shortages, supply chain disruptions, a potential recession, rising interest rates and inflation, the war in Ukraine and the ongoing COVID-19 pandemic.</w:t>
      </w:r>
    </w:p>
    <w:p>
      <w:pPr>
        <w:spacing w:after="0" w:line="1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media coverage negatively affects our business from time to time.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Health epidemics, including the ongoing COVID-19 pandemic, have had or could have an adverse impact on our business, operations, and the markets and communities in which we, our partners and our customers operate. In addition, during the ongoing COVID-19 pandemic, we experienced an increase in neighbor growth and engagement and there is no guarantee that we will be able to maintain our neighbor growth and engagement as the ongoing COVID-19 pandemic subsides.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global COVID-19 pandemic outbreak and the various attempts to contain it have created significant volatility, uncertainty and economic disruption. It has adversely affected the broader economies, financial markets, and overall demand for advertising.</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COVID-19 pandemic, we temporarily closed all our offices (including our corporate headquarters) globally and implemented certain travel restrictions, both of which temporarily disrupted how we operate our business, including limiting certain of our sales and marketing plans and requiring us to manage a significant majority of our workforce remotely. We recently began reopening our offices in a phased manner. Our efforts to reopen our offices safely may not be successful, could expose our employees to health risks, and us to associated liability, and could involve additional financial burdens.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as a result of the ongoing COVID-19 pandemic, the ability and willingness of advertisers to spend on the Nextdoor platform has fluctuated. For example, during the second quarter of 2020, advertisers reduced their advertising spend with us as a result of the impact of the ongoing COVID-19 pandemic on global macroeconomic conditions and on the advertising industry in general. Certain advertisers have been impacted by the ongoing COVID-19 pandemic and have experienced supply chain issues, rising commodity prices and inventory and labor shortages. This affects the ability and willingness of such impacted advertisers to spend on our platform. We cannot predict how evolving events related to the ongoing COVID-19 pandemic will continue to affect neighbor and advertiser behavior in the future. The pandemic has, and could in the future, adversely affect our business, revenue growth rate, financial performance and stock price.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initially during the ongoing COVID-19 pandemic and the related shelter-in-place order, we saw an increase in neighbor growth and engagement on our platform. As the ongoing COVID-19 pandemic evolves, that may present challenges such as neighbor growth and engagement declining or neighbor behavior changing unexpectedly and in ways that are difficult for us to anticipate or measure, resulting in a decrease in engagement with or reduced or different usage of our platform. Our neighbor and revenue growth rates may continue to be volatile as the ongoing COVID-19 pandemic evolves, although we are unable to predict the duration 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degree of such volatility with any certainty. Further, given the uncertainties relating to the ongoing COVID-19 pandemic and its new variants, we may not be able to accurately measure and forecast our key metrics, including WAUs. As a result, our engagement metrics, as well as financial and operating measures may not be indicative of results for future periods.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unable to accurately predict the full impact that the ongoing COVID-19 pandemic will have on our business, operating results, and financial condition due to numerous uncertainties, including variants of the COVID-19 virus, any resurgences, the extent and effectiveness of containment actions and other public health measures, the distribution and public acceptance of vaccines and treatments, and the impact of these and other factors on our employees, neighbors, advertisers. The ongoing COVID-19 pandemic, as well as any subsequent recovery period,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continue expanding our business operations abroad by opening new and expanding within existing neighborhoods outside of the United States. As of June 30, 2022, the Nextdoor platform was accessible in 11 countries (including the United States) and had over 295,000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3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as a result of acts of war or terrorism, including the war in Ukraine;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neighbor information to local authorities;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difficulty in reviewing content on the Nextdoor platform and enforcing community standards across different languages and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U.S. and international tax jurisdictions and management of tax impact of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levels of credit risk and payment fraud;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foreign acquisitions;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variety of foreign laws, including laws related to taxation, content removal, data localization, data transfer, consents, payments, and regulatory oversight;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t>
      </w:r>
      <w:r>
        <w:rPr>
          <w:rFonts w:ascii="Times New Roman" w:cs="Times New Roman" w:eastAsia="Times New Roman" w:hAnsi="Times New Roman"/>
          <w:sz w:val="18"/>
          <w:szCs w:val="18"/>
          <w:i w:val="1"/>
          <w:iCs w:val="1"/>
          <w:color w:val="auto"/>
        </w:rPr>
        <w:t>Bribery Act</w:t>
      </w:r>
      <w:r>
        <w:rPr>
          <w:rFonts w:ascii="Times New Roman" w:cs="Times New Roman" w:eastAsia="Times New Roman" w:hAnsi="Times New Roman"/>
          <w:sz w:val="18"/>
          <w:szCs w:val="18"/>
          <w:color w:val="auto"/>
        </w:rPr>
        <w:t>”).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need additional capital in the future, it may not be available on favorable terms, if at all.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to make acquisitions, which could harm our financial condition or operating results and may adversely affect the price of our Class A common stock.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the ongoing COVID-19 pandemic, and workforce participation rates.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core values may conflict with the short-term interests of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Security and Technology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software and service providers, including the Google Ad Manager (“GAM”) platform, for management and delivery of advertisements on the Nextdoor platform. Any failure or interruption experienced by such third-parties, including as a result of the ongoing COVID-19 pandemic, could result in the inability of certain businesses to advertise on our platform, and adversely impact our business, operating results, and financial condition.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and service providers, including AWS, to provide systems, storage and services for our platform. Any failure or interruption experienced by such third parties, including as a result of the ongoing COVID-19 pandemic, could result in the inability of neighbors and advertisers to access or utilize our platform, and adversely impact our business, operating results,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email providers, mobile data networks, geolocation providers, and the United States Postal Service (“USPS”) to verify our neighbors’ addresses. Any failure or interruption experienced by such third parties, including the USPS, could result in the inability of neighbors to join our platform, resulting in harm to our reputation and an adverse impact to our business, operating results,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parties to verify our neighbors’ addresses through several methods, including but not limited to email, SMS text message, phone calls, geolocation and mailed invitations. For example, we utilize email providers, mobile data networks, geolocation providers and the USPS to verify neighbors’ addresses. Address verification is a critical feature of our platform because it demonstrates that neighbors actually live in the neighborhood they desire to join. Any failure, interruption, or loss of access to such third parties or their software or the USPS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including the USPS. Any disruption in the third parties, including the USPS, could harm our neighbor growth, which in turn could make us a less attractive advertising platform and harm our reputation, and could harm our business, operating results, and financial condition.</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trend towards working from home and using private residential networks to access the Internet, which has arisen in response to the ongoing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take a variety of technical and organizational security measures and other measures to protect our data. Although we have implemented systems and processes that are designed to protect our data and our neighbors’ data, prevent data loss, disable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of advertisements could materially adversely affect the usage of our platform on mobile devices. For example, the release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of iOS 14.5 brought with it a number of new changes, including the need for neighbors using the app to opt in before their identifier for advertisers (“</w:t>
      </w:r>
      <w:r>
        <w:rPr>
          <w:rFonts w:ascii="Times New Roman" w:cs="Times New Roman" w:eastAsia="Times New Roman" w:hAnsi="Times New Roman"/>
          <w:sz w:val="18"/>
          <w:szCs w:val="18"/>
          <w:i w:val="1"/>
          <w:iCs w:val="1"/>
          <w:color w:val="auto"/>
        </w:rPr>
        <w:t>IDFA</w:t>
      </w:r>
      <w:r>
        <w:rPr>
          <w:rFonts w:ascii="Times New Roman" w:cs="Times New Roman" w:eastAsia="Times New Roman" w:hAnsi="Times New Roman"/>
          <w:sz w:val="18"/>
          <w:szCs w:val="18"/>
          <w:color w:val="auto"/>
        </w:rPr>
        <w:t>”)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six months ended June 30, 2022,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Apple recently introduced changes for the Apple mail client available on its operating systems, including iOS 15, iPadOS 15, and macOS 12, which have impacted, and are expected to continue to impact our ability to track individual users and devices, and measure the effectiveness of our advertisements. Moreover, Google recently announced that it intends to limit access by mobile applications to advertising identifiers on Android devices, likely by the end of 2023. As a result, advertisers may find our products less appealing and may seek alternative platforms on which to run their advertising campaigns.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may result in reputational harm and liability.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accurately capture and disclose, among other things, our environmental impact, our reputation, business, operating results and financial condition may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results difficult to predict.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3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retain, and grow our neighbors and neighbor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recognize revenue or collect payments from advertisers in a particular period;</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spending by our advertisers due to seasonality, episodic regional or global events, including the ongoing COVID-19 pandemic, or other factors;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internet usage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prominence, size, format, quality and relevancy of advertisements shown to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technologies designed to block the display of advertisements;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advertisements;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of and mix of new and existing sales and marketing and promotional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platform and app on mobile devices and other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platform or the development and introduction of new products or services by our competitors;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platform changes that may reduce traffic to features of the platform that we monetize;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disruptions, breaches of security or privacy, whether on our platform or on those of third parties, and the costs associated with any such breaches and remediation;</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ongoing COVID-19 pandemic, influenza, and other highly communicable diseases or viruses;</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incurring additional expenses, such as increases in sales and marketing or research and development, including as a result of the ongoing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privacy and cybersecurity, or actions by governments or regulators, including fines, orders, or consent decrees;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and</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global business and macroeconomic conditions, including as a result of the ongoing COVID-19 pandemic, the war in Ukraine and the continued rise of inflation and interest rates.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believe that our rapid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which could cause actual results to differ materially from our estimates. Unfavorable changes in any of these or other assumptions,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regularly review key business and other metrics, including WAUs, Verified Users and Average Revenue per Weekly Active User (“</w:t>
      </w:r>
      <w:r>
        <w:rPr>
          <w:rFonts w:ascii="Times New Roman" w:cs="Times New Roman" w:eastAsia="Times New Roman" w:hAnsi="Times New Roman"/>
          <w:sz w:val="18"/>
          <w:szCs w:val="18"/>
          <w:i w:val="1"/>
          <w:iCs w:val="1"/>
          <w:color w:val="auto"/>
        </w:rPr>
        <w:t>ARPU</w:t>
      </w:r>
      <w:r>
        <w:rPr>
          <w:rFonts w:ascii="Times New Roman" w:cs="Times New Roman" w:eastAsia="Times New Roman" w:hAnsi="Times New Roman"/>
          <w:sz w:val="18"/>
          <w:szCs w:val="18"/>
          <w:color w:val="auto"/>
        </w:rPr>
        <w:t>”)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September 2021, Apple introduced changes for the Apple mail client available on its operating systems, including iOS 15, iPadOS 15, and macOS 12,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significant net losses each year since we began operations in 2007, including net losses of $(69.8) million and $(46.6) million for the six months ended June 30, 2022 and 2021, respectively. We have an accumulated deficit of $550.1 million as of June 30, 2022. We anticipate that our operating expenses and capital expenditures will increase substantially in the foreseeable future as we continue to invest in acquiring additional neighbors, increasing engagement on our platform, increasing monetization on our platform, expanding our platform and operations internationally, hiring additional team members, developing and enhancing our platform, marketing and sales, and enhancing our infrastructure. Our expansion efforts may prove more expensive than we anticipate, and we may not succeed in increasing our revenues sufficiently to offset these higher expenses.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2021, we had gross U.S. federal net operating loss (“</w:t>
      </w:r>
      <w:r>
        <w:rPr>
          <w:rFonts w:ascii="Times New Roman" w:cs="Times New Roman" w:eastAsia="Times New Roman" w:hAnsi="Times New Roman"/>
          <w:sz w:val="18"/>
          <w:szCs w:val="18"/>
          <w:i w:val="1"/>
          <w:iCs w:val="1"/>
          <w:color w:val="auto"/>
        </w:rPr>
        <w:t>NOL</w:t>
      </w:r>
      <w:r>
        <w:rPr>
          <w:rFonts w:ascii="Times New Roman" w:cs="Times New Roman" w:eastAsia="Times New Roman" w:hAnsi="Times New Roman"/>
          <w:sz w:val="18"/>
          <w:szCs w:val="18"/>
          <w:color w:val="auto"/>
        </w:rPr>
        <w:t>”) carryforwards of approximately $390.0 million and gross state NOL carryforwards of approximately $226.0 million, which if not utilized, will begin to expire for federal and state income tax purposes beginning in 2028. To the extent that we continue to generate taxable losses, unused losses will carry forward to offset future taxable income, if any. Under the 2017 Tax Cuts and Jobs Act (the “</w:t>
      </w:r>
      <w:r>
        <w:rPr>
          <w:rFonts w:ascii="Times New Roman" w:cs="Times New Roman" w:eastAsia="Times New Roman" w:hAnsi="Times New Roman"/>
          <w:sz w:val="18"/>
          <w:szCs w:val="18"/>
          <w:i w:val="1"/>
          <w:iCs w:val="1"/>
          <w:color w:val="auto"/>
        </w:rPr>
        <w:t>Tax Act</w:t>
      </w:r>
      <w:r>
        <w:rPr>
          <w:rFonts w:ascii="Times New Roman" w:cs="Times New Roman" w:eastAsia="Times New Roman" w:hAnsi="Times New Roman"/>
          <w:sz w:val="18"/>
          <w:szCs w:val="18"/>
          <w:color w:val="auto"/>
        </w:rPr>
        <w: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We recently completed a Section 382 study that supports that our use of NOLs will not be subject to limitation.</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operating results, which are reported in U.S. dollars, could be adversely affected.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war in Ukraine and the ongoing COVID-19 pandemic.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as a result of content or information that is published or made available on our platform.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rights of publicity, advertising, marketing, health and safety, competition, protection of minors,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Our systems, tools and personnel that help us to proactively detect potentially policy-violating or otherwise inappropriate content cannot identify all such content on our service, and in many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European Union is also reviewing the regulation of digital services, and is expected to enact the Digital Services Act, or the DSA, a package of legislation intended to update the liability and safety rules for digital platforms, products, and services, which could negatively impact the scope of the limited immunity provided by the E-Commerce Directive, limit targeted advertising, and require us to expend resources to try to comply with the new regulations or incur liability. The United Kingdom, similarly, has proposed a draft Online Safety Bill, which, if passed, would create requirements around monitoring and handling harmful content and require us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 resources to try to comply with the new regulations or incur liability. Similarly, Australia’s Online Safety Act 2021 recently went into effect and may impose new obligations and liabilities on platforms with respect to certain types of harmful content. While regulations to implement the law are still being promulgated and are uncertain, the regulations could require us to expend resources to try to comply with the new regulations or incur liability, and our business, operating results, and financial condition could be harmed.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becomes effective January 1, 2023 (with a look back to January 1, 2022). The CPRA will significantly modify the CCPA, including by expanding consumers’ rights and establishing a new state agency that will be vested with authority to implement and enforce the CPRA. Other states have also passed comparable legislation, with unique compliance requirements relevant to our business. For example, Virginia, Colorado, Connecticut, and Utah have passed data privacy laws which may impose obligations similar to or more stringent than those we may face under other data protection laws.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(“Privacy Act”) and Australian Privacy Principles (“APPs”), which require us to, among other things: (a) establish a governance framework for managing privacy and data protection; (b) give individuals the option of not identifying themselves or using a pseudonym (unless certain exceptions apply);</w:t>
      </w:r>
    </w:p>
    <w:p>
      <w:pPr>
        <w:spacing w:after="0" w:line="3" w:lineRule="exact"/>
        <w:rPr>
          <w:sz w:val="20"/>
          <w:szCs w:val="20"/>
          <w:color w:val="auto"/>
        </w:rPr>
      </w:pPr>
    </w:p>
    <w:p>
      <w:pPr>
        <w:jc w:val="both"/>
        <w:ind w:firstLine="8"/>
        <w:spacing w:after="0" w:line="251" w:lineRule="auto"/>
        <w:tabs>
          <w:tab w:leader="none" w:pos="2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European Union rules with respect to cross-border transfers of personal data out of the EEA and the United Kingdom. Recent legal developments in Europe have created complexity and uncertainty regarding transfers of personal data from the EEA and the United Kingdom to the United States. On July 16, 2020, the Court of Justice of the European Union (the “</w:t>
      </w:r>
      <w:r>
        <w:rPr>
          <w:rFonts w:ascii="Times New Roman" w:cs="Times New Roman" w:eastAsia="Times New Roman" w:hAnsi="Times New Roman"/>
          <w:sz w:val="18"/>
          <w:szCs w:val="18"/>
          <w:i w:val="1"/>
          <w:iCs w:val="1"/>
          <w:color w:val="auto"/>
        </w:rPr>
        <w:t>CJEU</w:t>
      </w:r>
      <w:r>
        <w:rPr>
          <w:rFonts w:ascii="Times New Roman" w:cs="Times New Roman" w:eastAsia="Times New Roman" w:hAnsi="Times New Roman"/>
          <w:sz w:val="18"/>
          <w:szCs w:val="18"/>
          <w:color w:val="auto"/>
        </w:rPr>
        <w:t>”) invalidated the EU-U.S. Privacy Shield Framework (the “</w:t>
      </w:r>
      <w:r>
        <w:rPr>
          <w:rFonts w:ascii="Times New Roman" w:cs="Times New Roman" w:eastAsia="Times New Roman" w:hAnsi="Times New Roman"/>
          <w:sz w:val="18"/>
          <w:szCs w:val="18"/>
          <w:i w:val="1"/>
          <w:i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Shield</w:t>
      </w:r>
      <w:r>
        <w:rPr>
          <w:rFonts w:ascii="Times New Roman" w:cs="Times New Roman" w:eastAsia="Times New Roman" w:hAnsi="Times New Roman"/>
          <w:sz w:val="18"/>
          <w:szCs w:val="18"/>
          <w:color w:val="auto"/>
        </w:rPr>
        <w:t>”) under which personal data could be transferred from the EEA to U.S. entities who had self-certified under the Privacy Shield scheme. While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To safeguard data transfers from the EEA to other jurisdictions, including the USA, we currently utilize standard contractual contracts approved by the EU Commission.</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CJEU decision may result in different EEA data protection regulators applying differing standards for the transfer of personal data from the EEA to the United States, and even require ad hoc verification of measures taken with respect to data flows. Therefore, as a result of this CJEU decision, we may be required to review, amend and take additional steps to legitimize impacted personal data transfers. As supervisory authorities issue further guidance on personal data export mechanisms, including circumstances where the standard contractual clauses cannot be used, and/or start taking enforcement action, we could suffer increased costs to ensure compliance as well as additional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The EU Commission has also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While there is some public indication that the EU Commission and the United States will reach a new agreement on a framework for data privacy for trans-Atlantic data transfers prior to December 27, 2022, this remains uncertain. Thus, where we continue to rely on standard contractual clauses, we will need to implement the revised standard contractual clauses, in relation to relevant existing contracts and vendor/customer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relationship between the United Kingdom and the European Union in relation to certain aspects of data protection law remains unclear, and it is unclear how U.K. data protection laws and regulations, including those regarding data transfers to and from the United Kingdom, will develop in the medium to longer term. For example, while the EU Commission has adopted an adequacy decision in favor of the United Kingdom, enabling data transfers from EU member states to the United Kingdom without additional safeguards, the decision will automatically expire in June 2025 unless the EU Commission re-assesses and renews/extends it. These developments and this uncertainty will lead to additional costs and increase our overall risk exposure.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and e-marketing. In the E.U. and the U.K., regulators are increasingly focusing on compliance with current national laws that implement the European Directive 2002/58/EC (the “</w:t>
      </w:r>
      <w:r>
        <w:rPr>
          <w:rFonts w:ascii="Times New Roman" w:cs="Times New Roman" w:eastAsia="Times New Roman" w:hAnsi="Times New Roman"/>
          <w:sz w:val="18"/>
          <w:szCs w:val="18"/>
          <w:i w:val="1"/>
          <w:iCs w:val="1"/>
          <w:color w:val="auto"/>
        </w:rPr>
        <w:t>ePrivacy Directive</w:t>
      </w:r>
      <w:r>
        <w:rPr>
          <w:rFonts w:ascii="Times New Roman" w:cs="Times New Roman" w:eastAsia="Times New Roman" w:hAnsi="Times New Roman"/>
          <w:sz w:val="18"/>
          <w:szCs w:val="18"/>
          <w:color w:val="auto"/>
        </w:rPr>
        <w:t>”).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possible that certain governments may seek to block or limit our products or otherwise impose other restrictions that may affect the accessibility or usability of any or all our products for an extended period of time or indefinitely.</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Exposure to United Kingdom political developments, including the effect of its withdrawal from the European Union, could be costly and difficult to comply with and could adversely impact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recently entered into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 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 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as a public company will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w:t>
      </w:r>
      <w:r>
        <w:rPr>
          <w:rFonts w:ascii="Times New Roman" w:cs="Times New Roman" w:eastAsia="Times New Roman" w:hAnsi="Times New Roman"/>
          <w:sz w:val="18"/>
          <w:szCs w:val="18"/>
          <w:i w:val="1"/>
          <w:iCs w:val="1"/>
          <w:color w:val="auto"/>
        </w:rPr>
        <w:t>Dodd-Frank Act</w:t>
      </w:r>
      <w:r>
        <w:rPr>
          <w:rFonts w:ascii="Times New Roman" w:cs="Times New Roman" w:eastAsia="Times New Roman" w:hAnsi="Times New Roman"/>
          <w:sz w:val="18"/>
          <w:szCs w:val="18"/>
          <w:color w:val="auto"/>
        </w:rPr>
        <w:t>”),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38" w:lineRule="exact"/>
        <w:rPr>
          <w:sz w:val="20"/>
          <w:szCs w:val="20"/>
          <w:color w:val="auto"/>
        </w:rPr>
      </w:pPr>
    </w:p>
    <w:p>
      <w:pPr>
        <w:ind w:left="660" w:right="7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our obligations under the federal securities 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our Board of Directors and committees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more comprehensive financial reporting and disclosure compliance functions;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We are currently an “emerging growth company,” and, so long as we remain an “emerging growth company” we will not be required to include an attestation report on internal control over financial reporting issued by our independent registered public accounting firm. We expect that our independent registered public accounting firm will be required to formally attest to the effectiveness of our internal control over financial reporting for the year ended December 31, 2022, as we will be a “large accelerated filer” as of December 31, 2022, based on the assessment of our public float as of June 30, 2022.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and devote substantial management effort toward ensuring compliance with the requirements of Section 404 of the Sarbanes-Oxley Act, which will increase when we are no longer an “emerging growth company.” As a result, management’s attention may be diverted from other business concerns, which could harm our business, operating results and financial condition.</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KVSB’s management previously identified a material weakness in its internal control over financial reporting. Although we determined the material weakness in internal control over financial reporting did not exist following the completion of the Business Combination with KVSB, we cannot assure you that the measures we have taken to date, or any measures we may take in the future, will be sufficient to identify or prevent future material weaknesses. If other material weaknesses or other deficiencies occur, our ability to accurately and timely report our financial statements could be impaired, which could result in a material misstatement of our financial statements that may not be prevented or detected on a timely basis.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proprietary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defend, have a material adverse effect on our business, results of operations and financial condition, or require us to devote additional development resources to change our platform.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2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user growth, retention, engagement, revenue, or other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estimates by third parties of actual or anticipated changes in the size of our user base or the level of user engagement;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technology companies in our industry, including our partners and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technology company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effects of the ongoing COVID-19 pandemic, the war in Ukraine, recessions, rising inflation, interest rates, local and national elections, international currency fluctuations, corruption, political instability and acts of war or terrorism.</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2021.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may cause the market price of our securities to drop significantly, even if our business is doing well.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June 30, 2022, we had 154,978,959 shares of our Class A common stock outstanding. We have filed a registration statement related to the offer and sale from time to time by the selling securityholders named in the prospectus that forms a part of the registration statement of up to 232,826,486 shares of our Class A common stock, which registration statement has been declared effective by the SEC. Pursuant to the lock-up agreement entered into with Khosla Ventures SPAC Sponsor II LLC (the “Sponsor”), and subject to certain customary exceptions, such lockup restrictions applicable to the shares held by the Sponsor began on the closing date of the Business Combination (the “Closing Date”) and end on November 5, 2022, the one year anniversary of the Closing Date. An aggregate of 11,541,291 shares of our Class A common stock and an aggregate of 8,580 shares of our Class B common stock are subject to lock-up restrictions under the Sponsor lock-up agreement. Following the expiration of the lockup applicable to the Sponsor, the Sponsor will not be restricted from selling shares of our Class A common stock, other than by applicable securities laws.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1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 emerging growth company and a smaller reporting company within the meaning of the Securities Act, and we take advantage of certain exemptions from disclosure requirements available to emerging growth companies or smaller reporting companies, which could make our securities less attractive to investors and may make it more difficult to compare our performance with other public companies.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an “emerging growth company” within the meaning of the Securities Act, as modified by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Because the market value of our common stock held by non-affiliates as of June 30, 2022, exceeded $700 million, we will lose emerging growth company status as of December 31, 2022. Until such time, we cannot predict whether investors will find our Class A common stock less attractive because we will rely on these exemptions. If some investors find our Class A common stock less attractive as a result of our reliance on these exemptions, the trading price of our Class A common stock may be lower than it otherwise would be, there may be a less active trading market for our Class A common stock and the trading price of our Class A common stock may be more volatile.</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application dates for public or private companies, we, as an emerging growth company, can adopt the new or revised standard at the time private companies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December 31, 2022. To the extent we take advantage of such reduced disclosure obligations, it may also make comparison of our financial statements with other public companies difficult or impossible.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Provisions in our Certificate of Incorporation and our Restated Bylaws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 and</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0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color w:val="auto"/>
        </w:rPr>
        <w:t>Moreover, Section 203 of the Delaware General Corporation Law (“</w:t>
      </w:r>
      <w:r>
        <w:rPr>
          <w:rFonts w:ascii="Times New Roman" w:cs="Times New Roman" w:eastAsia="Times New Roman" w:hAnsi="Times New Roman"/>
          <w:sz w:val="17"/>
          <w:szCs w:val="17"/>
          <w:i w:val="1"/>
          <w:iCs w:val="1"/>
          <w:color w:val="auto"/>
        </w:rPr>
        <w:t>DGCL</w:t>
      </w:r>
      <w:r>
        <w:rPr>
          <w:rFonts w:ascii="Times New Roman" w:cs="Times New Roman" w:eastAsia="Times New Roman" w:hAnsi="Times New Roman"/>
          <w:sz w:val="17"/>
          <w:szCs w:val="17"/>
          <w:color w:val="auto"/>
        </w:rPr>
        <w:t>”)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w:t>
      </w:r>
      <w:r>
        <w:rPr>
          <w:rFonts w:ascii="Times New Roman" w:cs="Times New Roman" w:eastAsia="Times New Roman" w:hAnsi="Times New Roman"/>
          <w:sz w:val="18"/>
          <w:szCs w:val="18"/>
          <w:i w:val="1"/>
          <w:iCs w:val="1"/>
          <w:color w:val="auto"/>
        </w:rPr>
        <w:t>Federal Forum Provision</w:t>
      </w:r>
      <w:r>
        <w:rPr>
          <w:rFonts w:ascii="Times New Roman" w:cs="Times New Roman" w:eastAsia="Times New Roman" w:hAnsi="Times New Roman"/>
          <w:sz w:val="18"/>
          <w:szCs w:val="18"/>
          <w:color w:val="auto"/>
        </w:rPr>
        <w:t>”).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June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April 1, 2022 to April 30, 2022</w:t>
      </w:r>
    </w:p>
    <w:p>
      <w:pPr>
        <w:spacing w:after="0" w:line="10"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May 1, 2022 to May 31, 2022</w:t>
      </w:r>
    </w:p>
    <w:p>
      <w:pPr>
        <w:spacing w:after="0" w:line="10"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June 1, 2022 to June 30,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8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2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 Part of the</w:t>
            </w:r>
          </w:p>
        </w:tc>
        <w:tc>
          <w:tcPr>
            <w:tcW w:w="80" w:type="dxa"/>
            <w:vAlign w:val="bottom"/>
          </w:tcPr>
          <w:p>
            <w:pPr>
              <w:spacing w:after="0"/>
              <w:rPr>
                <w:sz w:val="15"/>
                <w:szCs w:val="15"/>
                <w:color w:val="auto"/>
              </w:rPr>
            </w:pPr>
          </w:p>
        </w:tc>
        <w:tc>
          <w:tcPr>
            <w:tcW w:w="2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Pans</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jc w:val="right"/>
              <w:ind w:right="4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(2)</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412"/>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3,061,092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3,061,092</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89,507</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3,061,092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3,061,092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-453390</wp:posOffset>
            </wp:positionV>
            <wp:extent cx="708914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26543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-993775</wp:posOffset>
            </wp:positionV>
            <wp:extent cx="708914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60"/>
            <w:col w:w="9000"/>
          </w:cols>
          <w:pgMar w:left="320" w:top="121" w:right="339" w:bottom="1440" w:gutter="0" w:footer="0" w:header="0"/>
          <w:type w:val="continuous"/>
        </w:sectPr>
      </w:pPr>
    </w:p>
    <w:p>
      <w:pPr>
        <w:spacing w:after="0" w:line="38" w:lineRule="exact"/>
        <w:rPr>
          <w:sz w:val="20"/>
          <w:szCs w:val="20"/>
          <w:color w:val="auto"/>
        </w:rPr>
      </w:pPr>
    </w:p>
    <w:p>
      <w:pPr>
        <w:ind w:right="100" w:firstLine="8"/>
        <w:spacing w:after="0" w:line="258" w:lineRule="auto"/>
        <w:tabs>
          <w:tab w:leader="none" w:pos="181"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June 2022, our Board of Directors authorized a program to repurchase up to $100.0 million in aggregate of our Class A common stock, with the authorization to expire on June 30, 2024. The timing of any repurchases will depend on market conditions and other investment opportunities, and will be made at our discretion. The Company currently anticipates that the Share Repurchase Program will extend through June 30, 2024, or such shorter period if $100.0 million in aggregate of shares of our Class A common stock have been repurchased. The Share Repurchase Program does not obligate us to repurchase any dollar amount or number of shares, and the program may be extended, modified, suspended, or discontinued at any time. Please refer to Note 10 of the Notes to Condensed Consolidated Financial Statements included in Part I, Item 1 of this Quarterly Report on Form 10-Q for additional information.</w:t>
      </w:r>
    </w:p>
    <w:p>
      <w:pPr>
        <w:spacing w:after="0" w:line="33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includes costs associated with the repurchases.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20" w:type="dxa"/>
            <w:vAlign w:val="bottom"/>
            <w:gridSpan w:val="9"/>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9"/>
            <w:vMerge w:val="continue"/>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13a-14(a) and 15d-14(a) under the Exchange Act,</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Rule 13a-14(a) and 15d-14(a) under the Exchange Act,</w:t>
            </w: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2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1100" w:type="dxa"/>
            <w:vAlign w:val="bottom"/>
            <w:tcBorders>
              <w:top w:val="single" w:sz="8" w:color="0000FF"/>
            </w:tcBorders>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 as adopted pursuant to Section</w:t>
            </w:r>
          </w:p>
        </w:tc>
        <w:tc>
          <w:tcPr>
            <w:tcW w:w="24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28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4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5"/>
                <w:szCs w:val="15"/>
                <w:color w:val="auto"/>
              </w:rPr>
            </w:pPr>
          </w:p>
        </w:tc>
        <w:tc>
          <w:tcPr>
            <w:tcW w:w="416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Date File (formatted in iXBRL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22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4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256"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Friar</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Friar</w:t>
            </w: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President and Chairperson of the</w:t>
            </w: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45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Board of Directors</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Doyle</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Doyle</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5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RULE 13A-14(A) OR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Friar, certify that:</w:t>
      </w:r>
    </w:p>
    <w:p>
      <w:pPr>
        <w:spacing w:after="0" w:line="279"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w:t>
      </w:r>
    </w:p>
    <w:p>
      <w:pPr>
        <w:spacing w:after="0" w:line="211" w:lineRule="exact"/>
        <w:rPr>
          <w:rFonts w:ascii="Times New Roman" w:cs="Times New Roman" w:eastAsia="Times New Roman" w:hAnsi="Times New Roman"/>
          <w:sz w:val="18"/>
          <w:szCs w:val="18"/>
          <w:color w:val="auto"/>
        </w:rPr>
      </w:pPr>
    </w:p>
    <w:p>
      <w:pPr>
        <w:jc w:val="both"/>
        <w:ind w:left="340" w:right="440" w:hanging="332"/>
        <w:spacing w:after="0" w:line="305"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340" w:right="640" w:hanging="332"/>
        <w:spacing w:after="0" w:line="329"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w:t>
      </w:r>
    </w:p>
    <w:p>
      <w:pPr>
        <w:spacing w:after="0" w:line="49" w:lineRule="exact"/>
        <w:rPr>
          <w:rFonts w:ascii="Times New Roman" w:cs="Times New Roman" w:eastAsia="Times New Roman" w:hAnsi="Times New Roman"/>
          <w:sz w:val="18"/>
          <w:szCs w:val="18"/>
          <w:color w:val="auto"/>
        </w:rPr>
      </w:pPr>
    </w:p>
    <w:p>
      <w:pPr>
        <w:ind w:left="660"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62" w:lineRule="auto"/>
        <w:tabs>
          <w:tab w:leader="none" w:pos="6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49" w:lineRule="exact"/>
        <w:rPr>
          <w:rFonts w:ascii="Times New Roman" w:cs="Times New Roman" w:eastAsia="Times New Roman" w:hAnsi="Times New Roman"/>
          <w:sz w:val="18"/>
          <w:szCs w:val="18"/>
          <w:color w:val="auto"/>
        </w:rPr>
      </w:pPr>
    </w:p>
    <w:p>
      <w:pPr>
        <w:ind w:left="66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313"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hanging="328"/>
        <w:spacing w:after="0" w:line="313"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p>
    <w:p>
      <w:pPr>
        <w:ind w:left="7200"/>
        <w:spacing w:after="0"/>
        <w:tabs>
          <w:tab w:leader="none" w:pos="7620" w:val="left"/>
        </w:tabs>
        <w:rPr>
          <w:sz w:val="20"/>
          <w:szCs w:val="20"/>
          <w:color w:val="auto"/>
        </w:rPr>
      </w:pPr>
      <w:r>
        <w:rPr>
          <w:rFonts w:ascii="Times New Roman" w:cs="Times New Roman" w:eastAsia="Times New Roman" w:hAnsi="Times New Roman"/>
          <w:sz w:val="35"/>
          <w:szCs w:val="35"/>
          <w:color w:val="auto"/>
          <w:vertAlign w:val="subscript"/>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635</wp:posOffset>
            </wp:positionV>
            <wp:extent cx="1783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7200"/>
        <w:spacing w:after="0"/>
        <w:rPr>
          <w:sz w:val="20"/>
          <w:szCs w:val="20"/>
          <w:color w:val="auto"/>
        </w:rPr>
      </w:pPr>
      <w:r>
        <w:rPr>
          <w:rFonts w:ascii="Times New Roman" w:cs="Times New Roman" w:eastAsia="Times New Roman" w:hAnsi="Times New Roman"/>
          <w:sz w:val="18"/>
          <w:szCs w:val="18"/>
          <w:color w:val="auto"/>
        </w:rPr>
        <w:t>Sarah Friar</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720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40"/>
          </w:cols>
          <w:pgMar w:left="320" w:top="37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RULE 13A-14(A) OR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01F1E"/>
        </w:rPr>
        <w:t>Michael Doyle</w:t>
      </w:r>
      <w:r>
        <w:rPr>
          <w:rFonts w:ascii="Times New Roman" w:cs="Times New Roman" w:eastAsia="Times New Roman" w:hAnsi="Times New Roman"/>
          <w:sz w:val="18"/>
          <w:szCs w:val="18"/>
          <w:color w:val="auto"/>
        </w:rPr>
        <w:t>, certify that:</w:t>
      </w:r>
    </w:p>
    <w:p>
      <w:pPr>
        <w:spacing w:after="0" w:line="26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313"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340" w:right="640" w:hanging="332"/>
        <w:spacing w:after="0" w:line="329"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w:t>
      </w:r>
    </w:p>
    <w:p>
      <w:pPr>
        <w:spacing w:after="0" w:line="49" w:lineRule="exact"/>
        <w:rPr>
          <w:rFonts w:ascii="Times New Roman" w:cs="Times New Roman" w:eastAsia="Times New Roman" w:hAnsi="Times New Roman"/>
          <w:sz w:val="18"/>
          <w:szCs w:val="18"/>
          <w:color w:val="auto"/>
        </w:rPr>
      </w:pPr>
    </w:p>
    <w:p>
      <w:pPr>
        <w:ind w:left="660"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46" w:lineRule="auto"/>
        <w:tabs>
          <w:tab w:leader="none" w:pos="6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7"/>
          <w:szCs w:val="17"/>
          <w:color w:val="auto"/>
        </w:rPr>
      </w:pPr>
    </w:p>
    <w:p>
      <w:pPr>
        <w:ind w:left="660" w:right="80" w:hanging="328"/>
        <w:spacing w:after="0" w:line="305" w:lineRule="auto"/>
        <w:tabs>
          <w:tab w:leader="none" w:pos="6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340" w:right="320" w:hanging="332"/>
        <w:spacing w:after="0" w:line="329"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329" w:lineRule="auto"/>
        <w:tabs>
          <w:tab w:leader="none" w:pos="6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313"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p>
    <w:p>
      <w:pPr>
        <w:ind w:left="7200"/>
        <w:spacing w:after="0" w:line="183" w:lineRule="auto"/>
        <w:tabs>
          <w:tab w:leader="none" w:pos="764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i w:val="1"/>
          <w:iCs w:val="1"/>
          <w:color w:val="auto"/>
        </w:rPr>
        <w:t xml:space="preserve">/s/ </w:t>
      </w:r>
      <w:r>
        <w:rPr>
          <w:rFonts w:ascii="Times New Roman" w:cs="Times New Roman" w:eastAsia="Times New Roman" w:hAnsi="Times New Roman"/>
          <w:sz w:val="16"/>
          <w:szCs w:val="16"/>
          <w:i w:val="1"/>
          <w:iCs w:val="1"/>
          <w:color w:val="201F1E"/>
        </w:rPr>
        <w:t>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wp:posOffset>
            </wp:positionV>
            <wp:extent cx="22117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2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201F1E"/>
        </w:rPr>
        <w:t>Michael Doyle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40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June 30,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0"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p>
    <w:p>
      <w:pPr>
        <w:spacing w:after="0" w:line="123" w:lineRule="exact"/>
        <w:rPr>
          <w:sz w:val="20"/>
          <w:szCs w:val="20"/>
          <w:color w:val="auto"/>
        </w:rPr>
      </w:pPr>
    </w:p>
    <w:p>
      <w:pPr>
        <w:ind w:left="7200"/>
        <w:spacing w:after="0"/>
        <w:tabs>
          <w:tab w:leader="none" w:pos="76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121920</wp:posOffset>
            </wp:positionV>
            <wp:extent cx="16459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Sarah Friar</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720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40"/>
          </w:cols>
          <w:pgMar w:left="320" w:top="40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349"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June 30,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3"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3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p>
    <w:p>
      <w:pPr>
        <w:spacing w:after="0" w:line="291" w:lineRule="exact"/>
        <w:rPr>
          <w:sz w:val="20"/>
          <w:szCs w:val="20"/>
          <w:color w:val="auto"/>
        </w:rPr>
      </w:pPr>
    </w:p>
    <w:p>
      <w:pPr>
        <w:ind w:left="722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18415</wp:posOffset>
            </wp:positionV>
            <wp:extent cx="18942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Michael Doyle</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3"/>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2022-08-09T16:55:20Z</dcterms:created>
  <dcterms:modified xsi:type="dcterms:W3CDTF">2022-08-09T16:55:20Z</dcterms:modified>
</cp:coreProperties>
</file>