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1"/>
          <w:szCs w:val="31"/>
          <w:b w:val="1"/>
          <w:bCs w:val="1"/>
          <w:color w:val="auto"/>
        </w:rPr>
        <w:t>UNITED STATES</w:t>
      </w:r>
    </w:p>
    <w:p>
      <w:pPr>
        <w:jc w:val="center"/>
        <w:spacing w:after="0" w:line="222" w:lineRule="auto"/>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7" w:lineRule="exact"/>
        <w:rPr>
          <w:sz w:val="24"/>
          <w:szCs w:val="24"/>
          <w:color w:val="auto"/>
        </w:rPr>
      </w:pPr>
    </w:p>
    <w:p>
      <w:pPr>
        <w:ind w:left="540" w:hanging="510"/>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2022</w:t>
      </w:r>
    </w:p>
    <w:p>
      <w:pPr>
        <w:jc w:val="center"/>
        <w:spacing w:after="0"/>
        <w:rPr>
          <w:sz w:val="20"/>
          <w:szCs w:val="20"/>
          <w:color w:val="auto"/>
        </w:rPr>
      </w:pPr>
      <w:r>
        <w:rPr>
          <w:rFonts w:ascii="Arial" w:cs="Arial" w:eastAsia="Arial" w:hAnsi="Arial"/>
          <w:sz w:val="13"/>
          <w:szCs w:val="13"/>
          <w:b w:val="1"/>
          <w:bCs w:val="1"/>
          <w:color w:val="auto"/>
        </w:rPr>
        <w:t>OR</w:t>
      </w:r>
    </w:p>
    <w:p>
      <w:pPr>
        <w:ind w:left="540" w:hanging="510"/>
        <w:spacing w:after="0" w:line="229" w:lineRule="auto"/>
        <w:tabs>
          <w:tab w:leader="none" w:pos="54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15"/>
          <w:szCs w:val="15"/>
          <w:b w:val="1"/>
          <w:bCs w:val="1"/>
          <w:color w:val="auto"/>
        </w:rPr>
        <w:t>TRANSITION REPORT PURSUANT TO SECTION 13 OR 15(d) OF THE SECURITIES EXCHANGE ACT OF 1934 FOR THE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500" w:type="dxa"/>
            <w:vAlign w:val="bottom"/>
          </w:tcPr>
          <w:p>
            <w:pPr>
              <w:ind w:left="540"/>
              <w:spacing w:after="0"/>
              <w:rPr>
                <w:sz w:val="20"/>
                <w:szCs w:val="20"/>
                <w:color w:val="auto"/>
              </w:rPr>
            </w:pPr>
            <w:r>
              <w:rPr>
                <w:rFonts w:ascii="Arial" w:cs="Arial" w:eastAsia="Arial" w:hAnsi="Arial"/>
                <w:sz w:val="15"/>
                <w:szCs w:val="15"/>
                <w:b w:val="1"/>
                <w:bCs w:val="1"/>
                <w:color w:val="auto"/>
              </w:rPr>
              <w:t>TRANSITION PERIOD FROM</w:t>
            </w:r>
          </w:p>
        </w:tc>
        <w:tc>
          <w:tcPr>
            <w:tcW w:w="880" w:type="dxa"/>
            <w:vAlign w:val="bottom"/>
          </w:tcPr>
          <w:p>
            <w:pPr>
              <w:ind w:left="40"/>
              <w:spacing w:after="0"/>
              <w:rPr>
                <w:sz w:val="20"/>
                <w:szCs w:val="20"/>
                <w:color w:val="auto"/>
              </w:rPr>
            </w:pPr>
            <w:r>
              <w:rPr>
                <w:rFonts w:ascii="Arial" w:cs="Arial" w:eastAsia="Arial" w:hAnsi="Arial"/>
                <w:sz w:val="15"/>
                <w:szCs w:val="15"/>
                <w:b w:val="1"/>
                <w:bCs w:val="1"/>
                <w:color w:val="auto"/>
              </w:rPr>
              <w:t>TO</w:t>
            </w:r>
          </w:p>
        </w:tc>
        <w:tc>
          <w:tcPr>
            <w:tcW w:w="33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tcPr>
          <w:p>
            <w:pPr>
              <w:jc w:val="center"/>
              <w:ind w:right="777"/>
              <w:spacing w:after="0"/>
              <w:rPr>
                <w:sz w:val="20"/>
                <w:szCs w:val="20"/>
                <w:color w:val="auto"/>
              </w:rPr>
            </w:pPr>
            <w:r>
              <w:rPr>
                <w:rFonts w:ascii="Arial" w:cs="Arial" w:eastAsia="Arial" w:hAnsi="Arial"/>
                <w:sz w:val="13"/>
                <w:szCs w:val="13"/>
                <w:b w:val="1"/>
                <w:bCs w:val="1"/>
                <w:color w:val="auto"/>
                <w:w w:val="88"/>
              </w:rPr>
              <w:t>Commission File Number 001-40246</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500" w:type="dxa"/>
            <w:vAlign w:val="bottom"/>
            <w:tcBorders>
              <w:bottom w:val="single" w:sz="8" w:color="auto"/>
            </w:tcBorders>
          </w:tcPr>
          <w:p>
            <w:pPr>
              <w:spacing w:after="0"/>
              <w:rPr>
                <w:sz w:val="13"/>
                <w:szCs w:val="13"/>
                <w:color w:val="auto"/>
              </w:rPr>
            </w:pPr>
          </w:p>
        </w:tc>
        <w:tc>
          <w:tcPr>
            <w:tcW w:w="4200" w:type="dxa"/>
            <w:vAlign w:val="bottom"/>
            <w:tcBorders>
              <w:bottom w:val="single" w:sz="8" w:color="auto"/>
            </w:tcBorders>
            <w:gridSpan w:val="2"/>
          </w:tcPr>
          <w:p>
            <w:pPr>
              <w:spacing w:after="0"/>
              <w:rPr>
                <w:sz w:val="13"/>
                <w:szCs w:val="13"/>
                <w:color w:val="auto"/>
              </w:rPr>
            </w:pPr>
          </w:p>
        </w:tc>
        <w:tc>
          <w:tcPr>
            <w:tcW w:w="3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43"/>
        </w:trPr>
        <w:tc>
          <w:tcPr>
            <w:tcW w:w="3500" w:type="dxa"/>
            <w:vAlign w:val="bottom"/>
          </w:tcPr>
          <w:p>
            <w:pPr>
              <w:spacing w:after="0"/>
              <w:rPr>
                <w:sz w:val="24"/>
                <w:szCs w:val="24"/>
                <w:color w:val="auto"/>
              </w:rPr>
            </w:pPr>
          </w:p>
        </w:tc>
        <w:tc>
          <w:tcPr>
            <w:tcW w:w="4200" w:type="dxa"/>
            <w:vAlign w:val="bottom"/>
            <w:gridSpan w:val="2"/>
          </w:tcPr>
          <w:p>
            <w:pPr>
              <w:jc w:val="center"/>
              <w:spacing w:after="0" w:line="443" w:lineRule="exact"/>
              <w:rPr>
                <w:sz w:val="20"/>
                <w:szCs w:val="20"/>
                <w:color w:val="auto"/>
              </w:rPr>
            </w:pPr>
            <w:r>
              <w:rPr>
                <w:rFonts w:ascii="Arial" w:cs="Arial" w:eastAsia="Arial" w:hAnsi="Arial"/>
                <w:sz w:val="40"/>
                <w:szCs w:val="40"/>
                <w:b w:val="1"/>
                <w:bCs w:val="1"/>
                <w:color w:val="auto"/>
                <w:w w:val="89"/>
              </w:rPr>
              <w:t>Nextdoor Holdings, Inc.</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4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32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3500" w:type="dxa"/>
            <w:vAlign w:val="bottom"/>
          </w:tcPr>
          <w:p>
            <w:pPr>
              <w:jc w:val="center"/>
              <w:ind w:left="1940"/>
              <w:spacing w:after="0"/>
              <w:rPr>
                <w:sz w:val="20"/>
                <w:szCs w:val="20"/>
                <w:color w:val="auto"/>
              </w:rPr>
            </w:pPr>
            <w:r>
              <w:rPr>
                <w:rFonts w:ascii="Arial" w:cs="Arial" w:eastAsia="Arial" w:hAnsi="Arial"/>
                <w:sz w:val="14"/>
                <w:szCs w:val="14"/>
                <w:b w:val="1"/>
                <w:bCs w:val="1"/>
                <w:color w:val="auto"/>
                <w:w w:val="94"/>
              </w:rPr>
              <w:t>Delaware</w:t>
            </w:r>
          </w:p>
        </w:tc>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540" w:type="dxa"/>
            <w:vAlign w:val="bottom"/>
          </w:tcPr>
          <w:p>
            <w:pPr>
              <w:jc w:val="right"/>
              <w:ind w:right="2361"/>
              <w:spacing w:after="0"/>
              <w:rPr>
                <w:sz w:val="20"/>
                <w:szCs w:val="20"/>
                <w:color w:val="auto"/>
              </w:rPr>
            </w:pPr>
            <w:r>
              <w:rPr>
                <w:rFonts w:ascii="Arial" w:cs="Arial" w:eastAsia="Arial" w:hAnsi="Arial"/>
                <w:sz w:val="14"/>
                <w:szCs w:val="14"/>
                <w:b w:val="1"/>
                <w:bCs w:val="1"/>
                <w:color w:val="auto"/>
              </w:rPr>
              <w:t>86-1776836</w:t>
            </w:r>
          </w:p>
        </w:tc>
        <w:tc>
          <w:tcPr>
            <w:tcW w:w="0" w:type="dxa"/>
            <w:vAlign w:val="bottom"/>
          </w:tcPr>
          <w:p>
            <w:pPr>
              <w:spacing w:after="0"/>
              <w:rPr>
                <w:sz w:val="1"/>
                <w:szCs w:val="1"/>
                <w:color w:val="auto"/>
              </w:rPr>
            </w:pPr>
          </w:p>
        </w:tc>
      </w:tr>
      <w:tr>
        <w:trPr>
          <w:trHeight w:val="133"/>
        </w:trPr>
        <w:tc>
          <w:tcPr>
            <w:tcW w:w="3500" w:type="dxa"/>
            <w:vAlign w:val="bottom"/>
          </w:tcPr>
          <w:p>
            <w:pPr>
              <w:jc w:val="center"/>
              <w:ind w:left="1920"/>
              <w:spacing w:after="0"/>
              <w:rPr>
                <w:sz w:val="20"/>
                <w:szCs w:val="20"/>
                <w:color w:val="auto"/>
              </w:rPr>
            </w:pPr>
            <w:r>
              <w:rPr>
                <w:rFonts w:ascii="Arial" w:cs="Arial" w:eastAsia="Arial" w:hAnsi="Arial"/>
                <w:sz w:val="11"/>
                <w:szCs w:val="11"/>
                <w:b w:val="1"/>
                <w:bCs w:val="1"/>
                <w:color w:val="auto"/>
                <w:w w:val="89"/>
              </w:rPr>
              <w:t>(State or Other Jurisdiction of</w:t>
            </w:r>
          </w:p>
        </w:tc>
        <w:tc>
          <w:tcPr>
            <w:tcW w:w="8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3540" w:type="dxa"/>
            <w:vAlign w:val="bottom"/>
          </w:tcPr>
          <w:p>
            <w:pPr>
              <w:jc w:val="center"/>
              <w:ind w:right="1941"/>
              <w:spacing w:after="0"/>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3500" w:type="dxa"/>
            <w:vAlign w:val="bottom"/>
          </w:tcPr>
          <w:p>
            <w:pPr>
              <w:jc w:val="center"/>
              <w:ind w:left="1940"/>
              <w:spacing w:after="0"/>
              <w:rPr>
                <w:sz w:val="20"/>
                <w:szCs w:val="20"/>
                <w:color w:val="auto"/>
              </w:rPr>
            </w:pPr>
            <w:r>
              <w:rPr>
                <w:rFonts w:ascii="Arial" w:cs="Arial" w:eastAsia="Arial" w:hAnsi="Arial"/>
                <w:sz w:val="11"/>
                <w:szCs w:val="11"/>
                <w:b w:val="1"/>
                <w:bCs w:val="1"/>
                <w:color w:val="auto"/>
                <w:w w:val="91"/>
              </w:rPr>
              <w:t>Incorporation or Organization)</w:t>
            </w:r>
          </w:p>
        </w:tc>
        <w:tc>
          <w:tcPr>
            <w:tcW w:w="8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540" w:type="dxa"/>
            <w:vAlign w:val="bottom"/>
          </w:tcPr>
          <w:p>
            <w:pPr>
              <w:jc w:val="center"/>
              <w:ind w:right="1961"/>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51"/>
        </w:trPr>
        <w:tc>
          <w:tcPr>
            <w:tcW w:w="3500" w:type="dxa"/>
            <w:vAlign w:val="bottom"/>
          </w:tcPr>
          <w:p>
            <w:pPr>
              <w:jc w:val="center"/>
              <w:ind w:left="1940"/>
              <w:spacing w:after="0"/>
              <w:rPr>
                <w:sz w:val="20"/>
                <w:szCs w:val="20"/>
                <w:color w:val="auto"/>
              </w:rPr>
            </w:pPr>
            <w:r>
              <w:rPr>
                <w:rFonts w:ascii="Arial" w:cs="Arial" w:eastAsia="Arial" w:hAnsi="Arial"/>
                <w:sz w:val="11"/>
                <w:szCs w:val="11"/>
                <w:b w:val="1"/>
                <w:bCs w:val="1"/>
                <w:color w:val="auto"/>
                <w:w w:val="87"/>
              </w:rPr>
              <w:t>420 Taylor Street</w:t>
            </w:r>
          </w:p>
        </w:tc>
        <w:tc>
          <w:tcPr>
            <w:tcW w:w="8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540" w:type="dxa"/>
            <w:vAlign w:val="bottom"/>
            <w:vMerge w:val="restart"/>
          </w:tcPr>
          <w:p>
            <w:pPr>
              <w:jc w:val="right"/>
              <w:ind w:right="2581"/>
              <w:spacing w:after="0"/>
              <w:rPr>
                <w:sz w:val="20"/>
                <w:szCs w:val="20"/>
                <w:color w:val="auto"/>
              </w:rPr>
            </w:pPr>
            <w:r>
              <w:rPr>
                <w:rFonts w:ascii="Arial" w:cs="Arial" w:eastAsia="Arial" w:hAnsi="Arial"/>
                <w:sz w:val="11"/>
                <w:szCs w:val="11"/>
                <w:b w:val="1"/>
                <w:bCs w:val="1"/>
                <w:color w:val="auto"/>
              </w:rPr>
              <w:t>94102</w:t>
            </w:r>
          </w:p>
        </w:tc>
        <w:tc>
          <w:tcPr>
            <w:tcW w:w="0" w:type="dxa"/>
            <w:vAlign w:val="bottom"/>
          </w:tcPr>
          <w:p>
            <w:pPr>
              <w:spacing w:after="0"/>
              <w:rPr>
                <w:sz w:val="1"/>
                <w:szCs w:val="1"/>
                <w:color w:val="auto"/>
              </w:rPr>
            </w:pPr>
          </w:p>
        </w:tc>
      </w:tr>
      <w:tr>
        <w:trPr>
          <w:trHeight w:val="108"/>
        </w:trPr>
        <w:tc>
          <w:tcPr>
            <w:tcW w:w="3500" w:type="dxa"/>
            <w:vAlign w:val="bottom"/>
          </w:tcPr>
          <w:p>
            <w:pPr>
              <w:jc w:val="center"/>
              <w:ind w:left="1940"/>
              <w:spacing w:after="0" w:line="108" w:lineRule="exact"/>
              <w:rPr>
                <w:sz w:val="20"/>
                <w:szCs w:val="20"/>
                <w:color w:val="auto"/>
              </w:rPr>
            </w:pPr>
            <w:r>
              <w:rPr>
                <w:rFonts w:ascii="Arial" w:cs="Arial" w:eastAsia="Arial" w:hAnsi="Arial"/>
                <w:sz w:val="11"/>
                <w:szCs w:val="11"/>
                <w:b w:val="1"/>
                <w:bCs w:val="1"/>
                <w:color w:val="auto"/>
                <w:w w:val="89"/>
              </w:rPr>
              <w:t>San Francisco, California</w:t>
            </w:r>
          </w:p>
        </w:tc>
        <w:tc>
          <w:tcPr>
            <w:tcW w:w="8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380" w:type="dxa"/>
            <w:vAlign w:val="bottom"/>
            <w:gridSpan w:val="2"/>
          </w:tcPr>
          <w:p>
            <w:pPr>
              <w:jc w:val="center"/>
              <w:ind w:left="1060"/>
              <w:spacing w:after="0"/>
              <w:rPr>
                <w:sz w:val="20"/>
                <w:szCs w:val="20"/>
                <w:color w:val="auto"/>
              </w:rPr>
            </w:pPr>
            <w:r>
              <w:rPr>
                <w:rFonts w:ascii="Arial" w:cs="Arial" w:eastAsia="Arial" w:hAnsi="Arial"/>
                <w:sz w:val="11"/>
                <w:szCs w:val="11"/>
                <w:b w:val="1"/>
                <w:bCs w:val="1"/>
                <w:color w:val="auto"/>
                <w:w w:val="88"/>
              </w:rPr>
              <w:t>(Address of Principal Executive Offices)</w:t>
            </w:r>
          </w:p>
        </w:tc>
        <w:tc>
          <w:tcPr>
            <w:tcW w:w="3320" w:type="dxa"/>
            <w:vAlign w:val="bottom"/>
          </w:tcPr>
          <w:p>
            <w:pPr>
              <w:spacing w:after="0"/>
              <w:rPr>
                <w:sz w:val="12"/>
                <w:szCs w:val="12"/>
                <w:color w:val="auto"/>
              </w:rPr>
            </w:pPr>
          </w:p>
        </w:tc>
        <w:tc>
          <w:tcPr>
            <w:tcW w:w="3540" w:type="dxa"/>
            <w:vAlign w:val="bottom"/>
          </w:tcPr>
          <w:p>
            <w:pPr>
              <w:jc w:val="center"/>
              <w:ind w:right="1941"/>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4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Registrant’s telephone number, including area code: (415) 344-0333</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3500" w:type="dxa"/>
            <w:vAlign w:val="bottom"/>
          </w:tcPr>
          <w:p>
            <w:pPr>
              <w:spacing w:after="0"/>
              <w:rPr>
                <w:sz w:val="24"/>
                <w:szCs w:val="24"/>
                <w:color w:val="auto"/>
              </w:rPr>
            </w:pPr>
          </w:p>
        </w:tc>
        <w:tc>
          <w:tcPr>
            <w:tcW w:w="4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00" w:type="dxa"/>
            <w:vAlign w:val="bottom"/>
          </w:tcPr>
          <w:p>
            <w:pPr>
              <w:jc w:val="center"/>
              <w:ind w:left="1500"/>
              <w:spacing w:after="0"/>
              <w:rPr>
                <w:sz w:val="20"/>
                <w:szCs w:val="20"/>
                <w:color w:val="auto"/>
              </w:rPr>
            </w:pPr>
            <w:r>
              <w:rPr>
                <w:rFonts w:ascii="Arial" w:cs="Arial" w:eastAsia="Arial" w:hAnsi="Arial"/>
                <w:sz w:val="11"/>
                <w:szCs w:val="11"/>
                <w:b w:val="1"/>
                <w:bCs w:val="1"/>
                <w:color w:val="auto"/>
                <w:w w:val="87"/>
              </w:rPr>
              <w:t>Title of Each Class</w:t>
            </w:r>
          </w:p>
        </w:tc>
        <w:tc>
          <w:tcPr>
            <w:tcW w:w="880" w:type="dxa"/>
            <w:vAlign w:val="bottom"/>
          </w:tcPr>
          <w:p>
            <w:pPr>
              <w:spacing w:after="0"/>
              <w:rPr>
                <w:sz w:val="21"/>
                <w:szCs w:val="21"/>
                <w:color w:val="auto"/>
              </w:rPr>
            </w:pPr>
          </w:p>
        </w:tc>
        <w:tc>
          <w:tcPr>
            <w:tcW w:w="3320" w:type="dxa"/>
            <w:vAlign w:val="bottom"/>
          </w:tcPr>
          <w:p>
            <w:pPr>
              <w:jc w:val="center"/>
              <w:ind w:right="837"/>
              <w:spacing w:after="0"/>
              <w:rPr>
                <w:sz w:val="20"/>
                <w:szCs w:val="20"/>
                <w:color w:val="auto"/>
              </w:rPr>
            </w:pPr>
            <w:r>
              <w:rPr>
                <w:rFonts w:ascii="Arial" w:cs="Arial" w:eastAsia="Arial" w:hAnsi="Arial"/>
                <w:sz w:val="11"/>
                <w:szCs w:val="11"/>
                <w:b w:val="1"/>
                <w:bCs w:val="1"/>
                <w:color w:val="auto"/>
                <w:w w:val="88"/>
              </w:rPr>
              <w:t>Trading Symbol</w:t>
            </w:r>
          </w:p>
        </w:tc>
        <w:tc>
          <w:tcPr>
            <w:tcW w:w="3540" w:type="dxa"/>
            <w:vAlign w:val="bottom"/>
          </w:tcPr>
          <w:p>
            <w:pPr>
              <w:jc w:val="center"/>
              <w:ind w:right="1541"/>
              <w:spacing w:after="0"/>
              <w:rPr>
                <w:sz w:val="20"/>
                <w:szCs w:val="20"/>
                <w:color w:val="auto"/>
              </w:rPr>
            </w:pPr>
            <w:r>
              <w:rPr>
                <w:rFonts w:ascii="Arial" w:cs="Arial" w:eastAsia="Arial" w:hAnsi="Arial"/>
                <w:sz w:val="11"/>
                <w:szCs w:val="11"/>
                <w:b w:val="1"/>
                <w:bCs w:val="1"/>
                <w:color w:val="auto"/>
                <w:w w:val="88"/>
              </w:rPr>
              <w:t>Name of Exchange on Which Registered</w:t>
            </w:r>
          </w:p>
        </w:tc>
        <w:tc>
          <w:tcPr>
            <w:tcW w:w="0" w:type="dxa"/>
            <w:vAlign w:val="bottom"/>
          </w:tcPr>
          <w:p>
            <w:pPr>
              <w:spacing w:after="0"/>
              <w:rPr>
                <w:sz w:val="1"/>
                <w:szCs w:val="1"/>
                <w:color w:val="auto"/>
              </w:rPr>
            </w:pPr>
          </w:p>
        </w:tc>
      </w:tr>
      <w:tr>
        <w:trPr>
          <w:trHeight w:val="199"/>
        </w:trPr>
        <w:tc>
          <w:tcPr>
            <w:tcW w:w="4380" w:type="dxa"/>
            <w:vAlign w:val="bottom"/>
            <w:gridSpan w:val="2"/>
          </w:tcPr>
          <w:p>
            <w:pPr>
              <w:jc w:val="center"/>
              <w:ind w:left="620"/>
              <w:spacing w:after="0"/>
              <w:rPr>
                <w:sz w:val="20"/>
                <w:szCs w:val="20"/>
                <w:color w:val="auto"/>
              </w:rPr>
            </w:pPr>
            <w:r>
              <w:rPr>
                <w:rFonts w:ascii="Arial" w:cs="Arial" w:eastAsia="Arial" w:hAnsi="Arial"/>
                <w:sz w:val="14"/>
                <w:szCs w:val="14"/>
                <w:b w:val="1"/>
                <w:bCs w:val="1"/>
                <w:color w:val="auto"/>
                <w:w w:val="91"/>
              </w:rPr>
              <w:t>Class A common stock, par value $0.0001 per share</w:t>
            </w:r>
          </w:p>
        </w:tc>
        <w:tc>
          <w:tcPr>
            <w:tcW w:w="3320" w:type="dxa"/>
            <w:vAlign w:val="bottom"/>
          </w:tcPr>
          <w:p>
            <w:pPr>
              <w:jc w:val="center"/>
              <w:ind w:right="837"/>
              <w:spacing w:after="0"/>
              <w:rPr>
                <w:sz w:val="20"/>
                <w:szCs w:val="20"/>
                <w:color w:val="auto"/>
              </w:rPr>
            </w:pPr>
            <w:r>
              <w:rPr>
                <w:rFonts w:ascii="Arial" w:cs="Arial" w:eastAsia="Arial" w:hAnsi="Arial"/>
                <w:sz w:val="14"/>
                <w:szCs w:val="14"/>
                <w:b w:val="1"/>
                <w:bCs w:val="1"/>
                <w:color w:val="auto"/>
              </w:rPr>
              <w:t>KIND</w:t>
            </w:r>
          </w:p>
        </w:tc>
        <w:tc>
          <w:tcPr>
            <w:tcW w:w="3540" w:type="dxa"/>
            <w:vAlign w:val="bottom"/>
          </w:tcPr>
          <w:p>
            <w:pPr>
              <w:jc w:val="center"/>
              <w:ind w:right="1541"/>
              <w:spacing w:after="0"/>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3940"/>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46" w:lineRule="exact"/>
        <w:rPr>
          <w:sz w:val="24"/>
          <w:szCs w:val="24"/>
          <w:color w:val="auto"/>
        </w:rPr>
      </w:pPr>
    </w:p>
    <w:p>
      <w:pPr>
        <w:ind w:right="4600"/>
        <w:spacing w:after="0" w:line="201"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43" w:lineRule="exact"/>
        <w:rPr>
          <w:sz w:val="24"/>
          <w:szCs w:val="24"/>
          <w:color w:val="auto"/>
        </w:rPr>
      </w:pPr>
    </w:p>
    <w:p>
      <w:pPr>
        <w:ind w:right="100"/>
        <w:spacing w:after="0" w:line="14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ind w:right="240"/>
        <w:spacing w:after="0" w:line="14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ind w:right="24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20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380"/>
              <w:spacing w:after="0"/>
              <w:rPr>
                <w:sz w:val="20"/>
                <w:szCs w:val="20"/>
                <w:color w:val="auto"/>
              </w:rPr>
            </w:pPr>
            <w:r>
              <w:rPr>
                <w:rFonts w:ascii="Arial" w:cs="Arial" w:eastAsia="Arial" w:hAnsi="Arial"/>
                <w:sz w:val="13"/>
                <w:szCs w:val="13"/>
                <w:color w:val="auto"/>
              </w:rPr>
              <w:t>Accelerated filer</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2060" w:type="dxa"/>
            <w:vAlign w:val="bottom"/>
          </w:tcPr>
          <w:p>
            <w:pPr>
              <w:spacing w:after="0"/>
              <w:rPr>
                <w:sz w:val="20"/>
                <w:szCs w:val="20"/>
                <w:color w:val="auto"/>
              </w:rPr>
            </w:pPr>
            <w:r>
              <w:rPr>
                <w:rFonts w:ascii="Arial" w:cs="Arial" w:eastAsia="Arial" w:hAnsi="Arial"/>
                <w:sz w:val="13"/>
                <w:szCs w:val="13"/>
                <w:color w:val="auto"/>
              </w:rPr>
              <w:t>Non-accelerated filer</w:t>
            </w:r>
          </w:p>
        </w:tc>
        <w:tc>
          <w:tcPr>
            <w:tcW w:w="34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380"/>
              <w:spacing w:after="0"/>
              <w:rPr>
                <w:sz w:val="20"/>
                <w:szCs w:val="20"/>
                <w:color w:val="auto"/>
              </w:rPr>
            </w:pPr>
            <w:r>
              <w:rPr>
                <w:rFonts w:ascii="Arial" w:cs="Arial" w:eastAsia="Arial" w:hAnsi="Arial"/>
                <w:sz w:val="13"/>
                <w:szCs w:val="13"/>
                <w:color w:val="auto"/>
              </w:rPr>
              <w:t>Smaller reporting company</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20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580" w:type="dxa"/>
            <w:vAlign w:val="bottom"/>
          </w:tcPr>
          <w:p>
            <w:pPr>
              <w:ind w:left="2380"/>
              <w:spacing w:after="0"/>
              <w:rPr>
                <w:sz w:val="20"/>
                <w:szCs w:val="20"/>
                <w:color w:val="auto"/>
              </w:rPr>
            </w:pPr>
            <w:r>
              <w:rPr>
                <w:rFonts w:ascii="Arial" w:cs="Arial" w:eastAsia="Arial" w:hAnsi="Arial"/>
                <w:sz w:val="13"/>
                <w:szCs w:val="13"/>
                <w:color w:val="auto"/>
              </w:rPr>
              <w:t>Emerging growth company</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9" w:lineRule="exact"/>
        <w:rPr>
          <w:sz w:val="24"/>
          <w:szCs w:val="24"/>
          <w:color w:val="auto"/>
        </w:rPr>
      </w:pPr>
    </w:p>
    <w:p>
      <w:pPr>
        <w:ind w:right="320"/>
        <w:spacing w:after="0" w:line="14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2" w:lineRule="exact"/>
        <w:rPr>
          <w:sz w:val="24"/>
          <w:szCs w:val="24"/>
          <w:color w:val="auto"/>
        </w:rPr>
      </w:pPr>
    </w:p>
    <w:p>
      <w:pPr>
        <w:ind w:right="220"/>
        <w:spacing w:after="0" w:line="155"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4"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36" w:lineRule="exact"/>
        <w:rPr>
          <w:sz w:val="24"/>
          <w:szCs w:val="24"/>
          <w:color w:val="auto"/>
        </w:rPr>
      </w:pPr>
    </w:p>
    <w:p>
      <w:pPr>
        <w:spacing w:after="0" w:line="277" w:lineRule="auto"/>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spacing w:after="0" w:line="10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2" w:lineRule="exact"/>
        <w:rPr>
          <w:sz w:val="24"/>
          <w:szCs w:val="24"/>
          <w:color w:val="auto"/>
        </w:rPr>
      </w:pPr>
    </w:p>
    <w:p>
      <w:pPr>
        <w:spacing w:after="0" w:line="226" w:lineRule="auto"/>
        <w:rPr>
          <w:sz w:val="20"/>
          <w:szCs w:val="20"/>
          <w:color w:val="auto"/>
        </w:rPr>
      </w:pPr>
      <w:r>
        <w:rPr>
          <w:rFonts w:ascii="Arial" w:cs="Arial" w:eastAsia="Arial" w:hAnsi="Arial"/>
          <w:sz w:val="13"/>
          <w:szCs w:val="13"/>
          <w:color w:val="auto"/>
        </w:rPr>
        <w:t>The aggregate market value of the voting and non-voting stock held by non-affiliates of the registrant, as of June 30, 2022, the last business day of the registrant’s recently completed second fiscal quarter, was approximately $753.0 million based upon the closing price reported for such date on the New York Stock Exchange.</w:t>
      </w:r>
    </w:p>
    <w:p>
      <w:pPr>
        <w:spacing w:after="0" w:line="56"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24, 2023, there were 157,418,770 shares of the registrant’s Class A common stock outstanding and 217,053,757 shares of the registrant’s Class B common stock outstanding.</w:t>
      </w:r>
    </w:p>
    <w:p>
      <w:pPr>
        <w:spacing w:after="0" w:line="63"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7" w:lineRule="exact"/>
        <w:rPr>
          <w:sz w:val="24"/>
          <w:szCs w:val="24"/>
          <w:color w:val="auto"/>
        </w:rPr>
      </w:pPr>
    </w:p>
    <w:p>
      <w:pPr>
        <w:ind w:right="500"/>
        <w:spacing w:after="0" w:line="249" w:lineRule="auto"/>
        <w:rPr>
          <w:sz w:val="20"/>
          <w:szCs w:val="20"/>
          <w:color w:val="auto"/>
        </w:rPr>
      </w:pPr>
      <w:r>
        <w:rPr>
          <w:rFonts w:ascii="Arial" w:cs="Arial" w:eastAsia="Arial" w:hAnsi="Arial"/>
          <w:sz w:val="12"/>
          <w:szCs w:val="12"/>
          <w:color w:val="auto"/>
        </w:rPr>
        <w:t>Information required in responses to Part III of Form 10-K is hereby incorporated by reference to portions of the Registrant’s Proxy Statement for the Annual Meeting of Stockholders to be held in 2023. The Proxy Statement will be filed by the Registrant with the Securities and Exchange Commission no later than 120 days after the end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1049020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20" w:type="dxa"/>
            <w:vAlign w:val="bottom"/>
            <w:gridSpan w:val="12"/>
          </w:tcPr>
          <w:p>
            <w:pPr>
              <w:ind w:left="52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3"/>
        </w:trPr>
        <w:tc>
          <w:tcPr>
            <w:tcW w:w="10240" w:type="dxa"/>
            <w:vAlign w:val="bottom"/>
            <w:gridSpan w:val="31"/>
          </w:tcPr>
          <w:p>
            <w:pPr>
              <w:spacing w:after="0" w:line="182" w:lineRule="exact"/>
              <w:rPr>
                <w:sz w:val="20"/>
                <w:szCs w:val="20"/>
                <w:color w:val="auto"/>
              </w:rPr>
            </w:pPr>
            <w:r>
              <w:rPr>
                <w:rFonts w:ascii="Arial" w:cs="Arial" w:eastAsia="Arial" w:hAnsi="Arial"/>
                <w:sz w:val="18"/>
                <w:szCs w:val="18"/>
                <w:color w:val="0000FF"/>
              </w:rPr>
              <w:t>Special Note Regarding Forward-Looking Statements</w:t>
            </w:r>
          </w:p>
        </w:tc>
        <w:tc>
          <w:tcPr>
            <w:tcW w:w="540" w:type="dxa"/>
            <w:vAlign w:val="bottom"/>
            <w:gridSpan w:val="2"/>
          </w:tcPr>
          <w:p>
            <w:pPr>
              <w:jc w:val="center"/>
              <w:ind w:left="350"/>
              <w:spacing w:after="0" w:line="182" w:lineRule="exact"/>
              <w:rPr>
                <w:sz w:val="20"/>
                <w:szCs w:val="20"/>
                <w:color w:val="auto"/>
              </w:rPr>
            </w:pPr>
            <w:r>
              <w:rPr>
                <w:rFonts w:ascii="Arial" w:cs="Arial" w:eastAsia="Arial" w:hAnsi="Arial"/>
                <w:sz w:val="18"/>
                <w:szCs w:val="18"/>
                <w:color w:val="0000FF"/>
                <w:w w:val="99"/>
              </w:rPr>
              <w:t>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0"/>
              </w:rPr>
              <w:t>Risk Factor Summary</w:t>
            </w:r>
          </w:p>
        </w:tc>
        <w:tc>
          <w:tcPr>
            <w:tcW w:w="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8"/>
                <w:szCs w:val="18"/>
                <w:color w:val="0000FF"/>
                <w:w w:val="99"/>
              </w:rPr>
              <w:t>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8"/>
              </w:rPr>
              <w:t>PART I</w:t>
            </w:r>
          </w:p>
        </w:tc>
        <w:tc>
          <w:tcPr>
            <w:tcW w:w="98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gridSpan w:val="5"/>
          </w:tcPr>
          <w:p>
            <w:pPr>
              <w:spacing w:after="0"/>
              <w:rPr>
                <w:sz w:val="20"/>
                <w:szCs w:val="20"/>
                <w:color w:val="auto"/>
              </w:rPr>
            </w:pPr>
            <w:r>
              <w:rPr>
                <w:rFonts w:ascii="Arial" w:cs="Arial" w:eastAsia="Arial" w:hAnsi="Arial"/>
                <w:sz w:val="18"/>
                <w:szCs w:val="18"/>
                <w:color w:val="auto"/>
              </w:rPr>
              <w:t>Item 1.</w:t>
            </w:r>
          </w:p>
        </w:tc>
        <w:tc>
          <w:tcPr>
            <w:tcW w:w="80" w:type="dxa"/>
            <w:vAlign w:val="bottom"/>
          </w:tcPr>
          <w:p>
            <w:pPr>
              <w:spacing w:after="0"/>
              <w:rPr>
                <w:sz w:val="18"/>
                <w:szCs w:val="18"/>
                <w:color w:val="auto"/>
              </w:rPr>
            </w:pPr>
          </w:p>
        </w:tc>
        <w:tc>
          <w:tcPr>
            <w:tcW w:w="8580" w:type="dxa"/>
            <w:vAlign w:val="bottom"/>
            <w:gridSpan w:val="25"/>
          </w:tcPr>
          <w:p>
            <w:pPr>
              <w:spacing w:after="0"/>
              <w:rPr>
                <w:sz w:val="20"/>
                <w:szCs w:val="20"/>
                <w:color w:val="auto"/>
              </w:rPr>
            </w:pPr>
            <w:r>
              <w:rPr>
                <w:rFonts w:ascii="Arial" w:cs="Arial" w:eastAsia="Arial" w:hAnsi="Arial"/>
                <w:sz w:val="18"/>
                <w:szCs w:val="18"/>
                <w:color w:val="0000FF"/>
              </w:rPr>
              <w:t>Business</w:t>
            </w:r>
          </w:p>
        </w:tc>
        <w:tc>
          <w:tcPr>
            <w:tcW w:w="540" w:type="dxa"/>
            <w:vAlign w:val="bottom"/>
            <w:gridSpan w:val="2"/>
          </w:tcPr>
          <w:p>
            <w:pPr>
              <w:jc w:val="center"/>
              <w:ind w:left="350"/>
              <w:spacing w:after="0"/>
              <w:rPr>
                <w:sz w:val="20"/>
                <w:szCs w:val="20"/>
                <w:color w:val="auto"/>
              </w:rPr>
            </w:pPr>
            <w:r>
              <w:rPr>
                <w:rFonts w:ascii="Arial" w:cs="Arial" w:eastAsia="Arial" w:hAnsi="Arial"/>
                <w:sz w:val="18"/>
                <w:szCs w:val="18"/>
                <w:color w:val="0000FF"/>
                <w:w w:val="99"/>
              </w:rPr>
              <w:t>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80" w:type="dxa"/>
            <w:vAlign w:val="bottom"/>
          </w:tcPr>
          <w:p>
            <w:pPr>
              <w:spacing w:after="0"/>
              <w:rPr>
                <w:sz w:val="18"/>
                <w:szCs w:val="18"/>
                <w:color w:val="auto"/>
              </w:rPr>
            </w:pPr>
          </w:p>
        </w:tc>
        <w:tc>
          <w:tcPr>
            <w:tcW w:w="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Risk Factors</w:t>
            </w:r>
          </w:p>
        </w:tc>
        <w:tc>
          <w:tcPr>
            <w:tcW w:w="7660" w:type="dxa"/>
            <w:vAlign w:val="bottom"/>
            <w:gridSpan w:val="21"/>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80" w:type="dxa"/>
            <w:vAlign w:val="bottom"/>
          </w:tcPr>
          <w:p>
            <w:pPr>
              <w:spacing w:after="0"/>
              <w:rPr>
                <w:sz w:val="18"/>
                <w:szCs w:val="18"/>
                <w:color w:val="auto"/>
              </w:rPr>
            </w:pPr>
          </w:p>
        </w:tc>
        <w:tc>
          <w:tcPr>
            <w:tcW w:w="20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Unresolved Staff Comments</w:t>
            </w:r>
          </w:p>
        </w:tc>
        <w:tc>
          <w:tcPr>
            <w:tcW w:w="6520" w:type="dxa"/>
            <w:vAlign w:val="bottom"/>
            <w:gridSpan w:val="16"/>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80" w:type="dxa"/>
            <w:vAlign w:val="bottom"/>
          </w:tcPr>
          <w:p>
            <w:pPr>
              <w:spacing w:after="0"/>
              <w:rPr>
                <w:sz w:val="18"/>
                <w:szCs w:val="18"/>
                <w:color w:val="auto"/>
              </w:rPr>
            </w:pPr>
          </w:p>
        </w:tc>
        <w:tc>
          <w:tcPr>
            <w:tcW w:w="7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7"/>
              </w:rPr>
              <w:t>Properties</w:t>
            </w:r>
          </w:p>
        </w:tc>
        <w:tc>
          <w:tcPr>
            <w:tcW w:w="7840" w:type="dxa"/>
            <w:vAlign w:val="bottom"/>
            <w:gridSpan w:val="22"/>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80" w:type="dxa"/>
            <w:vAlign w:val="bottom"/>
          </w:tcPr>
          <w:p>
            <w:pPr>
              <w:spacing w:after="0"/>
              <w:rPr>
                <w:sz w:val="18"/>
                <w:szCs w:val="18"/>
                <w:color w:val="auto"/>
              </w:rPr>
            </w:pPr>
          </w:p>
        </w:tc>
        <w:tc>
          <w:tcPr>
            <w:tcW w:w="8580" w:type="dxa"/>
            <w:vAlign w:val="bottom"/>
            <w:gridSpan w:val="25"/>
          </w:tcPr>
          <w:p>
            <w:pPr>
              <w:spacing w:after="0"/>
              <w:rPr>
                <w:sz w:val="20"/>
                <w:szCs w:val="20"/>
                <w:color w:val="auto"/>
              </w:rPr>
            </w:pPr>
            <w:r>
              <w:rPr>
                <w:rFonts w:ascii="Arial" w:cs="Arial" w:eastAsia="Arial" w:hAnsi="Arial"/>
                <w:sz w:val="18"/>
                <w:szCs w:val="18"/>
                <w:color w:val="0000FF"/>
              </w:rPr>
              <w:t>Legal Proceedings</w:t>
            </w: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0" w:type="dxa"/>
            <w:vAlign w:val="bottom"/>
          </w:tcPr>
          <w:p>
            <w:pPr>
              <w:spacing w:after="0"/>
              <w:rPr>
                <w:sz w:val="18"/>
                <w:szCs w:val="18"/>
                <w:color w:val="auto"/>
              </w:rPr>
            </w:pPr>
          </w:p>
        </w:tc>
        <w:tc>
          <w:tcPr>
            <w:tcW w:w="1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Mine Safety Disclosures</w:t>
            </w:r>
          </w:p>
        </w:tc>
        <w:tc>
          <w:tcPr>
            <w:tcW w:w="6800" w:type="dxa"/>
            <w:vAlign w:val="bottom"/>
            <w:gridSpan w:val="18"/>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80" w:type="dxa"/>
            <w:vAlign w:val="bottom"/>
          </w:tcPr>
          <w:p>
            <w:pPr>
              <w:spacing w:after="0"/>
              <w:rPr>
                <w:sz w:val="18"/>
                <w:szCs w:val="18"/>
                <w:color w:val="auto"/>
              </w:rPr>
            </w:pPr>
          </w:p>
        </w:tc>
        <w:tc>
          <w:tcPr>
            <w:tcW w:w="8580" w:type="dxa"/>
            <w:vAlign w:val="bottom"/>
            <w:gridSpan w:val="25"/>
            <w:vMerge w:val="restart"/>
          </w:tcPr>
          <w:p>
            <w:pPr>
              <w:spacing w:after="0"/>
              <w:rPr>
                <w:sz w:val="20"/>
                <w:szCs w:val="20"/>
                <w:color w:val="auto"/>
              </w:rPr>
            </w:pPr>
            <w:r>
              <w:rPr>
                <w:rFonts w:ascii="Arial" w:cs="Arial" w:eastAsia="Arial" w:hAnsi="Arial"/>
                <w:sz w:val="18"/>
                <w:szCs w:val="18"/>
                <w:color w:val="0000FF"/>
                <w:w w:val="98"/>
              </w:rPr>
              <w:t>Item 5. Market for Registrant’s Common Equity, Related Stockholder Matters and Issuer Purchases of Equity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Borders>
              <w:top w:val="single" w:sz="8" w:color="0000FF"/>
            </w:tcBorders>
            <w:gridSpan w:val="2"/>
            <w:vMerge w:val="restart"/>
          </w:tcPr>
          <w:p>
            <w:pPr>
              <w:spacing w:after="0"/>
              <w:rPr>
                <w:sz w:val="20"/>
                <w:szCs w:val="20"/>
                <w:color w:val="auto"/>
              </w:rPr>
            </w:pPr>
            <w:r>
              <w:rPr>
                <w:rFonts w:ascii="Arial" w:cs="Arial" w:eastAsia="Arial" w:hAnsi="Arial"/>
                <w:sz w:val="18"/>
                <w:szCs w:val="18"/>
                <w:color w:val="auto"/>
              </w:rPr>
              <w:t>Item 5.</w:t>
            </w:r>
          </w:p>
        </w:tc>
        <w:tc>
          <w:tcPr>
            <w:tcW w:w="920" w:type="dxa"/>
            <w:vAlign w:val="bottom"/>
            <w:gridSpan w:val="3"/>
            <w:vMerge w:val="restart"/>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5"/>
            <w:vMerge w:val="continue"/>
          </w:tcPr>
          <w:p>
            <w:pPr>
              <w:spacing w:after="0"/>
              <w:rPr>
                <w:sz w:val="18"/>
                <w:szCs w:val="18"/>
                <w:color w:val="auto"/>
              </w:rPr>
            </w:pPr>
          </w:p>
        </w:tc>
        <w:tc>
          <w:tcPr>
            <w:tcW w:w="440" w:type="dxa"/>
            <w:vAlign w:val="bottom"/>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Arial" w:cs="Arial" w:eastAsia="Arial" w:hAnsi="Arial"/>
                <w:sz w:val="17"/>
                <w:szCs w:val="17"/>
                <w:color w:val="0000FF"/>
                <w:w w:val="73"/>
              </w:rPr>
              <w:t>43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60" w:type="dxa"/>
            <w:vAlign w:val="bottom"/>
            <w:tcBorders>
              <w:top w:val="single" w:sz="8" w:color="0000FF"/>
            </w:tcBorders>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Securities</w:t>
            </w:r>
          </w:p>
        </w:tc>
        <w:tc>
          <w:tcPr>
            <w:tcW w:w="6520" w:type="dxa"/>
            <w:vAlign w:val="bottom"/>
            <w:tcBorders>
              <w:top w:val="single" w:sz="8" w:color="0000FF"/>
            </w:tcBorders>
            <w:gridSpan w:val="17"/>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 w:type="dxa"/>
            <w:vAlign w:val="bottom"/>
          </w:tcPr>
          <w:p>
            <w:pPr>
              <w:spacing w:after="0"/>
              <w:rPr>
                <w:sz w:val="18"/>
                <w:szCs w:val="18"/>
                <w:color w:val="auto"/>
              </w:rPr>
            </w:pPr>
          </w:p>
        </w:tc>
        <w:tc>
          <w:tcPr>
            <w:tcW w:w="13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Item 6. [Reserved]</w:t>
            </w:r>
          </w:p>
        </w:tc>
        <w:tc>
          <w:tcPr>
            <w:tcW w:w="7220" w:type="dxa"/>
            <w:vAlign w:val="bottom"/>
            <w:gridSpan w:val="19"/>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44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80" w:type="dxa"/>
            <w:vAlign w:val="bottom"/>
          </w:tcPr>
          <w:p>
            <w:pPr>
              <w:spacing w:after="0"/>
              <w:rPr>
                <w:sz w:val="18"/>
                <w:szCs w:val="18"/>
                <w:color w:val="auto"/>
              </w:rPr>
            </w:pPr>
          </w:p>
        </w:tc>
        <w:tc>
          <w:tcPr>
            <w:tcW w:w="70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1"/>
              </w:rPr>
              <w:t>Item 7. Management’s Discussion and Analysis of Financial Condition and Results of Operations</w:t>
            </w:r>
          </w:p>
        </w:tc>
        <w:tc>
          <w:tcPr>
            <w:tcW w:w="1560" w:type="dxa"/>
            <w:vAlign w:val="bottom"/>
            <w:gridSpan w:val="4"/>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45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80" w:type="dxa"/>
            <w:vAlign w:val="bottom"/>
          </w:tcPr>
          <w:p>
            <w:pPr>
              <w:spacing w:after="0"/>
              <w:rPr>
                <w:sz w:val="18"/>
                <w:szCs w:val="18"/>
                <w:color w:val="auto"/>
              </w:rPr>
            </w:pPr>
          </w:p>
        </w:tc>
        <w:tc>
          <w:tcPr>
            <w:tcW w:w="8580" w:type="dxa"/>
            <w:vAlign w:val="bottom"/>
            <w:gridSpan w:val="25"/>
          </w:tcPr>
          <w:p>
            <w:pPr>
              <w:spacing w:after="0"/>
              <w:rPr>
                <w:sz w:val="20"/>
                <w:szCs w:val="20"/>
                <w:color w:val="auto"/>
              </w:rPr>
            </w:pPr>
            <w:r>
              <w:rPr>
                <w:rFonts w:ascii="Arial" w:cs="Arial" w:eastAsia="Arial" w:hAnsi="Arial"/>
                <w:sz w:val="18"/>
                <w:szCs w:val="18"/>
                <w:color w:val="0000FF"/>
              </w:rPr>
              <w:t>Item 7A. Quantitative and Qualitative Disclosures About Market Risk</w:t>
            </w: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57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80" w:type="dxa"/>
            <w:vAlign w:val="bottom"/>
          </w:tcPr>
          <w:p>
            <w:pPr>
              <w:spacing w:after="0"/>
              <w:rPr>
                <w:sz w:val="18"/>
                <w:szCs w:val="18"/>
                <w:color w:val="auto"/>
              </w:rPr>
            </w:pPr>
          </w:p>
        </w:tc>
        <w:tc>
          <w:tcPr>
            <w:tcW w:w="504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Item 8. Financial Statements and Supplementary Data</w:t>
            </w:r>
          </w:p>
        </w:tc>
        <w:tc>
          <w:tcPr>
            <w:tcW w:w="3540" w:type="dxa"/>
            <w:vAlign w:val="bottom"/>
            <w:gridSpan w:val="7"/>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8"/>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80" w:type="dxa"/>
            <w:vAlign w:val="bottom"/>
          </w:tcPr>
          <w:p>
            <w:pPr>
              <w:spacing w:after="0"/>
              <w:rPr>
                <w:sz w:val="18"/>
                <w:szCs w:val="18"/>
                <w:color w:val="auto"/>
              </w:rPr>
            </w:pPr>
          </w:p>
        </w:tc>
        <w:tc>
          <w:tcPr>
            <w:tcW w:w="8580" w:type="dxa"/>
            <w:vAlign w:val="bottom"/>
            <w:gridSpan w:val="25"/>
          </w:tcPr>
          <w:p>
            <w:pPr>
              <w:spacing w:after="0"/>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90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80" w:type="dxa"/>
            <w:vAlign w:val="bottom"/>
          </w:tcPr>
          <w:p>
            <w:pPr>
              <w:spacing w:after="0"/>
              <w:rPr>
                <w:sz w:val="18"/>
                <w:szCs w:val="18"/>
                <w:color w:val="auto"/>
              </w:rPr>
            </w:pPr>
          </w:p>
        </w:tc>
        <w:tc>
          <w:tcPr>
            <w:tcW w:w="246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89"/>
              </w:rPr>
              <w:t>Item 9A. Controls and Procedures</w:t>
            </w:r>
          </w:p>
        </w:tc>
        <w:tc>
          <w:tcPr>
            <w:tcW w:w="4600" w:type="dxa"/>
            <w:vAlign w:val="bottom"/>
            <w:tcBorders>
              <w:top w:val="single" w:sz="8" w:color="0000FF"/>
            </w:tcBorders>
            <w:gridSpan w:val="9"/>
          </w:tcPr>
          <w:p>
            <w:pPr>
              <w:spacing w:after="0"/>
              <w:rPr>
                <w:sz w:val="18"/>
                <w:szCs w:val="18"/>
                <w:color w:val="auto"/>
              </w:rPr>
            </w:pPr>
          </w:p>
        </w:tc>
        <w:tc>
          <w:tcPr>
            <w:tcW w:w="152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w w:val="73"/>
              </w:rPr>
              <w:t>90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80" w:type="dxa"/>
            <w:vAlign w:val="bottom"/>
          </w:tcPr>
          <w:p>
            <w:pPr>
              <w:spacing w:after="0"/>
              <w:rPr>
                <w:sz w:val="18"/>
                <w:szCs w:val="18"/>
                <w:color w:val="auto"/>
              </w:rPr>
            </w:pP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3"/>
              </w:rPr>
              <w:t>Item 9B. Other Information</w:t>
            </w:r>
          </w:p>
        </w:tc>
        <w:tc>
          <w:tcPr>
            <w:tcW w:w="6580" w:type="dxa"/>
            <w:vAlign w:val="bottom"/>
            <w:gridSpan w:val="17"/>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90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80" w:type="dxa"/>
            <w:vAlign w:val="bottom"/>
          </w:tcPr>
          <w:p>
            <w:pPr>
              <w:spacing w:after="0"/>
              <w:rPr>
                <w:sz w:val="18"/>
                <w:szCs w:val="18"/>
                <w:color w:val="auto"/>
              </w:rPr>
            </w:pPr>
          </w:p>
        </w:tc>
        <w:tc>
          <w:tcPr>
            <w:tcW w:w="8580" w:type="dxa"/>
            <w:vAlign w:val="bottom"/>
            <w:gridSpan w:val="25"/>
          </w:tcPr>
          <w:p>
            <w:pPr>
              <w:spacing w:after="0"/>
              <w:rPr>
                <w:sz w:val="20"/>
                <w:szCs w:val="20"/>
                <w:color w:val="auto"/>
              </w:rPr>
            </w:pPr>
            <w:r>
              <w:rPr>
                <w:rFonts w:ascii="Arial" w:cs="Arial" w:eastAsia="Arial" w:hAnsi="Arial"/>
                <w:sz w:val="18"/>
                <w:szCs w:val="18"/>
                <w:color w:val="0000FF"/>
              </w:rPr>
              <w:t>Item 9C. Disclosure Regarding Foreign Jurisdictions that Prevent Inspections</w:t>
            </w: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92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80" w:type="dxa"/>
            <w:vAlign w:val="bottom"/>
          </w:tcPr>
          <w:p>
            <w:pPr>
              <w:spacing w:after="0"/>
              <w:rPr>
                <w:sz w:val="18"/>
                <w:szCs w:val="18"/>
                <w:color w:val="auto"/>
              </w:rPr>
            </w:pPr>
          </w:p>
        </w:tc>
        <w:tc>
          <w:tcPr>
            <w:tcW w:w="8580" w:type="dxa"/>
            <w:vAlign w:val="bottom"/>
            <w:gridSpan w:val="25"/>
          </w:tcPr>
          <w:p>
            <w:pPr>
              <w:spacing w:after="0"/>
              <w:rPr>
                <w:sz w:val="20"/>
                <w:szCs w:val="20"/>
                <w:color w:val="auto"/>
              </w:rPr>
            </w:pPr>
            <w:r>
              <w:rPr>
                <w:rFonts w:ascii="Arial" w:cs="Arial" w:eastAsia="Arial" w:hAnsi="Arial"/>
                <w:sz w:val="18"/>
                <w:szCs w:val="18"/>
                <w:color w:val="0000FF"/>
              </w:rPr>
              <w:t>Item 10. Directors, Executive Officers and Corporate Governance</w:t>
            </w: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92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80" w:type="dxa"/>
            <w:vAlign w:val="bottom"/>
          </w:tcPr>
          <w:p>
            <w:pPr>
              <w:spacing w:after="0"/>
              <w:rPr>
                <w:sz w:val="18"/>
                <w:szCs w:val="18"/>
                <w:color w:val="auto"/>
              </w:rPr>
            </w:pPr>
          </w:p>
        </w:tc>
        <w:tc>
          <w:tcPr>
            <w:tcW w:w="474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Item 11. Executive Compensation</w:t>
            </w:r>
          </w:p>
        </w:tc>
        <w:tc>
          <w:tcPr>
            <w:tcW w:w="3840" w:type="dxa"/>
            <w:vAlign w:val="bottom"/>
            <w:gridSpan w:val="8"/>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92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80" w:type="dxa"/>
            <w:vAlign w:val="bottom"/>
          </w:tcPr>
          <w:p>
            <w:pPr>
              <w:spacing w:after="0"/>
              <w:rPr>
                <w:sz w:val="18"/>
                <w:szCs w:val="18"/>
                <w:color w:val="auto"/>
              </w:rPr>
            </w:pPr>
          </w:p>
        </w:tc>
        <w:tc>
          <w:tcPr>
            <w:tcW w:w="8580" w:type="dxa"/>
            <w:vAlign w:val="bottom"/>
            <w:gridSpan w:val="25"/>
          </w:tcPr>
          <w:p>
            <w:pPr>
              <w:spacing w:after="0"/>
              <w:rPr>
                <w:sz w:val="20"/>
                <w:szCs w:val="20"/>
                <w:color w:val="auto"/>
              </w:rPr>
            </w:pPr>
            <w:r>
              <w:rPr>
                <w:rFonts w:ascii="Arial" w:cs="Arial" w:eastAsia="Arial" w:hAnsi="Arial"/>
                <w:sz w:val="18"/>
                <w:szCs w:val="18"/>
                <w:color w:val="0000FF"/>
                <w:w w:val="98"/>
              </w:rPr>
              <w:t>Item 12. Security Ownership of Certain Beneficial Owners and Management and Related Stockholder Matters</w:t>
            </w: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92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80" w:type="dxa"/>
            <w:vAlign w:val="bottom"/>
          </w:tcPr>
          <w:p>
            <w:pPr>
              <w:spacing w:after="0"/>
              <w:rPr>
                <w:sz w:val="18"/>
                <w:szCs w:val="18"/>
                <w:color w:val="auto"/>
              </w:rPr>
            </w:pPr>
          </w:p>
        </w:tc>
        <w:tc>
          <w:tcPr>
            <w:tcW w:w="7940" w:type="dxa"/>
            <w:vAlign w:val="bottom"/>
            <w:tcBorders>
              <w:top w:val="single" w:sz="8" w:color="0000FF"/>
            </w:tcBorders>
            <w:gridSpan w:val="24"/>
          </w:tcPr>
          <w:p>
            <w:pPr>
              <w:spacing w:after="0"/>
              <w:rPr>
                <w:sz w:val="20"/>
                <w:szCs w:val="20"/>
                <w:color w:val="auto"/>
              </w:rPr>
            </w:pPr>
            <w:r>
              <w:rPr>
                <w:rFonts w:ascii="Arial" w:cs="Arial" w:eastAsia="Arial" w:hAnsi="Arial"/>
                <w:sz w:val="18"/>
                <w:szCs w:val="18"/>
                <w:color w:val="0000FF"/>
              </w:rPr>
              <w:t>Item 13. Certain Relationships and Related Transactions, and Director Independence</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92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80" w:type="dxa"/>
            <w:vAlign w:val="bottom"/>
          </w:tcPr>
          <w:p>
            <w:pPr>
              <w:spacing w:after="0"/>
              <w:rPr>
                <w:sz w:val="18"/>
                <w:szCs w:val="18"/>
                <w:color w:val="auto"/>
              </w:rPr>
            </w:pPr>
          </w:p>
        </w:tc>
        <w:tc>
          <w:tcPr>
            <w:tcW w:w="610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Item 14. Principal Accountant Fees and Services</w:t>
            </w:r>
          </w:p>
        </w:tc>
        <w:tc>
          <w:tcPr>
            <w:tcW w:w="2480" w:type="dxa"/>
            <w:vAlign w:val="bottom"/>
            <w:gridSpan w:val="5"/>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92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gridSpan w:val="5"/>
          </w:tcPr>
          <w:p>
            <w:pPr>
              <w:spacing w:after="0"/>
              <w:rPr>
                <w:sz w:val="20"/>
                <w:szCs w:val="20"/>
                <w:color w:val="auto"/>
              </w:rPr>
            </w:pPr>
            <w:r>
              <w:rPr>
                <w:rFonts w:ascii="Arial" w:cs="Arial" w:eastAsia="Arial" w:hAnsi="Arial"/>
                <w:sz w:val="18"/>
                <w:szCs w:val="18"/>
                <w:b w:val="1"/>
                <w:bCs w:val="1"/>
                <w:color w:val="0000FF"/>
              </w:rPr>
              <w:t>PART IV</w:t>
            </w:r>
          </w:p>
        </w:tc>
        <w:tc>
          <w:tcPr>
            <w:tcW w:w="8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5"/>
          </w:tcPr>
          <w:p>
            <w:pPr>
              <w:spacing w:after="0"/>
              <w:rPr>
                <w:sz w:val="20"/>
                <w:szCs w:val="20"/>
                <w:color w:val="auto"/>
              </w:rPr>
            </w:pPr>
            <w:r>
              <w:rPr>
                <w:rFonts w:ascii="Arial" w:cs="Arial" w:eastAsia="Arial" w:hAnsi="Arial"/>
                <w:sz w:val="18"/>
                <w:szCs w:val="18"/>
                <w:color w:val="0000FF"/>
              </w:rPr>
              <w:t>Item 15. Exhibits, Financial Statement Schedules</w:t>
            </w:r>
          </w:p>
        </w:tc>
        <w:tc>
          <w:tcPr>
            <w:tcW w:w="540" w:type="dxa"/>
            <w:vAlign w:val="bottom"/>
            <w:gridSpan w:val="2"/>
          </w:tcPr>
          <w:p>
            <w:pPr>
              <w:jc w:val="center"/>
              <w:ind w:left="270"/>
              <w:spacing w:after="0"/>
              <w:rPr>
                <w:sz w:val="20"/>
                <w:szCs w:val="20"/>
                <w:color w:val="auto"/>
              </w:rPr>
            </w:pPr>
            <w:r>
              <w:rPr>
                <w:rFonts w:ascii="Arial" w:cs="Arial" w:eastAsia="Arial" w:hAnsi="Arial"/>
                <w:sz w:val="18"/>
                <w:szCs w:val="18"/>
                <w:color w:val="0000FF"/>
                <w:w w:val="89"/>
              </w:rPr>
              <w:t>93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80" w:type="dxa"/>
            <w:vAlign w:val="bottom"/>
          </w:tcPr>
          <w:p>
            <w:pPr>
              <w:spacing w:after="0"/>
              <w:rPr>
                <w:sz w:val="18"/>
                <w:szCs w:val="18"/>
                <w:color w:val="auto"/>
              </w:rPr>
            </w:pPr>
          </w:p>
        </w:tc>
        <w:tc>
          <w:tcPr>
            <w:tcW w:w="354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Item 16. Form 10-K Summary</w:t>
            </w:r>
          </w:p>
        </w:tc>
        <w:tc>
          <w:tcPr>
            <w:tcW w:w="5040" w:type="dxa"/>
            <w:vAlign w:val="bottom"/>
            <w:gridSpan w:val="1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94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8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95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 “</w:t>
      </w:r>
      <w:r>
        <w:rPr>
          <w:rFonts w:ascii="Arial" w:cs="Arial" w:eastAsia="Arial" w:hAnsi="Arial"/>
          <w:sz w:val="18"/>
          <w:szCs w:val="18"/>
          <w:i w:val="1"/>
          <w:iCs w:val="1"/>
          <w:color w:val="auto"/>
        </w:rPr>
        <w:t>Key Business Metrics</w:t>
      </w:r>
      <w:r>
        <w:rPr>
          <w:rFonts w:ascii="Arial" w:cs="Arial" w:eastAsia="Arial" w:hAnsi="Arial"/>
          <w:sz w:val="18"/>
          <w:szCs w:val="18"/>
          <w:color w:val="auto"/>
        </w:rPr>
        <w:t>” and “</w:t>
      </w:r>
      <w:r>
        <w:rPr>
          <w:rFonts w:ascii="Arial" w:cs="Arial" w:eastAsia="Arial" w:hAnsi="Arial"/>
          <w:sz w:val="18"/>
          <w:szCs w:val="18"/>
          <w:i w:val="1"/>
          <w:iCs w:val="1"/>
          <w:color w:val="auto"/>
        </w:rPr>
        <w:t>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Measure</w:t>
      </w:r>
      <w:r>
        <w:rPr>
          <w:rFonts w:ascii="Arial" w:cs="Arial" w:eastAsia="Arial" w:hAnsi="Arial"/>
          <w:sz w:val="18"/>
          <w:szCs w:val="18"/>
          <w:color w:val="auto"/>
        </w:rPr>
        <w:t>” for the definitions of the following terms used in this Annual Report: “WAU,” “ARPU,” and “Adjusted EBITDA.”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Annual Report on Form 10-K (“Annual Report”) contains forward-looking statements within the meaning of the federal securities laws. All statements contained in this Annual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 “projects,” “plans,”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“targets,” and variations of such words and similar expressions are intended to identify forward-looking statements. Forward-looking statements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Annual Report may include, for example, statements about:</w:t>
      </w:r>
    </w:p>
    <w:p>
      <w:pPr>
        <w:spacing w:after="0" w:line="238"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including our ability to scale new neighbor growth, our ability to grow engagement by our existing neighbor base and our ability to increase monetization of our platform;</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 and monetization efforts;</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political, economic, and macroeconomic climate, whether in the advertising industry in general, or among specific types of advertisers or within particular geographies, including but not limited to the impacts related to labor shortages, supply chain disruptions, a potential recession, inflation, and rising interest rates;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expand our business operations abroad by opening new and expanding within existing neighborhoods outside of the United States;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growth effectively;</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invest in, and the ultimate success of, technologies aimed at enhancing our business solutions and delivering additional value to our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maintain profitability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sources of capital to finance operations and growth;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strategic relationships with third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Class A common stock on the New York Stock Exchange;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 both within and outside of the United States;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and complexities with compliance related to such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develop and maintain effective internal controls;</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as a result of interruptions, delays, or failures resulting from earthquakes, fires, floods, adverse weather conditions, other natural disasters, power loss, terrorism, pandemics, geopolitical conflict (including the war in Ukraine), other physical security threats, cyber-attacks, or other catastrophic events;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detailed in Part I, Item 1A, “Risk Factors” in this Annual Report.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long-term business operations and objectives, and financial needs. These forward-looking statements are subject to a number of risks, uncertainties and assumptions, including those described in Part I, Item 1A, “Risk Factors” in this Annual Report. Readers are urged to carefully review and consider the various disclosures made in this Annual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Annual Report may not occur and actual results could differ materially and adversely from those anticipated or implied in the forward-looking statements.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Annual Report are made as of the date of this filing, and we do not undertake, and expressly disclaim any duty, to update such statements for any reason after the date of this Annual Report or to conform statements to actual results or revised expectations, except as required by law.</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You should read this Annual Report and the documents that we reference herein and have filed with the SEC as exhibits to this Annual Report with the understanding that our actual future results, performance, and events and circumstances may be materially different from what we expect.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in this Annual Report, the terms “Nextdoor,” “we,” “us,” and “our” mean Nextdoor Holdings,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You should carefully consider these risks and uncertainties when investing in our Class A common stock. Some of the principal risks and uncertainties include the following:</w:t>
      </w:r>
    </w:p>
    <w:p>
      <w:pPr>
        <w:spacing w:after="0" w:line="116" w:lineRule="exact"/>
        <w:rPr>
          <w:sz w:val="20"/>
          <w:szCs w:val="20"/>
          <w:color w:val="auto"/>
        </w:rPr>
      </w:pPr>
    </w:p>
    <w:p>
      <w:pPr>
        <w:ind w:left="660" w:hanging="328"/>
        <w:spacing w:after="0" w:line="324"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69"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Adverse global economic and financial conditions could harm our business and financial condition.</w:t>
      </w:r>
    </w:p>
    <w:p>
      <w:pPr>
        <w:spacing w:after="0" w:line="215" w:lineRule="exact"/>
        <w:rPr>
          <w:rFonts w:ascii="Arial" w:cs="Arial" w:eastAsia="Arial" w:hAnsi="Arial"/>
          <w:sz w:val="22"/>
          <w:szCs w:val="22"/>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generate substantially all of our revenue from advertising. If advertisers reduce or eliminate their spending with us, our business, operating results, and financial condition would be adversely impacted.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highly competitive. Competition presents an ongoing threat to the success of our business.</w:t>
      </w:r>
    </w:p>
    <w:p>
      <w:pPr>
        <w:spacing w:after="0" w:line="238" w:lineRule="exact"/>
        <w:rPr>
          <w:rFonts w:ascii="Arial" w:cs="Arial" w:eastAsia="Arial" w:hAnsi="Arial"/>
          <w:sz w:val="18"/>
          <w:szCs w:val="18"/>
          <w:color w:val="auto"/>
        </w:rPr>
      </w:pPr>
    </w:p>
    <w:p>
      <w:pPr>
        <w:jc w:val="both"/>
        <w:ind w:left="660" w:right="20" w:hanging="328"/>
        <w:spacing w:after="0"/>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216"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spacing w:after="0" w:line="151" w:lineRule="exact"/>
        <w:rPr>
          <w:rFonts w:ascii="Arial" w:cs="Arial" w:eastAsia="Arial" w:hAnsi="Arial"/>
          <w:sz w:val="16"/>
          <w:szCs w:val="16"/>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efforts to build strong brand identity and reputation are not successful, we may not be able to attract or retain neighbors, and our business, operating results, and financial condition will be adversely affected.</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need additional capital in the future, it may not be available on favorable terms, if at all.</w:t>
      </w:r>
    </w:p>
    <w:p>
      <w:pPr>
        <w:spacing w:after="0" w:line="238"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208"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dependent on third-party software and service providers, including the Google Ad Manager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199" w:lineRule="exact"/>
        <w:rPr>
          <w:rFonts w:ascii="Arial" w:cs="Arial" w:eastAsia="Arial" w:hAnsi="Arial"/>
          <w:sz w:val="17"/>
          <w:szCs w:val="17"/>
          <w:color w:val="auto"/>
        </w:rPr>
      </w:pPr>
    </w:p>
    <w:p>
      <w:pPr>
        <w:jc w:val="both"/>
        <w:ind w:left="660" w:hanging="328"/>
        <w:spacing w:after="0" w:line="24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20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Technologies have been developed that can block the display of advertisements on the Nextdoor platform, which could adversely impact our business, operating results, and financial condition.</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9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our market opportunities and key metric estimates could prove to be inaccurate, and any real or perceived inaccuracies may harm our reputation and negatively affect our business.</w:t>
      </w:r>
    </w:p>
    <w:p>
      <w:pPr>
        <w:spacing w:after="0" w:line="197"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have greater than anticipated tax liabilities, which could harm our business, revenue and financial results.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liable as a result of content or information that is published or made available on our platform.</w:t>
      </w:r>
    </w:p>
    <w:p>
      <w:pPr>
        <w:spacing w:after="0" w:line="157"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is subject to complex and evolving U.S. and foreign laws, regulations, and industry standards, many of which are subject to change and uncertain interpretations, which uncertainty could harm our business, operating results, and financial conditions.</w:t>
      </w:r>
    </w:p>
    <w:p>
      <w:pPr>
        <w:spacing w:after="0" w:line="160" w:lineRule="exact"/>
        <w:rPr>
          <w:rFonts w:ascii="Arial" w:cs="Arial" w:eastAsia="Arial" w:hAnsi="Arial"/>
          <w:sz w:val="17"/>
          <w:szCs w:val="17"/>
          <w:color w:val="auto"/>
        </w:rPr>
      </w:pPr>
    </w:p>
    <w:p>
      <w:pPr>
        <w:ind w:left="660" w:right="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could be involved in legal disputes that are expensive and time consuming, and, if resolved adversely, could harm our business, operating results, and financial condition.</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effective systems of internal controls and disclosure controls could have a material adverse effect on our business, operating results, and financial condition.</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brands and other intangible assets may be diminished, and our business, operating results, and financial condition may be adversely affected.</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parties may claim that our platform infringes their intellectual property rights and this may create liability for us or otherwise adversely affect our business, operating results, and financial condition.</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“open source” software could subject us to possible litigation or could prevent us from offering products that include open source software or require us to obtain licenses on unfavorable terms.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license technology from third parties, and our inability to maintain those licenses could harm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Class A common stock has been and may continue to be volatile.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may adversely affect the trading market for our Class A common stock.</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intend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At Nextdoor, our purpose is to cultivate a kinder world where everyone has a neighborhood they can rely on. Nextdoor is the neighborhood network that connects neighborhood stakeholders, including neighbors, businesses and public services, online and in real life to build stronger, more vibrant, and resilient neighborhoods. As of December 31, 2022, Nextdoor was in more than 305,000 neighborhoods around the world and in 1 in 3 households in the United States, and during the fourth quarter of 2022, we reached 78 million global Verified Neighbors</w:t>
      </w:r>
      <w:r>
        <w:rPr>
          <w:rFonts w:ascii="Arial" w:cs="Arial" w:eastAsia="Arial" w:hAnsi="Arial"/>
          <w:sz w:val="20"/>
          <w:szCs w:val="20"/>
          <w:color w:val="auto"/>
          <w:vertAlign w:val="superscript"/>
        </w:rPr>
        <w:t>1</w:t>
      </w:r>
      <w:r>
        <w:rPr>
          <w:rFonts w:ascii="Arial" w:cs="Arial" w:eastAsia="Arial" w:hAnsi="Arial"/>
          <w:sz w:val="16"/>
          <w:szCs w:val="16"/>
          <w:color w:val="auto"/>
        </w:rPr>
        <w:t>. Nextdoor is built on the power of hyperlocal community. Neighbors and organizations, which include small and mid-sized businesses, large brands, public agencies, and nonprofits, around the world turn to Nextdoor to receive trusted information, give and get help, and build real-world connections with neighborhood stakeholders.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Nextdoor began in the United States, and as of December 31, 2022, our platform was available in 11 countries. Beyond the United States, Nextdoor supports neighborhoods in the United Kingdom, Canada, Australia, Netherlands, France, Spain, Italy, Germany, Sweden, and Denmark. In the United Kingdom, as of December 31, 2022, Nextdoor was in 1 in 4 households, and 1 in 3 households in London. We intend to expand our neighbor footprint globally and to increasingly become a weekly use case for neighbors.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for Neighbors and Organizations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for Neighbors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Neighbors come to Nextdoor to connect to the neighborhoods that matter to them so they can belong. We leverage technology to enable online and real-world connections between neighbors and organizations — both of which are a valuable part of the neighborhood ecosystem. Nextdoor ensures neighbors are connected to real people by requiring neighbors to use their real name and address, which fosters a trusted environment so they can meet and learn more about those nearby. Further, since the experience is based on geographical location, Nextdoor uniquely provides a way to bring online connections into the real world.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for Organizations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Nextdoor connects neighbors with each other and everything nearby, including organizations. Organizations are essential for building strong, vibrant neighborhoods and are a trusted and core member of the community. Businesses of all sizes and types come to Nextdoor to build their reputation and reach their customers in meaningful ways and to encourage action through hyperlocal targeting and personalization of advertising at scale. Public agencies come to Nextdoor to deliver critical information to neighbors with hyperlocal distribution. Businesses and public agencies also leverage Nextdoor to find out what is important to the neighbors in the local community and to communicate with them directly. This includes keeping neighbors apprised about everything from local events, such as restaurant launches and street fairs, to empowering businesses to build their reputation in their local communities. Nextdoor helps public agencies create meaningful connections with the neighborhoods they serve by enabling them to provide timely updates, and alerts and tips to stay safe and protected during times of crisis, such as power outages, storms, or wildfires.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Nextdoor’s product strategy fulfills our purpose by enabling neighbors and organizations to build an “</w:t>
      </w:r>
      <w:r>
        <w:rPr>
          <w:rFonts w:ascii="Arial" w:cs="Arial" w:eastAsia="Arial" w:hAnsi="Arial"/>
          <w:sz w:val="18"/>
          <w:szCs w:val="18"/>
          <w:b w:val="1"/>
          <w:bCs w:val="1"/>
          <w:color w:val="auto"/>
        </w:rPr>
        <w:t>Active Valued Community</w:t>
      </w:r>
      <w:r>
        <w:rPr>
          <w:rFonts w:ascii="Arial" w:cs="Arial" w:eastAsia="Arial" w:hAnsi="Arial"/>
          <w:sz w:val="18"/>
          <w:szCs w:val="18"/>
          <w:color w:val="auto"/>
        </w:rPr>
        <w:t>” — an engaged community of neighbors, businesses and public services that you can trust and depend on to exchange valuable information, goods, and services. Nextdoor is a high-utility platform, offering distinct functionalities and experiences for neighbors and organizations alike.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neighbors discover what's happening nearby</w:t>
      </w:r>
    </w:p>
    <w:p>
      <w:pPr>
        <w:spacing w:after="0" w:line="167" w:lineRule="exact"/>
        <w:rPr>
          <w:sz w:val="20"/>
          <w:szCs w:val="20"/>
          <w:color w:val="auto"/>
        </w:rPr>
      </w:pPr>
    </w:p>
    <w:p>
      <w:pPr>
        <w:jc w:val="both"/>
        <w:ind w:left="66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Newsfeed: </w:t>
      </w:r>
      <w:r>
        <w:rPr>
          <w:rFonts w:ascii="Arial" w:cs="Arial" w:eastAsia="Arial" w:hAnsi="Arial"/>
          <w:sz w:val="18"/>
          <w:szCs w:val="18"/>
          <w:color w:val="auto"/>
        </w:rPr>
        <w:t>The Newsfeed is where neighbors find constantly updated posts, discussions, photos, and links from other neighbors and 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Neighbors can respond by commenting or adding a reaction (e.g., like, thank, and wow), and can set their feed preferences (e.g., rank by top posts, recent activity, recent posts, or popular everywhere).</w:t>
      </w:r>
    </w:p>
    <w:p>
      <w:pPr>
        <w:spacing w:after="0" w:line="121" w:lineRule="exact"/>
        <w:rPr>
          <w:rFonts w:ascii="Arial" w:cs="Arial" w:eastAsia="Arial" w:hAnsi="Arial"/>
          <w:sz w:val="18"/>
          <w:szCs w:val="18"/>
          <w:color w:val="auto"/>
        </w:rPr>
      </w:pPr>
    </w:p>
    <w:p>
      <w:pPr>
        <w:ind w:left="660" w:right="14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Discover</w:t>
      </w:r>
      <w:r>
        <w:rPr>
          <w:rFonts w:ascii="Arial" w:cs="Arial" w:eastAsia="Arial" w:hAnsi="Arial"/>
          <w:sz w:val="18"/>
          <w:szCs w:val="18"/>
          <w:color w:val="auto"/>
        </w:rPr>
        <w:t>: The Discover tab and improved navigation bar, both launched in the second quarter of 2022, complement the Newsfeed and allow</w:t>
      </w:r>
      <w:r>
        <w:rPr>
          <w:rFonts w:ascii="Arial" w:cs="Arial" w:eastAsia="Arial" w:hAnsi="Arial"/>
          <w:sz w:val="18"/>
          <w:szCs w:val="18"/>
          <w:b w:val="1"/>
          <w:bCs w:val="1"/>
          <w:color w:val="auto"/>
        </w:rPr>
        <w:t xml:space="preserve"> </w:t>
      </w:r>
      <w:r>
        <w:rPr>
          <w:rFonts w:ascii="Arial" w:cs="Arial" w:eastAsia="Arial" w:hAnsi="Arial"/>
          <w:sz w:val="18"/>
          <w:szCs w:val="18"/>
          <w:color w:val="auto"/>
        </w:rPr>
        <w:t>neighbors to find nearby Groups, neighbors, businesses and Events nearby, leveraging a nativized maps surface designed to promote on-platform to off-platform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7" w:lineRule="exact"/>
        <w:rPr>
          <w:sz w:val="20"/>
          <w:szCs w:val="20"/>
          <w:color w:val="auto"/>
        </w:rPr>
      </w:pPr>
    </w:p>
    <w:p>
      <w:pPr>
        <w:ind w:left="100" w:hanging="92"/>
        <w:spacing w:after="0"/>
        <w:tabs>
          <w:tab w:leader="none" w:pos="10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Verified Neighbors are individuals who have joined Nextdoor and completed the verification process for their account.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6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Notifications</w:t>
      </w:r>
      <w:r>
        <w:rPr>
          <w:rFonts w:ascii="Arial" w:cs="Arial" w:eastAsia="Arial" w:hAnsi="Arial"/>
          <w:sz w:val="18"/>
          <w:szCs w:val="18"/>
          <w:color w:val="auto"/>
        </w:rPr>
        <w:t>: In-app and Email Notifications inform neighbors about news, items, and activities they are interested in. Notifications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everything from trending posts to direct messages about items for sale to alerts by local public agencies. Notifications keep neighbors updated and drive increased engagement on Nextdoor.</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Search: </w:t>
      </w:r>
      <w:r>
        <w:rPr>
          <w:rFonts w:ascii="Arial" w:cs="Arial" w:eastAsia="Arial" w:hAnsi="Arial"/>
          <w:sz w:val="18"/>
          <w:szCs w:val="18"/>
          <w:color w:val="auto"/>
        </w:rPr>
        <w:t>Search gives neighbors the ability to find specific content and organizations (including large brands, small businesses, public agencies,</w:t>
      </w:r>
      <w:r>
        <w:rPr>
          <w:rFonts w:ascii="Arial" w:cs="Arial" w:eastAsia="Arial" w:hAnsi="Arial"/>
          <w:sz w:val="18"/>
          <w:szCs w:val="18"/>
          <w:b w:val="1"/>
          <w:bCs w:val="1"/>
          <w:color w:val="auto"/>
        </w:rPr>
        <w:t xml:space="preserve"> </w:t>
      </w:r>
      <w:r>
        <w:rPr>
          <w:rFonts w:ascii="Arial" w:cs="Arial" w:eastAsia="Arial" w:hAnsi="Arial"/>
          <w:sz w:val="18"/>
          <w:szCs w:val="18"/>
          <w:color w:val="auto"/>
        </w:rPr>
        <w:t>and nonprofits) related to their neighborhood. Nextdoor’s search combines an understanding of search terms with filtering capabilities to get neighbors the results they are looking for.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neighbors connect with organizations and find local resources</w:t>
      </w:r>
    </w:p>
    <w:p>
      <w:pPr>
        <w:spacing w:after="0" w:line="167" w:lineRule="exact"/>
        <w:rPr>
          <w:sz w:val="20"/>
          <w:szCs w:val="20"/>
          <w:color w:val="auto"/>
        </w:rPr>
      </w:pPr>
    </w:p>
    <w:p>
      <w:pPr>
        <w:jc w:val="both"/>
        <w:ind w:left="660" w:hanging="328"/>
        <w:spacing w:after="0" w:line="266"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Businesses: </w:t>
      </w:r>
      <w:r>
        <w:rPr>
          <w:rFonts w:ascii="Arial" w:cs="Arial" w:eastAsia="Arial" w:hAnsi="Arial"/>
          <w:sz w:val="18"/>
          <w:szCs w:val="18"/>
          <w:color w:val="auto"/>
        </w:rPr>
        <w:t>Neighbors use Nextdoor to discover spots most-loved by locals, leave recommendations, find exclusive deals and promotions,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 with businesses. In the third quarter of 2022, we launched Faves to allow neighbors to connect with and follow their favorite local businesses.</w:t>
      </w:r>
    </w:p>
    <w:p>
      <w:pPr>
        <w:spacing w:after="0" w:line="121" w:lineRule="exact"/>
        <w:rPr>
          <w:rFonts w:ascii="Arial" w:cs="Arial" w:eastAsia="Arial" w:hAnsi="Arial"/>
          <w:sz w:val="18"/>
          <w:szCs w:val="18"/>
          <w:b w:val="1"/>
          <w:bCs w:val="1"/>
          <w:color w:val="auto"/>
        </w:rPr>
      </w:pPr>
    </w:p>
    <w:p>
      <w:pPr>
        <w:ind w:left="660" w:right="20" w:hanging="328"/>
        <w:spacing w:after="0" w:line="28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Sale &amp; Free: </w:t>
      </w:r>
      <w:r>
        <w:rPr>
          <w:rFonts w:ascii="Arial" w:cs="Arial" w:eastAsia="Arial" w:hAnsi="Arial"/>
          <w:sz w:val="18"/>
          <w:szCs w:val="18"/>
          <w:color w:val="auto"/>
        </w:rPr>
        <w:t>For Sale &amp; Free is our truly local marketplace where neighbors buy, sell, or give away items, and offer services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babysitting and dog walking.</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Public Services: </w:t>
      </w:r>
      <w:r>
        <w:rPr>
          <w:rFonts w:ascii="Arial" w:cs="Arial" w:eastAsia="Arial" w:hAnsi="Arial"/>
          <w:sz w:val="18"/>
          <w:szCs w:val="18"/>
          <w:color w:val="auto"/>
        </w:rPr>
        <w:t>On Nextdoor, neighbors can receive critical, real-time information from trusted officials. Public agencies, including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and service providers, turn to Nextdoor directly, quickly, and easily reach neighbors in their community with hyperlocal information and alerts.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neighbors connect with other neighbors</w:t>
      </w:r>
    </w:p>
    <w:p>
      <w:pPr>
        <w:spacing w:after="0" w:line="167" w:lineRule="exact"/>
        <w:rPr>
          <w:sz w:val="20"/>
          <w:szCs w:val="20"/>
          <w:color w:val="auto"/>
        </w:rPr>
      </w:pPr>
    </w:p>
    <w:p>
      <w:pPr>
        <w:jc w:val="both"/>
        <w:ind w:left="660" w:hanging="328"/>
        <w:spacing w:after="0" w:line="26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Posts, Comments, and Reactions: </w:t>
      </w:r>
      <w:r>
        <w:rPr>
          <w:rFonts w:ascii="Arial" w:cs="Arial" w:eastAsia="Arial" w:hAnsi="Arial"/>
          <w:sz w:val="18"/>
          <w:szCs w:val="18"/>
          <w:color w:val="auto"/>
        </w:rPr>
        <w:t>Through posts, comments, and reactions neighbors can reach out to the neighborhood to get and give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that is locally relevant, trusted, and in real time. Whether it is for a local plumber or a family friendly pizza place, neighbors know best.</w:t>
      </w:r>
    </w:p>
    <w:p>
      <w:pPr>
        <w:spacing w:after="0" w:line="121"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Connections: </w:t>
      </w:r>
      <w:r>
        <w:rPr>
          <w:rFonts w:ascii="Arial" w:cs="Arial" w:eastAsia="Arial" w:hAnsi="Arial"/>
          <w:sz w:val="18"/>
          <w:szCs w:val="18"/>
          <w:color w:val="auto"/>
        </w:rPr>
        <w:t>Connections are how neighbors can find and keep up with other neighbors they know and care about. When neighbors connect with</w:t>
      </w:r>
      <w:r>
        <w:rPr>
          <w:rFonts w:ascii="Arial" w:cs="Arial" w:eastAsia="Arial" w:hAnsi="Arial"/>
          <w:sz w:val="18"/>
          <w:szCs w:val="18"/>
          <w:b w:val="1"/>
          <w:bCs w:val="1"/>
          <w:color w:val="auto"/>
        </w:rPr>
        <w:t xml:space="preserve"> </w:t>
      </w:r>
      <w:r>
        <w:rPr>
          <w:rFonts w:ascii="Arial" w:cs="Arial" w:eastAsia="Arial" w:hAnsi="Arial"/>
          <w:sz w:val="18"/>
          <w:szCs w:val="18"/>
          <w:color w:val="auto"/>
        </w:rPr>
        <w:t>each other, they will see each other’s posts, comments, and reactions highlighted in their feeds and have the ability to @mention them in posts and comments. The Neighbors You May Know feature recommends neighbors to connect with based on proximity, Connections in common, on-platform interactions, and personal contacts.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Groups: </w:t>
      </w:r>
      <w:r>
        <w:rPr>
          <w:rFonts w:ascii="Arial" w:cs="Arial" w:eastAsia="Arial" w:hAnsi="Arial"/>
          <w:sz w:val="18"/>
          <w:szCs w:val="18"/>
          <w:color w:val="auto"/>
        </w:rPr>
        <w:t>Neighbors can create Groups to connect with those nearby with a common interest.</w:t>
      </w:r>
    </w:p>
    <w:p>
      <w:pPr>
        <w:spacing w:after="0" w:line="17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Messaging: </w:t>
      </w:r>
      <w:r>
        <w:rPr>
          <w:rFonts w:ascii="Arial" w:cs="Arial" w:eastAsia="Arial" w:hAnsi="Arial"/>
          <w:sz w:val="18"/>
          <w:szCs w:val="18"/>
          <w:color w:val="auto"/>
        </w:rPr>
        <w:t>Neighbors can contact other neighbors and organizations through direct messaging (e.g., neighbors messaging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coordinating a time to pick up a desk, to borrow a printer, or get more information about a tutor).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Advertising Solutions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Nextdoor offers differentiated advertising solutions in a unique local context that allows advertisers of all sizes to reach the right neighbor, at the right time, with the right message. Nextdoor helps advertisers drive measurable outcomes by creating meaningful connections with a uniquely engaged local audience. Advertisers come to Nextdoor to connect to neighborhoods everywhere, delivering hyperlocal advertising at scale.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Advertisers can engage with their customers in multiple surfaces on our platform, including:</w:t>
      </w:r>
    </w:p>
    <w:p>
      <w:pPr>
        <w:spacing w:after="0" w:line="167" w:lineRule="exact"/>
        <w:rPr>
          <w:sz w:val="20"/>
          <w:szCs w:val="20"/>
          <w:color w:val="auto"/>
        </w:rPr>
      </w:pPr>
    </w:p>
    <w:p>
      <w:pPr>
        <w:jc w:val="both"/>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Newsfeed: </w:t>
      </w:r>
      <w:r>
        <w:rPr>
          <w:rFonts w:ascii="Arial" w:cs="Arial" w:eastAsia="Arial" w:hAnsi="Arial"/>
          <w:sz w:val="18"/>
          <w:szCs w:val="18"/>
          <w:color w:val="auto"/>
        </w:rPr>
        <w:t>Advertisers can run ads in the Newsfeed to build awareness, to become part of the consideration set for a consumer’s purchase,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create a direct response to an explicit call to action (e.g., visit our newly opened store). Ads are featured prominently where neighbors first look for what is happening on Nextdoor. Ads can also be customized (e.g., with neighborhood name and store location) to make them even more relevant.</w:t>
      </w:r>
    </w:p>
    <w:p>
      <w:pPr>
        <w:spacing w:after="0" w:line="125" w:lineRule="exact"/>
        <w:rPr>
          <w:rFonts w:ascii="Arial" w:cs="Arial" w:eastAsia="Arial" w:hAnsi="Arial"/>
          <w:sz w:val="18"/>
          <w:szCs w:val="18"/>
          <w:color w:val="auto"/>
        </w:rPr>
      </w:pPr>
    </w:p>
    <w:p>
      <w:pPr>
        <w:ind w:left="660" w:hanging="328"/>
        <w:spacing w:after="0" w:line="347"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In-App Digest and Email Digest: </w:t>
      </w:r>
      <w:r>
        <w:rPr>
          <w:rFonts w:ascii="Arial" w:cs="Arial" w:eastAsia="Arial" w:hAnsi="Arial"/>
          <w:sz w:val="16"/>
          <w:szCs w:val="16"/>
          <w:color w:val="auto"/>
        </w:rPr>
        <w:t>Advertisers can also use ads in the In-App Digest and Email Digest to create awareness among neighbors who</w:t>
      </w:r>
      <w:r>
        <w:rPr>
          <w:rFonts w:ascii="Arial" w:cs="Arial" w:eastAsia="Arial" w:hAnsi="Arial"/>
          <w:sz w:val="16"/>
          <w:szCs w:val="16"/>
          <w:b w:val="1"/>
          <w:bCs w:val="1"/>
          <w:color w:val="auto"/>
        </w:rPr>
        <w:t xml:space="preserve"> </w:t>
      </w:r>
      <w:r>
        <w:rPr>
          <w:rFonts w:ascii="Arial" w:cs="Arial" w:eastAsia="Arial" w:hAnsi="Arial"/>
          <w:sz w:val="16"/>
          <w:szCs w:val="16"/>
          <w:color w:val="auto"/>
        </w:rPr>
        <w:t>turn to their summary of top posts. Ads are highly visible, and neighborhood names and store locations can be customized by neighborhood.</w:t>
      </w:r>
    </w:p>
    <w:p>
      <w:pPr>
        <w:spacing w:after="0" w:line="61" w:lineRule="exact"/>
        <w:rPr>
          <w:rFonts w:ascii="Arial" w:cs="Arial" w:eastAsia="Arial" w:hAnsi="Arial"/>
          <w:sz w:val="16"/>
          <w:szCs w:val="16"/>
          <w:color w:val="auto"/>
        </w:rPr>
      </w:pPr>
    </w:p>
    <w:p>
      <w:pPr>
        <w:ind w:left="660" w:hanging="328"/>
        <w:spacing w:after="0" w:line="347"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For Sale &amp; Free: </w:t>
      </w:r>
      <w:r>
        <w:rPr>
          <w:rFonts w:ascii="Arial" w:cs="Arial" w:eastAsia="Arial" w:hAnsi="Arial"/>
          <w:sz w:val="16"/>
          <w:szCs w:val="16"/>
          <w:color w:val="auto"/>
        </w:rPr>
        <w:t>Advertisers can leverage ads in For Sale &amp; Free to drive action such as shop now. Our local marketplace is where neighbors</w:t>
      </w:r>
      <w:r>
        <w:rPr>
          <w:rFonts w:ascii="Arial" w:cs="Arial" w:eastAsia="Arial" w:hAnsi="Arial"/>
          <w:sz w:val="16"/>
          <w:szCs w:val="16"/>
          <w:b w:val="1"/>
          <w:bCs w:val="1"/>
          <w:color w:val="auto"/>
        </w:rPr>
        <w:t xml:space="preserve"> </w:t>
      </w:r>
      <w:r>
        <w:rPr>
          <w:rFonts w:ascii="Arial" w:cs="Arial" w:eastAsia="Arial" w:hAnsi="Arial"/>
          <w:sz w:val="16"/>
          <w:szCs w:val="16"/>
          <w:color w:val="auto"/>
        </w:rPr>
        <w:t>with high intent to buy will go. Ads are given a top spot in this contextually relevant space with the opportunity to customize by neighborhood.</w:t>
      </w: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ad formats, including sponsored posts, sponsored emails, and local deals, feature combinations of text (static or dynamic), images (including static, animated, or video), audio, and URL links, and can be leveraged on multiple surfaces of our platform. We are</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80"/>
        <w:spacing w:after="0" w:line="438" w:lineRule="auto"/>
        <w:rPr>
          <w:sz w:val="20"/>
          <w:szCs w:val="20"/>
          <w:color w:val="auto"/>
        </w:rPr>
      </w:pPr>
      <w:r>
        <w:rPr>
          <w:rFonts w:ascii="Arial" w:cs="Arial" w:eastAsia="Arial" w:hAnsi="Arial"/>
          <w:sz w:val="18"/>
          <w:szCs w:val="18"/>
          <w:color w:val="auto"/>
        </w:rPr>
        <w:t xml:space="preserve">continually improving and building upon our library of ad formats and the ways in which advertisers can purchase and deliver ads across our platform. </w:t>
      </w:r>
      <w:r>
        <w:rPr>
          <w:rFonts w:ascii="Arial" w:cs="Arial" w:eastAsia="Arial" w:hAnsi="Arial"/>
          <w:sz w:val="18"/>
          <w:szCs w:val="18"/>
          <w:i w:val="1"/>
          <w:iCs w:val="1"/>
          <w:color w:val="auto"/>
        </w:rPr>
        <w:t>Ad Auction</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Ads on the Nextdoor platform primarily compete via an auction-based system. Our ad auction allows us to serve ads to neighbors when and where it matters most. Our auction system selects the best ad for each available ad impression, based on the likelihood of a desired action occurring and how much that action is worth to advertisers. The likelihood of the action occurring depends on a variety of factors, such as ad relevance and creative quality.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Delivering and demonstrating value for our advertisers is a key objective for Nextdoor. We offer a variety of measurement solutions that are mapped to advertisers’ goals and objectives, and validate Nextdoor’s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Kind Platform</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Nextdoor is a leading innovator in creating a welcoming platform that facilitates healthy neighborhood connections and conversations. We set clear guidelines and use a combination of people and technology to encourage kind conversations and promote neighborhood vitality.</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day one, we’ve required neighbors to sign up with their real names and addresses to ensure neighborhoods are made up of real people, nearby, and we have improved on similar verification procedures for businesses We require all new neighbors to accept our Neighbor Pledge upon joining, in order to introduce our community guidelines and provide personal accountability for interactions on the platform. Further, neighbors are alerted when a new neighbor joins so they can reach out with a message of connection and belonging and establish rapport.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neighbors interact through the platform we use a combination of human review and machine learning and predictive technology solutions, like our Kindness Reminder and Constructive Conversations Reminder, launched in 2022, to enforce our community guidelines, support civility, and cultivate kindness.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always believed it is important to incorporate local context into moderation decisions, which is why we have incorporated volunteer community moderators into our moderation program, alongside Nextdoor operations staff. Volunteer community moderators are active neighbors who have access to specialized tools, resources and training — including an online course designed to help recognize and address bias in online discourse — that they can utilize to promote compliance with our community guidelines. While local community moderators review most types of guideline-violating content, reports of certain types of harmful content (e.g., misinformation, discrimination) are always handled by Nextdoor operations staff to ensure our standards and policies are applied consistently.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investments in technology are focused on the following areas: Core Product Development, Advertising Solutions, and Cloud Infrastructure.</w:t>
      </w:r>
    </w:p>
    <w:p>
      <w:pPr>
        <w:spacing w:after="0" w:line="179" w:lineRule="exact"/>
        <w:rPr>
          <w:sz w:val="20"/>
          <w:szCs w:val="20"/>
          <w:color w:val="auto"/>
        </w:rPr>
      </w:pPr>
    </w:p>
    <w:p>
      <w:pPr>
        <w:jc w:val="both"/>
        <w:ind w:left="66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Core Product Development. </w:t>
      </w:r>
      <w:r>
        <w:rPr>
          <w:rFonts w:ascii="Arial" w:cs="Arial" w:eastAsia="Arial" w:hAnsi="Arial"/>
          <w:sz w:val="18"/>
          <w:szCs w:val="18"/>
          <w:color w:val="auto"/>
        </w:rPr>
        <w:t>We are consistently focused on creating and improving products for neighbors and organizations in the countries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we operate around the world. We use machine-learning and proprietary technology to power our product strategy of building an Active Valued Community.</w:t>
      </w:r>
    </w:p>
    <w:p>
      <w:pPr>
        <w:spacing w:after="0" w:line="121"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Advertising Solutions. </w:t>
      </w:r>
      <w:r>
        <w:rPr>
          <w:rFonts w:ascii="Arial" w:cs="Arial" w:eastAsia="Arial" w:hAnsi="Arial"/>
          <w:sz w:val="18"/>
          <w:szCs w:val="18"/>
          <w:color w:val="auto"/>
        </w:rPr>
        <w:t>We continue to invest in our proprietary Nextdoor Ads Platform to expand and improve our advertising solutions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of all sizes. In support of our objectives of delivering advertiser value, reducing advertising effort, and enabling businesses to thrive on Nextdoor, our development roadmap is focused on unifying our self-service offerings, leveraging machine learning technologies to improve ad targeting, and enhancing measurement solutions to better inform our value proposition.</w:t>
      </w:r>
    </w:p>
    <w:p>
      <w:pPr>
        <w:spacing w:after="0" w:line="125" w:lineRule="exact"/>
        <w:rPr>
          <w:rFonts w:ascii="Arial" w:cs="Arial" w:eastAsia="Arial" w:hAnsi="Arial"/>
          <w:sz w:val="18"/>
          <w:szCs w:val="18"/>
          <w:color w:val="auto"/>
        </w:rPr>
      </w:pPr>
    </w:p>
    <w:p>
      <w:pPr>
        <w:jc w:val="both"/>
        <w:ind w:left="660" w:hanging="328"/>
        <w:spacing w:after="0" w:line="314"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Cloud Infrastructure. </w:t>
      </w:r>
      <w:r>
        <w:rPr>
          <w:rFonts w:ascii="Arial" w:cs="Arial" w:eastAsia="Arial" w:hAnsi="Arial"/>
          <w:sz w:val="16"/>
          <w:szCs w:val="16"/>
          <w:color w:val="auto"/>
        </w:rPr>
        <w:t>We continually invest in the foundational architecture that supports all of our products and services. We built our</w:t>
      </w:r>
      <w:r>
        <w:rPr>
          <w:rFonts w:ascii="Arial" w:cs="Arial" w:eastAsia="Arial" w:hAnsi="Arial"/>
          <w:sz w:val="16"/>
          <w:szCs w:val="16"/>
          <w:b w:val="1"/>
          <w:bCs w:val="1"/>
          <w:color w:val="auto"/>
        </w:rPr>
        <w:t xml:space="preserve"> </w:t>
      </w:r>
      <w:r>
        <w:rPr>
          <w:rFonts w:ascii="Arial" w:cs="Arial" w:eastAsia="Arial" w:hAnsi="Arial"/>
          <w:sz w:val="16"/>
          <w:szCs w:val="16"/>
          <w:color w:val="auto"/>
        </w:rPr>
        <w:t>infrastructure to be cloud-native, applying well-tested design patterns with distributed systems that are linearly scalable and highly flexible. We partner with third party providers to support the expansion of our platform, which allows us to concentrate on developing our core products.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intellectual property and core technological innovations are integral components of our business. To establish and protect our intellectual property, proprietary rights and brand, we rely on a combination of federal, state, and common-law rights in the United States and the rights under the laws of other countries, patents, trademarks, copyrights, domain name, trade secrets, including know-how, license agreements, confidentiality procedures, non-disclosure agreements with third parties, employee disclosure, and invention assignment agreements, and other contractual rights.</w:t>
      </w:r>
    </w:p>
    <w:p>
      <w:pPr>
        <w:spacing w:after="0" w:line="13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We own a trademark portfolio, including registered trademarks and applications in the United States and other countries, for the marks NEXTDOOR, </w:t>
      </w:r>
      <w:r>
        <w:rPr>
          <w:sz w:val="1"/>
          <w:szCs w:val="1"/>
          <w:color w:val="auto"/>
        </w:rPr>
        <w:drawing>
          <wp:inline distT="0" distB="0" distL="0" distR="0">
            <wp:extent cx="137160" cy="85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85725"/>
                    </a:xfrm>
                    <a:prstGeom prst="rect">
                      <a:avLst/>
                    </a:prstGeom>
                    <a:noFill/>
                    <a:ln>
                      <a:noFill/>
                    </a:ln>
                  </pic:spPr>
                </pic:pic>
              </a:graphicData>
            </a:graphic>
          </wp:inline>
        </w:drawing>
      </w:r>
      <w:r>
        <w:rPr>
          <w:rFonts w:ascii="Arial" w:cs="Arial" w:eastAsia="Arial" w:hAnsi="Arial"/>
          <w:sz w:val="16"/>
          <w:szCs w:val="16"/>
          <w:color w:val="auto"/>
        </w:rPr>
        <w:t xml:space="preserve">, and </w:t>
      </w:r>
      <w:r>
        <w:rPr>
          <w:sz w:val="1"/>
          <w:szCs w:val="1"/>
          <w:color w:val="auto"/>
        </w:rPr>
        <w:drawing>
          <wp:inline distT="0" distB="0" distL="0" distR="0">
            <wp:extent cx="128270" cy="857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270" cy="85725"/>
                    </a:xfrm>
                    <a:prstGeom prst="rect">
                      <a:avLst/>
                    </a:prstGeom>
                    <a:noFill/>
                    <a:ln>
                      <a:noFill/>
                    </a:ln>
                  </pic:spPr>
                </pic:pic>
              </a:graphicData>
            </a:graphic>
          </wp:inline>
        </w:drawing>
      </w:r>
      <w:r>
        <w:rPr>
          <w:rFonts w:ascii="Arial" w:cs="Arial" w:eastAsia="Arial" w:hAnsi="Arial"/>
          <w:sz w:val="16"/>
          <w:szCs w:val="16"/>
          <w:color w:val="auto"/>
        </w:rPr>
        <w:t>. We have registered domain names that we use in or relate to our business, such as the &lt;nextdoor.com&gt; domain name and country code top level domain name equivalents. As of December 31, 2022, we had eight issued patents and two filed patent applications in the United States. We cannot assure you that any of our patent applications will result in the issuance of a patent or whether the examination process will require us to narrow our claims. Additionally, our current and future patents, trademarks, and other intellectual property or other proprietary rights may be contested, circumvented or found unenforceable or invalid. We may not be able to obtain or maintain sufficient protection for or successfully enforce our intellectual property. We license content, technology, and other intellectual property from our partners, and rely on our license agreements with those partners to use the intellectual property. Third parties may assert claims related to intellectual property rights against our partners or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please see the section entitled “</w:t>
      </w:r>
      <w:r>
        <w:rPr>
          <w:rFonts w:ascii="Arial" w:cs="Arial" w:eastAsia="Arial" w:hAnsi="Arial"/>
          <w:sz w:val="18"/>
          <w:szCs w:val="18"/>
          <w:i w:val="1"/>
          <w:iCs w:val="1"/>
          <w:color w:val="auto"/>
        </w:rPr>
        <w:t>Risk Factors — Risks Related to Intellectual Property</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Culture and Core Values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Community is at the heart of Nextdoor and our growing community of employees is our lifeblood. Our employees have a wide range of experiences and perspectives, which fuel our purpose to cultivate a kinder world where everyone has a neighborhood they can rely 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company core values are:</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 trust everyday;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 in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obsessed;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Think big;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Experiment and learn quickly;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 like an owner.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live these core values through our approach to our people practices, summarized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we had 704 employees in the United States and in our international locations in Canada, the United Kingdom, the Netherlands, Ireland, France and Australia.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Inclusion and Belonging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principles of Diversity, Equity, Inclusion and Belonging (“DEIB</w:t>
      </w:r>
      <w:r>
        <w:rPr>
          <w:rFonts w:ascii="Arial" w:cs="Arial" w:eastAsia="Arial" w:hAnsi="Arial"/>
          <w:sz w:val="18"/>
          <w:szCs w:val="18"/>
          <w:i w:val="1"/>
          <w:iCs w:val="1"/>
          <w:color w:val="auto"/>
        </w:rPr>
        <w:t>”</w:t>
      </w:r>
      <w:r>
        <w:rPr>
          <w:rFonts w:ascii="Arial" w:cs="Arial" w:eastAsia="Arial" w:hAnsi="Arial"/>
          <w:sz w:val="18"/>
          <w:szCs w:val="18"/>
          <w:color w:val="auto"/>
        </w:rPr>
        <w:t>) are woven into the very fabric of our organization and guide how we recruit, retain, and develop our talent.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commitment to DEIB begins at the top and is underscored by the importance of making diverse perspectives a business imperative. This is reflected in the racially diverse and gendered-balanced leaders that make up our Board of Directors, management team, and employees, and who all share in our passion for contributing to and effecting change in communities globally.</w:t>
      </w:r>
    </w:p>
    <w:p>
      <w:pPr>
        <w:spacing w:after="0" w:line="13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thrive on creating a dynamic, inclusive environment that aims to support and value our employees, and contributes to our award-winning company culture. We have active and engaged Employee Resource Groups that are aligned around dimensions of diversity, such as gender, ethnicity, religion, sexual orientation and other shared attributes, which we believe help foster a sense of community, and a diverse and inclusive workplace.</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offer training sessions to our employees to emphasize awareness in self, bias and privilege, and inclusion. Further, we focus our global recruitment efforts on ensuring that teams and hiring managers have the opportunity to consider qualified people from historically excluded groups for open roles. Moreover, we distribute a bi-annual employment engagement survey to measure our employees’ satisfaction at Nextdoor, including employees’ perspectives on our current state of workplace inclusivity.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Learning, Development, and Engagement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dedicated Talent Management and Development team that develops and delivers company-wide people programs and learning and development experiences to help our employees grow in their careers. The programs include performance feedback and promotion cycles and recognition through our “Nextdoor Values Awards”. Our learning and development experiences focus on onboarding new hires as well as offering workshops focused on skills development and compliance training.</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committed to making Nextdoor the best place to work by engaging with, and listening to, our community of employees. We maintain ongoing connection with our team members through weekly all hands meetings, our speaker series, and bi-annual engagement surveys.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Benefits and Perks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provide employees with competitive compensation packages that include base salaries, sales commissions for certain employees, and equity awards. Additional benefits programs (which vary by country and region) include a 401(k) Plan with a company match, healthcare, vision, and dental insurance benefits, health savings and flexible spending accounts, flexible paid time off, parental leave, and other benefits tailored to the specific needs of our employees such as family forming, caregiving and mental health resources. We also support and encourage our employees to give back to our communities by giving each employee “Volunteer Time Off” to dedicate to the causes that matter most to them.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compete in almost every aspect of our business with companies that provide a variety of internet products, services, content, and online advertising. In addition, aspects of our platform compete with other products and services, including home services, classifieds, real estate, recommendations and search engines. Of these companies, we most directly compete with social media companies that offer local products to advertisers and users, including large companies such as Meta (including through Facebook and Instagram), Alphabet (including through Google), and other companies that provide home services, classifieds, real estate, recommendations, and search engines. We compete with these companies to attract, engage, and retain users and to attract and retain advertisers. As we introduce new products, as our platform evolves, or as other companies introduce new products and services, we may become subject to additional competition in other countries.</w:t>
      </w:r>
    </w:p>
    <w:p>
      <w:pPr>
        <w:spacing w:after="0" w:line="1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While our industry is evolving rapidly and is becoming increasingly competitive, we believe that we compete effectively due to our singular focus on creating and strengthening our neighborhood networks, the size and engagement of our user base, our ability to provide neighbors with trusted information from a uniquely local perspective, our value proposition to advertisers including businesses and public agencies, and our powerful network effects.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strengths are real people, hyperlocal proximity, trusted information, local perspective and instant distribution, each of which reinforce each other to create a strong competitive moat.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see the section entitled “</w:t>
      </w:r>
      <w:r>
        <w:rPr>
          <w:rFonts w:ascii="Arial" w:cs="Arial" w:eastAsia="Arial" w:hAnsi="Arial"/>
          <w:sz w:val="18"/>
          <w:szCs w:val="18"/>
          <w:i w:val="1"/>
          <w:iCs w:val="1"/>
          <w:color w:val="auto"/>
        </w:rPr>
        <w:t>Risk Factors — Our business is highly competitive. Competition presents an ongoing threat to the</w:t>
      </w:r>
      <w:r>
        <w:rPr>
          <w:rFonts w:ascii="Arial" w:cs="Arial" w:eastAsia="Arial" w:hAnsi="Arial"/>
          <w:sz w:val="18"/>
          <w:szCs w:val="18"/>
          <w:color w:val="auto"/>
        </w:rPr>
        <w:t xml:space="preserve"> </w:t>
      </w:r>
      <w:r>
        <w:rPr>
          <w:rFonts w:ascii="Arial" w:cs="Arial" w:eastAsia="Arial" w:hAnsi="Arial"/>
          <w:sz w:val="18"/>
          <w:szCs w:val="18"/>
          <w:i w:val="1"/>
          <w:iCs w:val="1"/>
          <w:color w:val="auto"/>
        </w:rPr>
        <w:t>success of our business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many U.S. federal and state and foreign laws, regulations, and industry standards that involve matters central to our business, including laws and regulations that involve data privacy and data protection, intellectual property (including copyright and patent laws), content regulation, rights of publicity, advertising, marketing, health and safety, competition, protection of minors, consumer protection, taxation, anti-bribery, anti-money laundering and corruption, telecommunications, and securities. Our business may also be affected by the adoption of any new or existing laws or regulations or changes in laws or regulations that adversely affect the growth, popularity or use of the internet, or that significantly restrict or impose conditions on our ability to collect, store, augment, analyze, use and share data or increase consumer notice or consent requirements before a company can utilize cookies or other tracking technologies or that increase the liability of content platforms like us. These laws and regulations are constantly evolving and may be interpreted, applied, created, or amended, in a manner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rely on a variety of statutory and common-law frameworks and defenses relevant to the content available on our service, including the Digital Millennium Copyright Act (the “DMCA”), the Communications Decency Act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Moreover in February 2023, the U.S. Supreme Court heard two cases concerning the scope of the CDA protection; rulings in those cases are expected later in 2023 and could narrow the judicial interpretation of the statute, exposing us to additional lawsuits and potential judgments that could seriously harm our business. We could incur significant costs investigating and defending such claims and, if we are found liable, significant damages. In addition, various countries around the world have adopted and pending legislation, including the recently adopted Digital Services Act (the “DSA”) in the European Union and the Online Safety Act in Australia as well as the draft Online Safety Bill in the United Kingdom, that may impose additional obligations or liability on us associated with content uploaded by users to our platform.</w:t>
      </w:r>
    </w:p>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receive, process, store, use, and share data, some of which contains personal information. We are therefore subject to U.S. federal, state, local, and foreign laws and regulations regarding data privacy and the collection, storage, sharing, use, processing, disclosure and protection of personal information and other data from users, employees or business partners, including the European Union’s General Data Protection Regulation (“GDPR”), the United Kingdom’s General Data Protection Regulation (“ UK GDPR”), Canada’s Personal Information Protection and Electronic Documents Act, Australia’s The Privacy Act 1988 and Australian Privacy Principles, the California Consumer Privacy Act (“CCPA”), as amended by the California Privacy Rights Act (“CPRA”) on January 1, 2023, and the Virginia Consumer Data Protection Act, which went into effect on January 1, 2023. Additionally, three other states have enacted privacy laws that go into effect later in 2023 that have similar requirements and obligations to the California and Virginia laws: the Colorado Data Privacy Act, the Connecticut Data Privacy Act, and the Utah Consumer Privacy Act. There are also a number of legislative proposals recently enacted or pending before the U.S. Congress, various state legislatures and foreign governments concerning content regulation and data protection that could affect us, These and other laws and regulations that may be enacted, or new interpretation of existing laws and regulations, may require us to modify our data processing practices and policies and to incur substantial costs in order to comply.</w:t>
      </w:r>
    </w:p>
    <w:p>
      <w:pPr>
        <w:spacing w:after="0" w:line="12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Further, the impact of these laws and regulations may disproportionately affect our business in comparison to our peers in the technology sector that have greater resources. Any failure on our part to comply with these laws and regulations may subject us to significant liabilities or penalties, or otherwise adversely affect our business, financial condition or operating results. Further, it is possible that certain governments may seek to block or limit our products or otherwise impose other restrictions that may affect the accessibility or usability of any or all our products for an extended period of time or indefinitely.</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communicate with lawmakers and regulators in the countries and regions in which we do business. We have a dedicated policy team that monitors legal and regulatory developments and works with policymakers and regulators around the world to help ensure that our perspective is heard in matters of importance to us.</w:t>
      </w:r>
    </w:p>
    <w:p>
      <w:pPr>
        <w:spacing w:after="0" w:line="130" w:lineRule="exact"/>
        <w:rPr>
          <w:sz w:val="20"/>
          <w:szCs w:val="20"/>
          <w:color w:val="auto"/>
        </w:rPr>
      </w:pPr>
    </w:p>
    <w:p>
      <w:pPr>
        <w:ind w:right="2800"/>
        <w:spacing w:after="0" w:line="438" w:lineRule="auto"/>
        <w:rPr>
          <w:sz w:val="20"/>
          <w:szCs w:val="20"/>
          <w:color w:val="auto"/>
        </w:rPr>
      </w:pPr>
      <w:r>
        <w:rPr>
          <w:rFonts w:ascii="Arial" w:cs="Arial" w:eastAsia="Arial" w:hAnsi="Arial"/>
          <w:sz w:val="18"/>
          <w:szCs w:val="18"/>
          <w:color w:val="auto"/>
        </w:rPr>
        <w:t>For additional information, see the section entitled “</w:t>
      </w:r>
      <w:r>
        <w:rPr>
          <w:rFonts w:ascii="Arial" w:cs="Arial" w:eastAsia="Arial" w:hAnsi="Arial"/>
          <w:sz w:val="18"/>
          <w:szCs w:val="18"/>
          <w:i w:val="1"/>
          <w:iCs w:val="1"/>
          <w:color w:val="auto"/>
        </w:rPr>
        <w:t>Risk Factors — Risks Related to Legal and Regulatory Matters</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Corporate Information</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were initially a blank check or special purpose acquisition company called KVSB, incorporated in Delaware on January 29, 2021, formed for the purpose of effecting a merger, capital stock exchange, asset acquisition, stock purchase, reorganization or similar business combination with one or more businesses or entities. On November 5, 2021 (the “Closing Date”), KVSB consummated the transactions contemplated by the Agreement and Plan of Merger, dated July 6, 2021, as amended on September 30, 2021 (the “Merger Agreement”), by and among KVSB, Lorelei Merger Sub Inc., a direct wholly owned subsidiary of KVSB (“Merger Sub”) and Nextdoor, Inc. (“Legacy Nextdoor”), with Legacy Nextdoor surviving as a wholly owned subsidiary of KVSB (the “Merger” and the transactions contemplated thereby, the “Business Combination”). Legacy Nextdoor was incorporated in Delaware on December 4, 2007. Following the consummation of the Business Combination on the Closing Date, KVSB changed its name from Khosla Ventures Acquisition Co. II to Nextdoor Holdings, Inc.</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executive offices are located at 420 Taylor Street, San Francisco, California 94102 and our telephone number is (415) 344-0333. Our website address is https://www.nextdoor.com. The information contained on, or that can be accessed through, our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website is not incorporated by reference into, and is not a part of, this Annual Report. Investors should not rely on any such information in deciding whether to purchase our Class A common stock.</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Nextdoor, the Nextdoor logo, and other registered or common law trade names, trademarks, or service marks of Nextdoor appearing in this Annual Report are the property of Nextdoor. This Annual Report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Annual Report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2"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Our reports filed with or furnished to the SEC pursuant to Sections 13(a) and 15(d) of the Securities Exchange Act of 1934, as amended (the “Exchange Act”), are available, free of charge, on our Investor Relations website at https://investors.nextdoor.com/ as soon as reasonably practicable after we electronically file such material with, or furnish it to, the SEC. The SEC maintains a website at http://www.sec.gov that contains reports, proxy and information statements, and other information regarding us and other companies that file materials with the SEC electronically. Copies of our reports on Form 10-K, Forms 10-Q, and Forms 8-K, and amendments to those reports may also be obtained, free of charge, electronically through our Investor Relations website located at the web address appearing above as soon as reasonably practicable after we file such material with, or furnish it to, the SEC. We use our Investor Relations website as a means of disclosing material information and for complying with our disclosure obligations under Regulation FD. Accordingly, investors should monitor our Investor Relations website, in addition to following our press releases, SEC filings, and public conference calls and webcasts.</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content of our websites and information that we may post on or provide to online and social media channels and information that can be accessed through our websites or these online and social media channels are not incorporated by reference into this Annual Report or in any other report or document we file with the SEC, and any references to our websites or these online and social media channels are intended to be inactive textual references only.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Investing in our Class A common stock involves risks. You should carefully consider the risks and uncertainties described below, together with all of the other information in this Annual Report, including the section titled “Management’s Discussion and Analysis of Financial Condition and Results of Operations” and our consolidated financial statements and related notes, before deciding whether to purchase shares of our Class A common stock. You should also carefully consider the following risk factors in addition to the other information included in this Annual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commenced operating the Nextdoor platform in 2011 and began supporting the platform with advertising in 2016.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continue to grow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with limited operating histories participating in rapidly evolving industries.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global economic and financial conditions could harm our business and financial condition..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Adverse global economic and financial events and the effects thereof, such as the ongoing COVID-19 pandemic, the war in Ukraine, inflation, rising interest rates, potential recessions, fluctuations in foreign exchange rates, supply chain issues and inventory and labor shortages, have caused, and could in the future cause, disruptions and volatility in global financial markets. These conditions have in the past and may in the future translate to cost increases to us and advertisers and lead to decreased spending by our advertisers. In addition, since the majority of our revenue is derived from advertisers within the United States, economic conditions in the United States have a greater impact on us. We may not perform well in adverse macroeconomic conditions, which could adversely affect our business, financial condition and operating results.</w:t>
      </w:r>
    </w:p>
    <w:p>
      <w:pPr>
        <w:spacing w:after="0" w:line="2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currently generate substantially all of our revenue from advertising. If advertisers reduce or eliminate their spending with us, our business, operating results, and financial condition would be adversely impacted.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our revenue is currently generated from the sales of advertising on our platform in the form of online display advertisements, which include sponsored posts and local deals.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alternatives. Our ability to attract and retain advertisers, and ultimately generate revenue, may be adversely affected by a number of factors, including but not limited to:</w:t>
      </w:r>
    </w:p>
    <w:p>
      <w:pPr>
        <w:spacing w:after="0" w:line="11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in neighbor or advertiser engagement on the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slower than anticipated growth in, or lack of growth or decreases in, the number of neighbors on the platform;</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impact of macroeconomic conditions, whether in the advertising industry in general, among specific types of advertisers or within particular geographies, including but not limited to labor shortages, supply chain disruptions, a potential recession, inflation and rising interest rates;</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platform changes (such as the migration to our proprietary ad server) or inventory management decisions that change the size, format, frequency, or relative prominence of advertisements displayed on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competitors offering more attractive pricing for advertisements that we are unable or unwilling to match;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the quantity or quality of advertisements shown to neighbors;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laws, third-party policies or applications that limit our ability to deliver, target, or measure the effectiveness of advertising, including changes by mobile operating system and browser providers such as Apple and Google;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demographics of our neighbors that make us less attractive to advertisers;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neighbors who exercise opt-out rights under privacy laws to restrict the advertisements they receive;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neighbors that upload content or take other actions that are deemed to be hostile, inappropriate, illicit, objectionable, illegal, or otherwise not consistent with the brand of our advertisers;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government actions or legislative, regulatory, or other legal developments;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neighbor behavior or changes to the platform that may affect, among other things, the safety and security of other neighbors or the cultivation of a positive and inclusive online community;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media reports or other negative publicity involving us;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or enforcing policies, such as advertising policies, community guidelines, and other terms or service that are perceived negatively by advertisers;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improve our products for advertisers;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in, or reductions to, the availability, accuracy, utility, and security of analytics and measurement solutions offered by us or third parties that are intended to demonstrate the value of our advertisements to advertisers; and</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our data privacy practices that affect the type or manner of advertising that we are able to provide, including as a result of changes to laws, regulations or regulatory actions, such as the GDPR, European Directive 2002/58/EC (the “ePrivacy Directive”), UK General Data Protection Regulation (“UK GDPR”), UK Data Protection Act 2018, the CCPA, Nevada’s Online Privacy Law (“Nevada Privacy Law”), the CDPA, the VCPDA, the CPRA, and other U.S. state privacy laws, or changes to third-party policies.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spacing w:after="0" w:line="1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ability to attract and retain advertisers depends on our ability to collect and use data and develop products to enable us to effectively deliver and accurately measure advertisements on the Nextdoor platform.</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offer products that accurately measure the effectiveness of a campaign on our platform is critical to our ability to attract new advertisers and retain, and increase spend from, our existing advertisers.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launched its Intelligent Tracking Prevention (“ITP”) feature in its Safari browser. ITP blocks some or all third-party cookies by default on mobile and desktop and ITP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introduced an App Tracking Transparency framework that limits the ability of mobile applications to request an iOS device’s advertising identifier and may also affect our ability to track neighbors’ actions off our platform and connect their interactions with on-platform advertising. Similarly, Google has announced that it plans to start phasing out third-party cookies in its Google Chrome browser, beginning in the second half of 2024, and, more recently, that it intends to limit access by mobile applications to advertising identifiers on Android devices. These web and mobile browser developers have also implemented and may continue to implement changes and restrictions in browser or device functionality that limit our ability to communicate with or understand the identity of our neighbors.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fail to add new neighbors or retain current neighbors, or if current neighbors engage less with the Nextdoor platform, our business, operating results, and financial condition would be adversely impacted.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the current growth rate, if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neighbor base slows or reverses, we may be required to incur significantly higher marketing expenses than we currently anticipate in order to acquire new neighbors or retain current neighbors.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There are many factors that could negatively impact our ability to grow, retain and engage current and prospective neighbors, including but not limited to:</w:t>
      </w:r>
    </w:p>
    <w:p>
      <w:pPr>
        <w:spacing w:after="0" w:line="19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neighbors increasing their engagement with competitors’ platforms, products or services instead of, or more frequently than, our platform;</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amount of time neighbors spend across all applications and platforms, including our platform;</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failing to introduce platform enhancements that neighbors find engaging or if we introduce new features, terms, policies or procedures, or make changes to our platform, that are not favorably received by current or prospective neighbors;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technical or other problems frustrating the neighbor experience, such as problems that prevent us from delivering our service in a fast and reliable manner;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neighbors having difficulty installing, updating or otherwise accessing the Nextdoor platform on mobile devices through the app or web browsers;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neighbor behavior on the Nextdoor platform changing, including a decrease in the quality and frequency of content shares on the platform;</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decreases in neighbor or advertiser sentiment due to questions about the quality or usefulness of our platform, concerns about the nature of content made available on the platform, concerns related to privacy, safety, security, well-being or other factors;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mandated by legislation, government and regulatory authorities, or litigation that adversely impact our platform or neighbors;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 parties preventing their content from being displayed on the Nextdoor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we may make to how we promote different features on our platform;</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initiatives designed to attract and retain neighbors and engagement are unsuccessful or discontinued, whether as a result of actions by us, third parties, or otherwise;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other partners and companies in the industry are the subject of adverse media reports or other negative publicity;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unable to combat spam, harassment, cyberbullying or other hostile, inappropriate, abusive or offensive content or usage on our platform; or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cannot preserve and enhance our brand and reputation as a trusted neighborhood networking community.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highly competitive. Competition presents an ongoing threat to the success of our business.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compete with companies that provide a variety of internet products, services, content, and online advertising. In addition, aspects of our platform compete with other products and services, including home services, classifieds, real estate,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real estate,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Moreover, Google recently announced that it intends to limit access by mobile applications to advertising identifiers on Android devices, likely by the end of 2024.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compete depends upon many factors both within and beyond our control, including:</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popularity, usefulness, ease of use, performance, and reliability of our platform compared to our competitors’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and composition of our neighbor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engagement of neighbors with our platform and competing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first- and third-party data available to us relative to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advertisers who use our free or paid advertisements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market acceptance of developments and enhancements to our platform or our competitors’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safety and security efforts and our ability to protect neighbor data and to provide neighbors with control over their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distribute our platform to new and existing neighbors;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effectively monetize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successful implementation of platform changes, such as the migration to our proprietary ad server;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frequency, size, format, quality, and relative prominence of the advertisements displayed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service and support efforts;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and selling efforts, including our ability to measure the effectiveness of our advertisements and to provide advertisers with a compelling return on their investments;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publisher interest in integrating their content with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mandated by legislation, regulatory authorities, or litigation, some of which may have a disproportionate effect on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 particularly software engineers, designers, and managers;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cost-effectively manage and grow our operations;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and brand strength relative to those of our competitors.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are not able to compete effectively, our neighbor base and level of neighbor engagement may decrease, we may become less attractive to advertisers and our business, operating results, and financial condition may be adversely affected.</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1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 in Ukraine),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majority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substantial portion of our network infrastructure is provided by third parties, including AWS.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spacing w:after="0" w:line="130" w:lineRule="exact"/>
        <w:rPr>
          <w:sz w:val="20"/>
          <w:szCs w:val="20"/>
          <w:color w:val="auto"/>
        </w:rPr>
      </w:pPr>
    </w:p>
    <w:p>
      <w:pPr>
        <w:ind w:right="600"/>
        <w:spacing w:after="0" w:line="381" w:lineRule="auto"/>
        <w:rPr>
          <w:sz w:val="20"/>
          <w:szCs w:val="20"/>
          <w:color w:val="auto"/>
        </w:rPr>
      </w:pPr>
      <w:r>
        <w:rPr>
          <w:rFonts w:ascii="Arial" w:cs="Arial" w:eastAsia="Arial" w:hAnsi="Arial"/>
          <w:sz w:val="15"/>
          <w:szCs w:val="15"/>
          <w:b w:val="1"/>
          <w:bCs w:val="1"/>
          <w:i w:val="1"/>
          <w:iCs w:val="1"/>
          <w:color w:val="auto"/>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experienced rapid growth in recent periods and expect to continue to invest broadly across our organization to support our growth. Our revenue has grown from $192.2 million for the year ended December 31, 2021 to $212.8 million for the year ended December 31, 2022. Weekly Active Users (“WAUs”) on our platform have grown from 35.9 million for the three months ended December 31, 2021 to 40.0 million for the three months ended December 31, 2022. Moreover, the number of our full-time employees has grown from 602 as of December 31, 2021 to 704 as of December 31, 2022. Although we have experienced rapid growth historically, we may not sustain such growth rates, nor can we assure you that our investments to support our growth will be successful. The growth and expansion of our business will require us to invest significant financial and operational resources and the continuous dedication of our management team.</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plan to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as we have grown, our business has become increasingly complex and requires more resources. To manage any future growth effectively, we must continue to improve and expand our information technology and financial infrastructure, our operating and administrative systems and controls, and our ability to manage headcount, capital, and processes in an efficient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including video,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labor shortages, supply chain disruptions, a potential recession, rising interest rates and inflation, the war in Ukraine and the ongoing COVID-19 pandemic.</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spacing w:after="0" w:line="12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w:t>
      </w:r>
    </w:p>
    <w:p>
      <w:pPr>
        <w:spacing w:after="0" w:line="14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spacing w:after="0" w:line="1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efforts to build strong brand identity and reputation are not successful, we may not be able to attract or retain neighbors, and our business, operating results, and financial condition will be adversely affected.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negatively affects our business from time to time.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spacing w:after="0" w:line="12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plan to continue expanding our business operations abroad by opening new and expanding within existing neighborhoods outside of the United States. As of December 31, 2022, the Nextdoor platform was accessible in 11 countries (including the United States) and had over 305,000 neighborhoods. We plan to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spacing w:after="0" w:line="1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acts of war or terrorism, including the war in Ukraine;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damage to our brand and reputation due to compliance with local laws, including potential censorship and requirements to provide neighbor information to local authorities;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enhanced difficulty in reviewing content on the Nextdoor platform and enforcing community standards across different languages and countries;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multiple U.S. and international tax jurisdictions and management of tax impact of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higher levels of credit risk and payment fraud;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integrating any foreign acquisitions;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burdens of complying with a variety of foreign laws, including laws related to taxation, content removal, data localization, data transfer, consents, payments, and regulatory oversight;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legal compliance costs associated with multiple international locations.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(“Bribery Act”).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need additional capital in the future, it may not be available on favorable terms, if at all.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spacing w:after="0" w:line="13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plan to continue to make acquisitions, which could harm our financial condition or operating results and may adversely affect the price of our Class A common stock.</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business strategy, we have made, and intend to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spacing w:after="0" w:line="138"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the ongoing COVID-19 pandemic, and workforce participation rates. If we are unable to attract and retain suitably qualified individuals who are capable of meeting our growing technical, operational, and managerial requirements, on a timely basis or at all, our business, operating results, and financial condition may be adversely affected.</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future success also depends in large part on the continued services of senior management and other key personnel. In particular, we are dependent on the services of Sarah Friar, our Chief Executive Officer and President, who is critical to the future vision and strategic direction of our business. We rely on our leadership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core values may conflict with the short-term interests of our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core values as a guide to the decisions we make, which we believe is essential to our success in increasing our neighbor growth rate and engagement and in serving the best, long-term interests of Nextdoor and our stockholders. In the past, we have forgone, and may in the future forgo, certain expansion or revenue opportunities that we do not believe are aligned with our core values, even if our decision may negatively impact our operating results in the short term. Our decisions may not result in the long-term benefits that we expect, in which case our neighbor engagement, business, operating results,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Security and Technology</w:t>
      </w:r>
    </w:p>
    <w:p>
      <w:pPr>
        <w:spacing w:after="0" w:line="17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b w:val="1"/>
          <w:bCs w:val="1"/>
          <w:i w:val="1"/>
          <w:iCs w:val="1"/>
          <w:color w:val="auto"/>
        </w:rPr>
        <w:t>We are dependent on third-party software and service providers, including the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Currently, we are dependent on third-party software and service providers, including the GAM platform, for management and delivery of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spacing w:after="0" w:line="12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rely on third-party software and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we rely on third-party technology providers in our business, we rely on the cybersecurity practices and policies adopted by these third parties. Our ability to monitor our third-party technology providers’ cybersecurity practices is limited.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rely on third parties, including email providers, mobile data networks, geolocation providers, and the United States Postal Service (“USPS”) to complete the verification process for our neighbors’ accounts. Any failure or interruption experienced by such third parties, including the USPS, could result in the inability of neighbors to join our platform, resulting in harm to our reputation and an adverse impact to our business, operating results, and financial condition.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third parties to verify our neighbors’ accounts through several methods, including but not limited to email, SMS text message, phone calls, geolocation and mailed invitations. For example, we utilize email providers, mobile data networks, geolocation providers and the USPS to verify neighbors’ accounts. Account verification is a critical feature of our platform because it demonstrates that neighbors actually live in the neighborhood they desire to join. Any failure, interruption, or loss of access to such third parties or their software or the USPS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geolocation providers or postal providers may be more costly to use than our current providers, including the USPS. Any disruption in the third parties, including the USPS, could harm our neighbor growth, which in turn could make us a less attractive advertising platform and harm our reputation, and could harm our business, operating results, and financial condition.</w:t>
      </w:r>
    </w:p>
    <w:p>
      <w:pPr>
        <w:spacing w:after="0" w:line="14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Technologies have been developed that can block the display of advertisements on the Nextdoor platform, which could adversely impact our business, operating results, and financial condition.</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Technologies have been developed, and will likely continue to be developed, that can block the display of advertisements on the Nextdoor platform. We generate substantially all of our revenue from advertising, and ad-blocking technologies may prevent the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spacing w:after="0" w:line="1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collect, store and otherwise process personal data relating to a number of individuals such as our neighbors, employees and partners, including, but not limited to, neighbor contact details, network details, and location data. The evolution of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trend towards working from home and using private residential networks to access the Internet, which has arisen in response to the ongoing COVID-19 pandemic and other global economic and labor market conditions, may further exacerbate risks associated with cyberattacks and data security breaches, because we cannot guarantee these private work environments and electronic connections to our work environment have the same robust security measures deployed in our physical offices.</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take a variety of technical and organizational security measures and other measures to protect our data. Although we have implemented systems and processes that are designed to protect our data and our neighbors’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(predominantly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company data or the information that we receive may also be unsuccessful due to software bugs or other technical malfunctions; employee, contractor, or vendor error or malfeasance; government surveillance; or other threats that evolve.</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third parties, including advertisers and vendors, may store information that we share with them on their networks. If these third parties fail to implement adequate data-security practices or fail to comply with their contractual obligations and/or, where applicable, our terms and policies, neighbor data may be improperly accessed, used or disclosed. Even if these third parties take all the necessary precautions and comply with their applicable obligations, their networks may still suffer a breach, which could compromise neighbor data.</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Security breaches may cause interruptions to our platform, degrade the neighbor experience, cause neighbors or advertisers to lose confidence and trust in our platform, impair our internal systems, or result in financial harm to our company.</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that may not be fully covered by insurance, if at all,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A security breach of our system could trigger a breach of our agreements with partners that we rely on to deliver our services and expose us to significant loss.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an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w:t>
      </w:r>
    </w:p>
    <w:p>
      <w:pPr>
        <w:spacing w:after="0" w:line="13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the release of iOS 14.5 brought with it a number of new changes, including the need for neighbors using the app to opt in before their identifier for advertisers (“IDFA”) can be accessed by an app (which came into effect in April 2021). Apple’s IDFA is a string of numbers and letters assigned to Apple devices which advertisers use to identify app users to deliver personalized and targeted advertising. As a consequence, the ability of advertisers to accurately target and measure their advertising campaigns at the neighbor level will depend on the opt-in rate to grant IDFA access and if the opt-in rate is low, advertisers’ ability to target and measure advertising campaigns on the Nextdoor platform may become significantly limited. We did not observe any directly attributable negative impact on our business, operating results or financial condition, including our revenue, revenue growth rates, and operating income (loss), related to the introduction of IDFA during the year ended December 31, 2022, though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any such changes. Further, in May 2022, Apple introduced changes for the Apple mail client available on its operating systems, including iOS 15, iPadOS 15, and macOS 12, which have impacted, and are expected to continue to impact our ability to track individual users and devices, and measure the effectiveness of our advertisements. Moreover, Google has announced that it intends to limit access by mobile applications to advertising identifiers on Android devices, likely by the end of 2024. As a result, advertisers may find our products less appealing and may seek alternative platforms on which to run their advertising campaigns.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platform and internal systems rely on software and hardware that is highly technical, and any errors, bugs, or vulnerabilities in these systems, or failures to address or mitigate technical limitations in our systems, could adversely affect our business.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and ethical issues may result in reputational harm and liability.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disclosures on environmental, social, and governance (“ESG”) matters, and any standards we may set for ourselves or a failure to meet these standards, may influence our reputation and the value of our brand. For example, we have elected to share publicly certain information about our ESG initiatives and information, and our commitment to the recruitment, engagement and retention of a diverse board and workforce. In addition, the SEC has also proposed additional disclosure requirements regarding, among other ESG topics, the impact our business has on the environment.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To the extent the SEC proposals become effective for our company, we will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results difficult to predict.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spacing w:after="0" w:line="12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generate revenues from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acquire, retain, and grow our neighbors and neighbor engagement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attract and retain advertisers;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recognize revenue or collect payments from advertisers in a particular period;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spending by our advertisers due to macroeconomic conditions, seasonality, episodic regional or global events, including the ongoing COVID-19 pandemic, or other factors;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domestic and global business and macroeconomic conditions, including potential recession, the continued rise of inflation and interest rates, impacts of the ongoing COVID-19 pandemic, and the war in Ukraine;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internet usage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prominence, size, format, quality and relevancy of advertisements shown to neighbors;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technologies designed to block the display of advertisements;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third-party policies or applications that limit our ability to deliver, target, or measure the effectiveness of advertising, including changes by mobile operating system and browser providers such as Apple and Google;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pricing of our advertisements;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cost of and mix of new and existing sales and marketing and promotional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our platform and app on mobile devices and other third-party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our platform or the development and introduction of new products or services by our competitors;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advertising industry association rules and standards that limit our ability to deliver, target or measure the effectiveness of advertising, such as the Network Advertising Initiative, and Interactive Advertising Bureau;</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neighbor behavior or platform changes that may reduce traffic to features of the platform that we monetize;</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system failures, disruptions, breaches of security or privacy, whether on our platform or on those of third parties, and the costs associated with any such breaches and remediation;</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publicity associated with our platform, including as a result of content on our platform, security breaches and neighbor privacy concerns that may result in advertisers reducing or eliminating their spend with 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 epidemics, such as the ongoing COVID-19 pandemic, influenza, and other highly communicable diseases or viruses;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incurring additional expenses, such as increases in sales and marketing or research and development, including as a result of the ongoing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and cybersecurity, or actions by governments or regulators, including fines, orders, or consent decrees;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we believe that our rapid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spacing w:after="0" w:line="12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Certain of our market opportunities and key metric estimates could prove to be inaccurate, and any real or perceived inaccuracies may harm our reputation and negatively affect our business.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section, which could cause actual results to differ materially from our estimates. Unfavorable changes in any of these or other assumptions, most</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significant uncertainty and are based on assumptions that may not prove to be accurate. In particular, our estimates regarding our market penetration in new and existing markets are difficult to predict.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regularly review key business and other metrics, including WAUs, Verified Neighbors and Average Revenue per Weekly Active User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For example, in 2021, Apple introduced changes for the Apple mail client available on its operating systems, including iOS 15, iPadOS 15, and macOS 12, which have limited, and are expected to continue to limit, our ability to track individual users and devices, and measure user engagement with our emails containing monetizable content for users that use the Apple email client. These changes have affected our ability to calculate WAUs, a key business metric. Because of the introduction of these changes, we are required to rely on estimates based on past user behavior and behavior of users engaging with our monetizable content on email clients other than the Apple email client in order to determine the portion of our WAU figure relating to users that engage solely with emails with monetizable content, which may impact the effectiveness of our analytics platform, as well as the accuracy of our WAU calculations. If we fail to maintain an effective analytics platform, our 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spacing w:after="0" w:line="13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experienced significant net losses each year since we began operations in 2007, including net losses of $(137.9) million, $(95.3) million and $(75.2) million for the years ended December 31, 2022, 2021 and 2020, respectively. We have an accumulated deficit of $618.3 million as of December 31, 2022.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hiring additional team members, developing and enhancing our platform, marketing and sales, and enhancing our infrastructure. Our expansion efforts may prove more expensive than we anticipate, and we may not succeed in increasing our revenues sufficiently to offset these higher expenses.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spacing w:after="0" w:line="14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ability to use our U.S. federal and state net operating losses to offset future taxable income may be subject to certain limitations which could subject our business to higher tax liability.</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2022, we had gross U.S. federal net operating loss (“NOL”) carryforwards of approximately $382.1 million and gross state NOL carryforwards of approximately $234.8 million, which if not utilized, will begin to expire for federal and state income tax purposes beginning in 2028. To the extent that we continue to generate taxable losses, unused losses will carry forward to offset future taxable income, if any. Under the 2017 Tax Cuts and Jobs Act (the “Tax Act”), as modified by the Coronavirus Aid, Relief, and Economic Security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Section 382 of the Code, and corresponding provisions of state law,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experience ownership change(s) in the future as a result of subsequent shifts in our stock ownership, some of which may be outside our control. Therefore, it is possible that such an ownership change could limit the amount of NOLs we can use to offset future taxable income. Our current NOL carryforwards, and any NOL carryforwards of companies we have acquired, may be subject to limitations, thereby increasing our overall tax liability. Our NOL carryforwards may also be impaired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financial results may be adversely affected by changes in accounting principles generally accepted in the United States and our financial estimates may be different from our financial results.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currency exchange rates fluctuate substantially in the future, our operating results, which are reported in U.S. dollars, could be adversely affected.</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greater than anticipated tax liabilities, which could harm our business, revenue and financial results.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a number of tax jurisdictions globally, including in the United States at the federal, state and local levels, and in many foreign countries, and plan to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spacing w:after="0" w:line="99"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 In August 2022, President Biden signed into law the Inflation Reduction Act of 2022 (“IRA”). The IRA includes a 15% corporate alternative minimum tax for companies with modified GAAP net income in excess of $1 billion, a 1% excise tax on certain stock repurchases, and numerous environmental and green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energy tax credits. Currently, we are not subject to the corporate alternative minimum tax. We are currently evaluating the impacts of the excise tax on our Share Repurchase Program, however we do not currently expect the new law to have a material impact on our results of operations.</w:t>
      </w:r>
    </w:p>
    <w:p>
      <w:pPr>
        <w:spacing w:after="0" w:line="18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31,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as a result of content or information that is published or made available on our platform.</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subject to many U.S. federal and state and foreign laws and regulations that involve matters central to our business, including laws and regulations that involve data privacy and protection, intellectual property (including copyright and patent laws), content regulation, rights of publicity, advertising, marketing, health and safety, competition, protection of minors,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Additionally, some controversial content may not be banned on the Nextdoor platform and, even if it is not featured in advertisements to neighbors, it may still appear in the newsfeed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rely on a variety of statutory and common-law frameworks and defenses, including those provided by the DMCA, the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Actions by governments that restrict access to the Nextdoor platform in their countries, or that otherwise impair our ability to sell advertising in their countries, could substantially harm our business, operating results, and financial condition.</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spacing w:after="0" w:line="13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business is subject to complex and evolving U.S. and foreign laws, regulations, and industry standards, many of which are subject to change and uncertain interpretations, which uncertainty could harm our business, operating results, and financial condition.</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many U.S. federal and state and foreign laws, regulations and industry standards that involve matters central to our business, including laws and regulations that involve data privacy, data security, intellectual property (including copyright and patent laws), content, rights of publicity, advertising, marketing, competition, protection of minors, consumer protection, taxation, and telecommunications. These laws and regulations are constantly evolving and may be interpreted, applied, created, or amended, in a manner that could harm our business. In addition, the introduction of new products, expansion of our activities in certain jurisdictions, or other actions that we may take may subject the company to additional laws, regulations, or other government scrutiny.</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Moreover in February 2023, the U.S. Supreme Court heard a case concerning the scope of CDA protection; a ruling in that case is expected later in 2023 and could narrow the judicial interpretation of the statute, exposing us to additional lawsuits and potential judgments that could seriously harm our business. We could incur significant costs investigating and defending such claims and, if we are found liable, significant damages.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Digital Services Act (the “DSA”), signed into law in the European Union on October 19, 2022, is a package of legislation intended to update the liability and safety rules for digital platforms, products, and services. The DSA could negatively impact the scope of the limited immunity provided by the E-Commerce Directive, limit targeted advertising, and require us to expend resources to try to comply with the new regulations or incur liability. The DSA also includes significant penalties for non-compliance. The United Kingdom, similarly, has proposed a draft Online Safety Bill, which, if passed, would create requirements around monitoring and handling harmful content and require us to expend resources to try to comply with the new regulations or incur liability. Similarly, Australia’s Online Safety Act 2021, which went into effect in January 2022, may impose new obligations and liabilities on platforms with respect to certain types of harmful content. These new and proposed laws, together with any changes to the existing laws and regulations within the jurisdictions in which we operate could require us to expend additional resources to maintain compliance with any new or evolving regulations. As a result, we may incur additional liability, and our business, operating results, and financial condition could be harmed.</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and security and the processing of personal information and other data from neighbors, employees or business partners. The regulatory framework for privacy, information security, data protection and processing worldwide and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internal and publicly posted policies regarding our collection, processing, use, disclosure, deletion and security of information. Although we endeavor to comply with our policies and documentation, we may at times fail to do so or be accused of having failed to do so. The publication of our privacy policies and other documentation that provide commitments about data privacy and security can subject us to potential actions if they are found to be deceptive, unfair, or otherwise misrepresent our actual practices, which could materially and adversely affect our business, operating results, and financial condition.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United States, we are subject to numerous federal, state and local data privacy and security laws and regulations governing the processing of information about individuals. For example, the CCPA establishes certain transparency obligations and creates data privacy rights for users, including rights to access and delete their personal information as well as opt-out of certain sales or transfers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which increases the likelihood of, and risks associated with, data breach litigation. Additionally, California voters approved a new privacy law, the CPRA, which became effective January 1, 2023 (with a look back to January 1, 2022). The CPRA significantly modifies the CCPA, including by expanding consumers’ rights and establishing a new state agency that is vested with authority to implement and enforce the CPRA. Other states have also passed comparable legislation, with unique compliance requirements relevant to our business. For example, Virginia, Colorado, Connecticut, and Utah have all passed data privacy laws that go into effect at various times in 2023,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Compliance with these laws and any newly enacted privacy and data security laws or regulations may be challenging and cost- and time-intensive, and may require us to modify our data processing practices and policies and to incur substantial costs and potential liability in an effort to comply with such legislation.</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Outside the United States, we are subject to an increasing number of laws, regulations and industry standards that apply to data privacy and security. In Canada, we are subject to the Personal Information Protection and Electronic Documents Act, which governs the collection, use and disclosure of Canadian residents’ personal information in the course of commercial activities. In Australia, we are also subject to, among other laws, Australia’s “Privacy Act 1988” (“Privacy Act”) and Australian Privacy Principles (“APPs”), which require us to, among other things: (a) establish a governance framework for managing privacy and data protection; (b) give individuals the option of not identifying themselves or using a pseudonym (unless certain exceptions apply);</w:t>
      </w:r>
    </w:p>
    <w:p>
      <w:pPr>
        <w:spacing w:after="0" w:line="2" w:lineRule="exact"/>
        <w:rPr>
          <w:sz w:val="20"/>
          <w:szCs w:val="20"/>
          <w:color w:val="auto"/>
        </w:rPr>
      </w:pPr>
    </w:p>
    <w:p>
      <w:pPr>
        <w:jc w:val="both"/>
        <w:ind w:firstLine="8"/>
        <w:spacing w:after="0" w:line="268" w:lineRule="auto"/>
        <w:tabs>
          <w:tab w:leader="none" w:pos="266"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In the EEA, we are subject to the GDPR and in the United Kingdom, we are subject to the United Kingdom data protection regime consisting primarily of the UK GDPR and the UK Data Protection Act 2018, in each case in relation to our collection, control, processing, sharing, disclosure and other use of data relating to an identifiable living individual (personal data). The GDPR, and national implementing legislation in EEA member states and the United Kingdom, imposes a strict data protection compliance regime, grants new rights for data subjects in regard to their personal data (including the right to be “forgotten” and the right to data portability) and enhances current rights (e.g., data subject access requests).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also subject to European Union rules with respect to cross-border transfers of personal data out of the EEA and the United Kingdom. Recent legal developments in Europe have created complexity and uncertainty regarding transfers of personal data from the EEA and the United Kingdom to the United States. On July 16, 2020, the Court of Justice of the European Union (the “CJEU”) invalidated the EU-U.S. Privacy Shield Framework (the “Privacy Shield”) under which personal data could be transferred from the EEA to U.S. entities who had self-certified under the Privacy Shield scheme. While the CJEU upheld the adequacy of the standard contractual clauses (a standard form of contract approved by the EU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To safeguard data transfers from the EEA to other jurisdictions, including the USA, we currently utilize standard contractual contracts approved by the EU Commission.</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CJEU decision may result in different EEA data protection regulators applying differing standards for the transfer of personal data from the EEA to the United States, and even require ad hoc verification of measures taken with respect to data flows. Therefore, as a result of this CJEU decision, we may be required to review, amend and take additional steps to legitimize impacted personal data transfers. As supervisory authorities issue further guidance on personal data export mechanisms, including circumstances where the standard contractual clauses cannot be used, and/or start taking enforcement action, we could suffer increased costs to ensure compliance as well as additional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business, financial condition and results of operations. The EU Commission has also published revised standard contractual clauses for data transfers from the EEA: the revised clauses must be used for relevant new data transfers from September 27, 2021; existing standard contractual clauses arrangements were migrated to the revised clauses by December 27, 2022.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the EU Commission and the United States have made progress in their negotiations to reach a new agreement on a framework for data privacy for trans-Atlantic data transfers, it is unclear when they will implement the new data privacy framework. They agreed to the Trans-Atlantic Data Privacy Framework in March 2022, President Biden signed an Executive Order on Enhancing Safeguards for United States Signals Intelligence Activities on October 7, 2022, and on December 13, 2022, the EU Commission issued a draft adequacy decision. The European Data Protection Board still needs to review the adequacy decision and issue an opinion, and then the Committee of representative of EU Member States will need to approve the new framework.</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relationship between the United Kingdom and the European Union in relation to certain aspects of data protection law remains unclear, and it is unclear how U.K. data protection laws and regulations, including those regarding data transfers to and from the United Kingdom, will develop in the medium to longer term. For example, while the EU Commission has adopted an adequacy decision in favor of the United Kingdom, enabling data transfers from EU member states to the United Kingdom without additional safeguards, the decision will automatically expire in June 2025 unless the EU Commission re-assesses and renews/extends it. These developments and this uncertainty will lead to additional costs and increase our overall risk exposure.</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also subject to evolving E.U. and U.K. privacy laws on cookies and e-marketing. In the E.U. and the U.K., regulators are increasingly focusing on compliance with current national laws that implement the ePrivacy Directive. The ePrivacy Directive may be replaced by an EU regulation known as the ePrivacy Regulation that will significantly increase fines for non-compliance. In the E.U. and the U.K., informed consent is required for the placement of certain cookies or similar technologies on a user’s device and for direct electronic marketing and (under the UK GDPR and the GDPR) valid consent is tightly defined, including, a prohibition on pre-checked consents and, in the context of cookies, a requirement to obtain separate consents for each type of cookie or similar technology. While the text of the ePrivacy Regulation is still under development, a December 2021 European court decision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have put in efforts to comply with these regulations, the uncertainty surrounding enforcement and changing privacy landscapes could change our compliance status. Similarly, there are a number of legislative proposals in the European Union, the United States, at both the federal and state level, as well as other jurisdictions that could impose new obligations or limitations in areas affecting our business.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that have greater resources. Even though we communicate with lawmakers and regulators in countries and regions in which we conduct business, and despite having a dedicated policy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could be involved in legal disputes that are expensive and time consuming, and, if resolved adversely, could harm our business, operating results, and financial condition.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involved in, and may in the future be involved in, actual and threatened legal proceedings, claims, investigations and government inquiries arising in the ordinary course of our business, including intellectual property, data privacy, cybersecurity,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spacing w:after="0" w:line="1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Exposure to United Kingdom political developments, including the effect of its withdrawal from the European Union, could be costly and difficult to comply with and could adversely impact our business, operating results, and financial condition.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2016, a referendum was passed in the United Kingdom to leave the European Union, commonly referred to as “Brexit.” This decision created an uncertain political and economic environment in the United Kingdom and other European Union countries, and the formal process for leaving the European Union has taken years to complete. Although the United Kingdom and the European Union have recently entered into a trade and cooperation agreement, the long-term nature of the United Kingdom’s relationship with the European Union remains unclear and there is considerable uncertainty as to their future political and economic relations. The political and economic instability created by Brexit has caused and may continue to cause significant volatility in global financial markets and uncertainty regarding the regulation of cybersecurity in the United Kingdom. In addition, Brexit could lead to legal uncertainty and potentially divergent national laws and regulations as the United Kingdom determines which European Union laws to replace or replicate. For example, as discussed above, although the European Commission has adopted an adequacy decision in favor of the United Kingdom, enabling data transfers from EU member states to the United Kingdom without additional safeguards, uncertainty remains regarding how data transfers to and from the United Kingdom will be regulated in the long term. Brexit could also have the effect of disrupting the free movement of goods, services, capital, and people between the United Kingdom, the European Union, and elsewhere. The full effect of Brexit is uncertain and depends on any current and future agreements the United Kingdom makes with the European Union and others. Consequently, no assurance can be given about the impact of these developments, and our operational, tax, and other policies may require reassessment and our business, operating results, and financial condition may be seriously harmed.</w:t>
      </w:r>
    </w:p>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obligations associated with operating as a public company require significant resources and management attention and have, and will continue to, cause us to incur additional expenses, which will adversely affect our profitability.</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Operating as a public company has and is expected to continue to increase our expenses as a result of the additional accounting, legal and various other additional expenses associated with operating as a public company and complying with public company disclosure obligations.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has increased, and will continue to increase, our legal and financial compliance costs, make some activities more difficult, time-consuming or costly and increase demand on our systems and resources. As a public company, we have and will continue to, among other things:</w:t>
      </w:r>
    </w:p>
    <w:p>
      <w:pPr>
        <w:spacing w:after="0" w:line="111" w:lineRule="exact"/>
        <w:rPr>
          <w:sz w:val="20"/>
          <w:szCs w:val="20"/>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 compliance with our obligations under the federal securities 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or expand the roles and duties of our Board of Directors and committees of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new and enhance existing internal policies, including those relating to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These changes, and the additional involvement of accountants and legal advisors, will require a significant commitment of additional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the cost of our directors’ and officers’ insurance coverage has increased as a public company.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Failure to maintain effective systems of internal controls and disclosure controls could have a material adverse effect on our business, operating results, and financial condition.</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w:t>
      </w:r>
    </w:p>
    <w:p>
      <w:pPr>
        <w:spacing w:after="0" w:line="13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incurred and expect to continue to incur significant expenses and devote substantial management effort toward ensuring compliance with the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expended, and anticipate that we will continue to expend, significant resources, including accounting related costs and significant management oversight.</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the value of our brands and other intangible assets may be diminished, and our business, operating results, and financial condition may be adversely affected.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proprietary information.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3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parties may claim that the Nextdoor platform infringes their intellectual property rights, and such claims may result in legal claims against us and our technology partners and customers. These claims may damage our brand and reputation and create liability for us. We expect the number of such claims to increase as the functionality of our platform overlaps with that of other products and services, and as the volume of issued software patents and patent applications continues to increase.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spacing w:after="0" w:line="1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subject us to possible litigation or could prevent us from offering products that include open source software or require us to obtain licenses on unfavorable terms.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using the open source software, or that we license such modifications or derivative works under the terms of the particular open source license.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business, operating results and financial condition would be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Class A common stock has been and may continue to be volatile.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spacing w:after="0" w:line="13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user growth, retention, engagement, revenue, or other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involving our competitors;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between our actual operating results and the expectations of securities analysts, investors, and the financial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our competitors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shares of our Class A common stock being sold into the market by us or our existing stockholders, or the anticipation of such sales, or if existing stockholders subject to a lock-up sell shares into the market when applicable “lock-up” periods end;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announcements by us or estimates by third parties of actual or anticipated changes in the size of our user base or the level of user engagement;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technology companies in our industry, including our partners and competitors;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interest rate increases on the overall stock market and the market for technology company stocks;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94" w:lineRule="exact"/>
        <w:rPr>
          <w:rFonts w:ascii="Arial" w:cs="Arial" w:eastAsia="Arial" w:hAnsi="Arial"/>
          <w:sz w:val="16"/>
          <w:szCs w:val="16"/>
          <w:color w:val="auto"/>
        </w:rPr>
      </w:pPr>
    </w:p>
    <w:p>
      <w:pPr>
        <w:ind w:left="660" w:hanging="328"/>
        <w:spacing w:after="0" w:line="34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effects of the ongoing COVID-19 pandemic, the war in Ukraine, recessions, rising inflation, interest rates, local and national elections, international currency fluctuations, corruption, political instability and acts of war or terrorism.</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S&amp;P Dow Jones and FTSE Russell limit their eligibility criteria for inclusion of shares of public companies on certain indices, including the S&amp;P 500, namely, to exclude companies with multiple classes of shares of common stock from being added to such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December 31, 2022.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spacing w:after="0" w:line="1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spacing w:after="0" w:line="12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resales of our Class A common stock may cause the market price of our securities to drop significantly, even if our business is doing well.</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December 31, 2022, we had 153,693,382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Provisions in our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spacing w:after="0" w:line="12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 created directorships;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Certificate of Incorporation and Bylaws;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only our chairperson of the Board of Directors, our chief executive officer, the lead independent director or a majority of our Board of Directors will be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 not provide for cumulative voting;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our Board of Directors is expressly authorized to make, alter, or repeal our Bylaws;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contains exclusive forum provisions for certain claims, which may limit our stockholders’ ability to obtain a favorable judicial forum for disputes with us or our directors, officers, or employees.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Forum Provision means that suits brought by our stockholders to enforce any duty or liability created by the Securities Act must be brought in federal court and cannot be brought in state court.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Our stockholders will not be deemed to have waived our compliance with the federal securities laws and the regulations promulgated thereunder.</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headquartered in San Francisco, California. As of December 31, 2022, we maintained offices in various locations in the United States and internationally, including approximately 115,770 square feet for our corporate headquarters. All of our facilities are leased. We believe that our current facilities are adequate to meet our current needs and that, should it be needed, suitable additional or alternative space will be available to accommodate our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or financial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Class A common stock began trading on the New York Stock Exchange under the symbol “KIND” on November 8, 2021. Prior to that date, there was no public trading market for our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Class B common stock is not listed or traded on any stock exchange.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24, 2023, there were 82 stockholders of record of our Class A common stock and 412 stockholders of record of our Class B common stock. The actual number of holders of our Class A and Class B common stock is greater than the number of record holders and includes stockholders who are beneficial owners, but whose shares are held in street name by brokers or other nominees. The number of holders of record presented here also does not include stockholders whose shares may be held in trust by other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never declared nor paid any cash dividends on our capital stock. We currently intend to retain all available funds and any future earnings for use in the operation of our business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our ability to pay dividends may be limited by covenants of any future indebtedness we incur.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(the “Proxy Statement”) for the 2023 Annual Meeting of Stockholders, to be filed with the SEC within 120 days of the year ended December 31, 2022,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March 26, 2021,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spacing w:after="0" w:line="21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Simultaneously with the consummation of the initial public offering, KVSB consummated a private placement of 1,100,000 private placement shares, at a price of $10.00 per share, to Khosla Ventures SPAC Sponsor II LLC (the “Sponsor”), generating gross proceeds to KVSB of $11.0 million. In connection with the underwriters’ partial exercise of their over-allotment option that closed on March 30, 2021, KVSB also consummated the sale of an additional 32,688 private placement shares to the Sponsor, generating gross proceeds of $0.3 million. Such securities were issued pursuant to the exemption from registration contained in Section 4(a)(2) of the Securities Act.</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31, 2022, our Board of Directors authorized and approved the Share Repurchase Program to repurchase up to $100.0 million in aggregate of our Class A common stock, with the authorization to expire on June 30, 2024. We did not repurchase or retire any shares of Class A common stock during the fourth quarter of 2022. During the year ended December 31, 2022, we repurchased and retired 23,251,703 shares of Class A common stock at an average purchase price of $3.32 per share for an aggregate repurchase price of $77.2 million. As of December 31, 2022, we had $22.8 million available for future share repurchases under the Share Repurchase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Nextdoor Holdings, Inc. under the Securities Act of 1933, as amended (the “Securities Act”), or the Exchange Act.</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graph shows a comparison of the cumulative total return for our Class A common stock, the Standard &amp; Poor's 500 Stock Index (“S&amp;P 500 Index”) and the Dow Jones Internet Composite Index (“DJ Internet Composite”). An investment of $100 and reinvestment of all dividends is assumed to have been made in our Class A common stock and in each index on November 8, 2021, the date our Class A common stock began trading on the New York Stock Exchange, and its relative performance is tracked through December 31, 2022.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93980</wp:posOffset>
            </wp:positionV>
            <wp:extent cx="6103620" cy="3257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0362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The following discussion and analysis provides information which our management believes is relevant to an assessment and understanding of our consolidated results of operations and financial condition. The discussion should be read together with our consolidated financial statements and related notes that are included elsewhere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Annual Report.</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Discussions regarding our financial condition and results of operations for the year ended December 31, 2022 compared to the year ended December 31, 2021 are presented below. Discussions regarding our financial condition and results of operations for the year ended December 31, 2021 compared to the year ended December 31, 2020 are located in Part II, Item 7, “Management’s Discussion and Analysis of Financial Condition and Results of Operations” of our Annual Report on Form 10-K for the year ended December 31, 2021, filed with the SEC on March 15,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Nextdoor, our purpose is to cultivate a kinder world where everyone has a neighborhood they can rely on. Nextdoor is the neighborhood network that connects neighborhood stakeholders, including neighbors, businesses and public services, online and in real life to build stronger, more vibrant, and resilient neighborhoods. As of December 31, 2022, Nextdoor was in more than 305,000 neighborhoods around the world and in 1 in 3 households in the United States, and during the fourth quarter of 2022, we reached 78 million global Verified Neighbors. Nextdoor is built on the power of hyperlocal community. Neighbors and organizations, which include small and mid-sized businesses, large brands, public agencies, and nonprofits, around the world turn to Nextdoor to receive trusted information, give and get help, and build real-world connections with neighborhood stakeholders.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business metrics for the three months ended December 31, 2022 are as follows:</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Weekly active users (“WAUs”) were 40.0 million, an increase of 11% compared to the three months ended December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Average revenue per weekly active user (“ARPU”) was $1.33, a decrease of 19% compared to the three months ended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as of and for the year ended December 31, 2022 are as follows:</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was $212.8 million, an increase of 11% compared to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costs and expenses were $357.0 million, an increase of 24% compared to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loss increased 45% to $(137.9) million in 2022, compared to $(95.3) million in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loss increased 73% to $(75.5) million in 2022, compared to $(43.7) million in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cash equivalents, and marketable securities were $583.3 million.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Management’s Discussion and Analysis of Financial Condition and Results of Operations—Non-GAAP Financial Measure</w:t>
      </w:r>
      <w:r>
        <w:rPr>
          <w:rFonts w:ascii="Arial" w:cs="Arial" w:eastAsia="Arial" w:hAnsi="Arial"/>
          <w:sz w:val="18"/>
          <w:szCs w:val="18"/>
          <w:color w:val="auto"/>
        </w:rPr>
        <w:t>” below for more information and for a reconciliation of net loss, the most directly comparable financial measure calculated and presented in accordance with U.S. generally accepted accounting principles (“GAAP”), to 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metrics to evaluate our business, measure our performance, develop financial forecasts,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Weekly Active Users (WAUs)</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define a Weekly Active User (“WAU”) as a Nextdoor user who opens our application, logs on to our website, or engages with an email with monetizable content at least once during a defined 7-day period.</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 calculate average WAUs for a particular period by calculating the count of unique users, on a rolling basis for the past seven days, for each day of that period, and dividing that sum by the number of days in that period. We assess the health of our business by measuring WAUs because we believe that weekly usage best captures the cadence at which we expect a healthy user base to engage with, and derive the most utility from our platform, and by extension their neighborhood. We also present WAUs by geography because we are more advanced in engagement and monetization in the United States than internationally.</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September 2021, Apple released changes to the Apple email client available on its operating systems, including iOS 15 and iPadOS 15, which limit our ability to measure user engagement with emails containing monetizable content for users that use the Apple email client. The introduction of these changes impacts our ability to accurately calculate a portion of WAUs for periods following the adoption of the updated operating systems. Following this introduction, we use estimates for these user engagement numbers based on historical data sets, as well as data from users who engage with Nextdoor’s monetizable content on email clients other than Apple email.</w:t>
      </w:r>
    </w:p>
    <w:p>
      <w:pPr>
        <w:spacing w:after="0" w:line="1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WAU for the three months ended December 31, 2022 and 2021 was 40.0 million and 35.9 million, respectively. In 2022, engagement as measured by WAUs has grown steadily as users have returned to our platform for the utility that it offers them. As illustrated below, our international WAUs have grown at a faster rate than our U.S. WAUs, and we expect this international growth to continue to outpace U.S. growth in the near term.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Average Weekly Active Users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37555" cy="3009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37555"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8"/>
        <w:spacing w:after="0" w:line="223" w:lineRule="auto"/>
        <w:tabs>
          <w:tab w:leader="none" w:pos="103" w:val="left"/>
        </w:tabs>
        <w:numPr>
          <w:ilvl w:val="0"/>
          <w:numId w:val="29"/>
        </w:numPr>
        <w:rPr>
          <w:rFonts w:ascii="Arial" w:cs="Arial" w:eastAsia="Arial" w:hAnsi="Arial"/>
          <w:sz w:val="23"/>
          <w:szCs w:val="23"/>
          <w:color w:val="auto"/>
          <w:vertAlign w:val="superscript"/>
        </w:rPr>
      </w:pPr>
      <w:r>
        <w:rPr>
          <w:rFonts w:ascii="Arial" w:cs="Arial" w:eastAsia="Arial" w:hAnsi="Arial"/>
          <w:sz w:val="14"/>
          <w:szCs w:val="14"/>
          <w:color w:val="auto"/>
        </w:rPr>
        <w:t>Emails with monetizable content are emails with a primary purpose to regularly inform users about topics that are relevant to them, and are therefore appropriate for delivering ads to users.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(“CPM”) basis, a cost per click (“CPC”) basis, or on a fixed-fee basis. While we have the ability to serve ads in all emails with monetizable content, we currently only do so on a portion of the total.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589280</wp:posOffset>
            </wp:positionV>
            <wp:extent cx="5349240" cy="27432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Weekly Active User (ARPU)</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generate revenue primarily from advertising. We measure monetization of our platform through our ARPU metric. We define ARPU as our total revenue in that geography during a period divided by the average of the number of WAUs in that geography during the same period. We present ARPU on a U.S. and international basis because we are more advanced in our monetization in the United States than internationally.</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U.S. ARPU is higher primarily due to our decision to focus our earliest monetization efforts there, the size and maturity of our audience in the United States, as well the size of the U.S. advertising market. For purposes of calculating ARPU, revenue by user geography is apportioned to each region based on a determination of the location of the account where the revenue-generating activities occur. Our ARPU for the years ended December 31, 2022 and 2021 was $5.60 and $6.13, respectively, with the decrease due to stronger WAU growth relative to revenue growth.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ARPU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120015</wp:posOffset>
            </wp:positionV>
            <wp:extent cx="5349240" cy="5734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573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Macroeconomic Conditions. </w:t>
      </w:r>
      <w:r>
        <w:rPr>
          <w:rFonts w:ascii="Arial" w:cs="Arial" w:eastAsia="Arial" w:hAnsi="Arial"/>
          <w:sz w:val="18"/>
          <w:szCs w:val="18"/>
          <w:color w:val="auto"/>
        </w:rPr>
        <w:t>Macroeconomic conditions, such as inflation, supply chain issues, fluctuations in foreign currency exchange rates, 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other platforms and other risks and uncertainties have impacted, and all or some of these factors may continue to impact, advertiser demand, user growth, user engagement, and our business, operations and financial results. See "Risk Factors" and "Special Note Regarding Forward-Looking Statements” for additional details.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Growth in and Engagement of Users. </w:t>
      </w:r>
      <w:r>
        <w:rPr>
          <w:rFonts w:ascii="Arial" w:cs="Arial" w:eastAsia="Arial" w:hAnsi="Arial"/>
          <w:sz w:val="18"/>
          <w:szCs w:val="18"/>
          <w:color w:val="auto"/>
        </w:rPr>
        <w:t>We measure growth in, and engagement of, users by tracking WAUs. As the size and engagement of our user base</w:t>
      </w:r>
      <w:r>
        <w:rPr>
          <w:rFonts w:ascii="Arial" w:cs="Arial" w:eastAsia="Arial" w:hAnsi="Arial"/>
          <w:sz w:val="18"/>
          <w:szCs w:val="18"/>
          <w:i w:val="1"/>
          <w:iCs w:val="1"/>
          <w:color w:val="auto"/>
        </w:rPr>
        <w:t xml:space="preserve"> </w:t>
      </w:r>
      <w:r>
        <w:rPr>
          <w:rFonts w:ascii="Arial" w:cs="Arial" w:eastAsia="Arial" w:hAnsi="Arial"/>
          <w:sz w:val="18"/>
          <w:szCs w:val="18"/>
          <w:color w:val="auto"/>
        </w:rPr>
        <w:t>grows, we believe the potential to increase our revenue grows.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may face challenges increasing the size and engagement of our user base due to a number of factors including competition, challenges in acquiring and engaging users, or changes in regulations.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Growth in Monetization</w:t>
      </w:r>
      <w:r>
        <w:rPr>
          <w:rFonts w:ascii="Arial" w:cs="Arial" w:eastAsia="Arial" w:hAnsi="Arial"/>
          <w:sz w:val="18"/>
          <w:szCs w:val="18"/>
          <w:color w:val="auto"/>
        </w:rPr>
        <w:t>. Monetization trends, which are reflected in our ARPU, are a key factor that affects our revenue and financial results. To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monetization, we are focused on serving more national brands by building out our salesforce, and enhancing our self-serve tools for customers of all sizes. We are also focused on increasing our user base and engagement in the United States and internationally, which will increase the opportunities for businesses to advertise on Nextdoor.</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many variables that impact ARPU, including the number of ad impressions shown on our platform and the price per ad, which depends on a number of factors including the engagement of our user base, the number and diversity of our customers, seasonality of advertising spend, our customers’ advertising objectives, advertising performance, the effectiveness of our advertising products, our ability to measure that effectiveness for our customer, and the effect of geographic differences on each of these factors.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our decision to focus our earliest monetization efforts in the United States, we have less experience monetizing international markets and therefore may experience challenges scaling and monetizing these markets. The international advertising market is also less mature than the U.S. digital advertising market.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Investment for Growth. </w:t>
      </w:r>
      <w:r>
        <w:rPr>
          <w:rFonts w:ascii="Arial" w:cs="Arial" w:eastAsia="Arial" w:hAnsi="Arial"/>
          <w:sz w:val="18"/>
          <w:szCs w:val="18"/>
          <w:color w:val="auto"/>
        </w:rPr>
        <w:t>We intend to continue to invest in technology that we believe will enhance user and customer experiences. We also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invest heavily in our advertising products, including our proprietary Nextdoor Ads Platform and first-party and third-party ad measurement tools, as well as our sales team. Our ability to grow our user base, attract new advertisers, increase our revenue, and expand our total addressable market will depend, in part, on our ability to continue innovating.</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International Expansion. </w:t>
      </w:r>
      <w:r>
        <w:rPr>
          <w:rFonts w:ascii="Arial" w:cs="Arial" w:eastAsia="Arial" w:hAnsi="Arial"/>
          <w:sz w:val="17"/>
          <w:szCs w:val="17"/>
          <w:color w:val="auto"/>
        </w:rPr>
        <w:t>Our early proof points from launches in certain countries outside of the United States show user engagement across international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on par with the U.S. market. We believe that increased international monetization presents an important opportunity for growth, and we are working on localizing our product and expanding our operations to better serve our international user and customer base. We are still in the early stages of global expansion and will continue to evaluate expansion opportunities in our current international markets, and also in additional geographies. Over time, we believe that international WAUs can grow rapidly. We also believe that we can increase the monetization of users in international markets and that we can increase long-term ARPU for international WAUs from current levels. While we expect to grow ARPU for international WAUs, we still expect this to be lower than ARPU for U.S. WAUs. We expect that our international expansion will require significant investment. Although our investments in international expansion may adversely affect our operating results in the near term, we believe that they will contribute to our long-term growth. If our near-term investments do not lead to increased international WAUs and ARPU and expected revenue growth over time, we may not achieve or, if achieved, maintain profitability and our growth rates may slow or decline.</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Industry advertising spend tends to be strongest in the fourth quarter, and we observe a similar pattern in our historical revenue. Our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the current macroeconomic environment have partially masked these trends in historical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generate substantially all of our revenue from the delivery of advertisements on our platform which includes the delivery of advertising impressions sold on a CPM basis and CPC basis, as well as on a fixed-fee basis. The majority of our revenue is generated in the United States.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 costs associated with delivering and supporting our advertising products and credit card transaction fees related to processing customer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expenses consist primarily of personnel-related costs, including salaries, benefits,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and marketing expenses consist of personnel-related and other costs which include salaries, commissions, benefits,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small and mid-sized customer acquisition, and neighbor services, which includes personnel-related costs for our neighbor support team, our outsourced neighbor support function, and verification costs.</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Performance marketing costs related to user acquisition largely consist of the distribution of mailed invitations and, to a lesser extent, digital advertising. Performance marketing costs related to small and mid-sized customer acquisition largely consists of digital advertising and, to a lesser extent, direct mail campaigns.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consist primarily of personnel-related costs, including salaries, benefits,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our cash, cash equivalents, and marketable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consists primarily of unrealized gains and losses from the re-measurement of monetary assets and liabilities denominated in non-functional currencies, and foreign currency transaction gains and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results of operations presented below should be reviewed in conjunction with our consolidated financial statements and related notes thereto included elsewhere in this Annual Report. The following table sets forth our consolidated results of operations for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8"/>
          </w:tcPr>
          <w:p>
            <w:pPr>
              <w:jc w:val="right"/>
              <w:ind w:right="492"/>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22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212,765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192,197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123,284</w:t>
            </w:r>
          </w:p>
        </w:tc>
        <w:tc>
          <w:tcPr>
            <w:tcW w:w="0" w:type="dxa"/>
            <w:vAlign w:val="bottom"/>
          </w:tcPr>
          <w:p>
            <w:pPr>
              <w:spacing w:after="0"/>
              <w:rPr>
                <w:sz w:val="1"/>
                <w:szCs w:val="1"/>
                <w:color w:val="auto"/>
              </w:rPr>
            </w:pPr>
          </w:p>
        </w:tc>
      </w:tr>
      <w:tr>
        <w:trPr>
          <w:trHeight w:val="229"/>
        </w:trPr>
        <w:tc>
          <w:tcPr>
            <w:tcW w:w="62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Costs and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38,981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28,813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21,586</w:t>
            </w:r>
          </w:p>
        </w:tc>
        <w:tc>
          <w:tcPr>
            <w:tcW w:w="0" w:type="dxa"/>
            <w:vAlign w:val="bottom"/>
          </w:tcPr>
          <w:p>
            <w:pPr>
              <w:spacing w:after="0"/>
              <w:rPr>
                <w:sz w:val="1"/>
                <w:szCs w:val="1"/>
                <w:color w:val="auto"/>
              </w:rPr>
            </w:pPr>
          </w:p>
        </w:tc>
      </w:tr>
      <w:tr>
        <w:trPr>
          <w:trHeight w:val="230"/>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127,073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97,096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69,231</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123,182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106,430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67,733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54,664</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28,793</w:t>
            </w: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356,969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287,003</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199,935</w:t>
            </w:r>
          </w:p>
        </w:tc>
        <w:tc>
          <w:tcPr>
            <w:tcW w:w="0" w:type="dxa"/>
            <w:vAlign w:val="bottom"/>
          </w:tcPr>
          <w:p>
            <w:pPr>
              <w:spacing w:after="0"/>
              <w:rPr>
                <w:sz w:val="1"/>
                <w:szCs w:val="1"/>
                <w:color w:val="auto"/>
              </w:rPr>
            </w:pPr>
          </w:p>
        </w:tc>
      </w:tr>
      <w:tr>
        <w:trPr>
          <w:trHeight w:val="223"/>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(144,204)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(94,806)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(76,651)</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(1,343)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(539)</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(136,243)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(95,168)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(75,107)</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1,673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(137,916)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(95,325)</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__________________</w:t>
            </w: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2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22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60" w:type="dxa"/>
            <w:vAlign w:val="bottom"/>
            <w:gridSpan w:val="9"/>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5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54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1440" w:type="dxa"/>
            <w:vAlign w:val="bottom"/>
            <w:gridSpan w:val="5"/>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540" w:type="dxa"/>
            <w:vAlign w:val="bottom"/>
            <w:gridSpan w:val="5"/>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w w:val="90"/>
              </w:rPr>
              <w:t>35,567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20,690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10,235</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10,160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w w:val="90"/>
              </w:rPr>
              <w:t>16,066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18,970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8,065</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6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w w:val="90"/>
              </w:rPr>
              <w:t>64,420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47,514</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22,608</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consolidated statements of operations as a percentage of revenue for each of the periods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80" w:type="dxa"/>
            <w:vAlign w:val="bottom"/>
            <w:gridSpan w:val="9"/>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3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6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ind w:left="54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ind w:left="5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5"/>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5"/>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(50)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5"/>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1"/>
              </w:rPr>
              <w:t>(50)%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5"/>
              </w:rPr>
              <w:t>(61)%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Note: Certain figures may not sum due to rounding.</w:t>
            </w: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660" w:type="dxa"/>
            <w:vAlign w:val="bottom"/>
          </w:tcPr>
          <w:p>
            <w:pPr>
              <w:spacing w:after="0"/>
              <w:rPr>
                <w:sz w:val="20"/>
                <w:szCs w:val="20"/>
                <w:color w:val="auto"/>
              </w:rPr>
            </w:pPr>
            <w:r>
              <w:rPr>
                <w:rFonts w:ascii="Arial" w:cs="Arial" w:eastAsia="Arial" w:hAnsi="Arial"/>
                <w:sz w:val="18"/>
                <w:szCs w:val="18"/>
                <w:b w:val="1"/>
                <w:bCs w:val="1"/>
                <w:color w:val="auto"/>
              </w:rPr>
              <w:t>Comparison of the Years Ended December 31, 2022 and 2021</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8"/>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24"/>
                <w:szCs w:val="24"/>
                <w:color w:val="auto"/>
              </w:rPr>
            </w:pPr>
          </w:p>
        </w:tc>
        <w:tc>
          <w:tcPr>
            <w:tcW w:w="1540" w:type="dxa"/>
            <w:vAlign w:val="bottom"/>
            <w:gridSpan w:val="5"/>
          </w:tcPr>
          <w:p>
            <w:pPr>
              <w:ind w:left="92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212,765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192,197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increased by $20.6 million, or 11%, for the year ended December 31, 2022 compared to the year ended December 31, 2021. The increase was primarily due to increased advertiser demand for our product offerings and increased user engagement as measured by a 21% increase in WAUs. Year-to-date ARPU decreased 9% reflecting stronger year-over-year WAU growth relative to revenue growth.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6"/>
                <w:szCs w:val="16"/>
                <w:color w:val="auto"/>
              </w:rPr>
            </w:pPr>
          </w:p>
        </w:tc>
        <w:tc>
          <w:tcPr>
            <w:tcW w:w="114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38,981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revenue increased by $10.2 million, or 35%, for the year ended December 31, 2022 compared to the year ended December 31, 2021. The increase was primarily due to $6.3 million higher third-party hosting costs due to increased user growth and engagement, a $1.2 million increase in third-party costs associated with delivering and supporting our advertising products, and a $2.2 million increase in allocated personnel-related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6"/>
                <w:szCs w:val="16"/>
                <w:color w:val="auto"/>
              </w:rPr>
            </w:pPr>
          </w:p>
        </w:tc>
        <w:tc>
          <w:tcPr>
            <w:tcW w:w="114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127,073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29,977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expenses increased by $30.0 million, or 31%, for the year ended December 31, 2022 compared to the year ended December 31, 2021. The increase was primarily due to a $25.6 million increase in personnel-related costs primarily driven by an increase in headcount, a $2.5 million increase in third-party software costs, and a $1.2 million increase in allocated overhead costs reflecting an increase in headcount.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6"/>
                <w:szCs w:val="16"/>
                <w:color w:val="auto"/>
              </w:rPr>
            </w:pPr>
          </w:p>
        </w:tc>
        <w:tc>
          <w:tcPr>
            <w:tcW w:w="114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 and other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56,950</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Brand and performance marketing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37,534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(3,906)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Neighbor services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Total sales and marketing</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123,182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106,430</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16,752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marketing expenses increased by $16.8 million, or 16%, for the year ended December 31, 2022 compared to the year ended December 31, 2021. The increase was primarily due to a $20.8 million increase in personnel-related and other costs, which was driven by an increase in headcount, a $1.7 million increase in performance marketing costs to attract small and mid-sized customers, partially offset by a $5.6 million decrease in performance marketing costs for user acquisition as focus shifted to organic user acquisition channels.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6"/>
                <w:szCs w:val="16"/>
                <w:color w:val="auto"/>
              </w:rPr>
            </w:pPr>
          </w:p>
        </w:tc>
        <w:tc>
          <w:tcPr>
            <w:tcW w:w="114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67,733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13,069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increased by $13.1 million, or 24%, for the year ended December 31, 2022 compared to the year ended December 31, 2021. The increase was primarily due to a $4.5 million increase in personnel-related costs which was driven by an increase in headcount, a $4.5 million increase in insurance expenses, a $1.6 million increase in information technology costs, and a $1.6 million increase in professional services fees primarily related to operating as a public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148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5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vMerge w:val="restart"/>
          </w:tcPr>
          <w:p>
            <w:pPr>
              <w:jc w:val="right"/>
              <w:ind w:right="58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(NM = Not Meaningful)</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9,127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increased by $9.1 million for the year ended December 31, 2022 compared to the year ended December 31, 2021. The increase was primarily driven by higher interest rates and an increase in investment in marketable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5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5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increased by $0.8 million, or 149%, for the year ended December 31, 2022 compared to the year ended December 31, 2021. The increase was primarily due to the periodic re-measurement of monetary assets and liabilities denominated in non-functional currencies.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34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60" w:type="dxa"/>
            <w:vAlign w:val="bottom"/>
            <w:vMerge w:val="continue"/>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5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54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 for income taxes increased by $1.5 million, or 966%, for the year ended December 31, 2022 compared to the year ended December 31, 2021. The increase was primarily due to cumulative adjustments to intercompany pricing with our foreign subsidiaries.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inception, we have generated negative cash flows from operations and have primarily financed our operations from net proceeds received from the sale of equity securities, proceeds from the Business Combination, and payments received from our customers. We currently have no debt outstanding.</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generated losses from our operations, as reflected in our accumulated deficit of $618.3 million as of December 31, 2022.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expansion of our business.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2022, we had $583.3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the number of shares repurchased under our share repurchase program (the “Share Repurchase Program”), and our ability to obtain equity or debt financing.</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We currently anticipate that the Share Repurchase Program will extend through June 30, 2024, or such shorter period if $100.0 million in aggregate of shares of our Class A common stock have been repurchased. The Share Repurchase Program does not obligate us to repurchase any dollar amount or number of shares, and the program may be extended, modified, suspended, or discontinued at any time. During the year ended December 31, 2022, we repurchased and retired 23,251,703 shares of Class A common stock at an average purchase price of $3.32 per share for an aggregate repurchase price of $77.2 million. As of December 31, 2022, we had $22.8 million available for future share repurchases under the Share Repurchase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(41,604)</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(342,448)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(149,522)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36,792</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operating activities during the year ended December 31, 2022 was $60.5 million which resulted from a net loss of $137.9 million, adjusted for non-cash charges of $68.0 million and net cash inflows of $9.4 million from changes in operating assets and liabilities. Non-cash charges primarily consisted of $64.4 million of stock-based compensation expense and $5.7 million of depreciation and amortization expense. The net cash inflows from changes in operating assets and liabilities were primarily due to a $7.7 million increase in accrued expenses and other current liabilities, a $6.9 million decrease in operating lease right-of-use assets due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normal amortization, and a $4.1 million decrease in prepaid expenses and other current assets. These amounts were partially offset by a $7.1 million decrease in operating lease liabilities due to lease payments, and a $1.6 million decrease in accounts payable.</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used in operating activities during the year ended December 31, 2021 was $51.3 million which resulted from a net loss of $95.3 million, adjusted for non-cash charges of $52.0 million and net cash outflows of $7.9 million from changes in operating assets and liabilities. Non-cash charges primarily consisted of $47.5 million of stock-based compensation expense and $4.2 million of depreciation and amortization expense. The net cash outflows from changes in operating assets and liabilities were primarily due to an $8.2 million increase in accounts receivable, a $4.1 million increase in prepaid expenses and other current assets, and a $5.8 million decrease in operating lease liabilities due to lease payments. These amounts were partially offset by a $6.6 million decrease in operating lease right-of-use assets due to normal amortization and a $2.8 million increase in accounts payable.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investing activities for the year ended December 31, 2022 was $342.4 million, which consisted of purchases of marketable securities of $711.9 million, a loan to Opportunity Finance Network of $5.0 million, and purchases of property and equipment of $3.2 million. This was partially offset by proceeds from maturities of marketable securities of $366.8 million and proceeds from sales of marketable securities of $10.8 million.</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for the year ended December 31, 2021 was $149.5 million, which consisted of purchases of marketable securities of $199.8 million and the purchase of property and equipment of $8.8 million. This was offset by proceeds from maturities of marketable securities of $56.7 million and proceeds from sales of marketable securities of $2.4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financing activities for the year ended December 31, 2022 was $64.3 million, which consisted of repurchases of common stock of $77.2 million. This was partially offset by $12.5 million of proceeds from the exercise of stock options, net of repurchases.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financing activities for the year ended December 31, 2021 was $637.6 million, which consisted of $628.5 million in proceeds from the Business Combination and $15.3 million of proceeds from the exercise of stock options, net of repurchases. This was partially offset by the payment of deferred transaction costs of $5.4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is a non-GAAP financial measure that represents our net loss adjusted for depreciation and amortization, stock-based compensation, net interest income, provision for income taxes, and any acquisition-related costs.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loss, the most comparable GAAP measure, to Adjusted EBITDA: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(75,234)</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22,608</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(50,168)</w:t>
            </w: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prepare our consolidated financial statements in accordance with GAAP. Preparing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critical accounting policies requiring estimates, assumptions, and judgments that we believe have the most significant impact on our consolidated financial statements are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generate a majority of our revenue from the delivery of advertising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71"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advertising revenue after satisfying our contractual performance obligation, which, for the majority of our advertising arrangements, is when an advertising impression is displayed to users. None of our arrangements contain minimum impression guarantees. We typically bill advertisers on a monthly basis and our payment terms vary by customer type and location. We have other advertising arrangements which are typically fixed-fee arrangements and revenue is recognized on a straight-line basis over the non-cancellable contractual term of the agreement, generally beginning on the date our service is made available to the customer.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certain advertising arrangements we require payment upfront from our customers. We record deferred revenue when we collect cash from customers in advance of revenue recognition.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inception of our contracts we determine if the contract is or contains a lease. A contract is or contains a lease if it conveys the right to control the use of an identified asset for a period of time in exchange for consideration. Operating leases consist of real estate leases and are included in operating lease right-of-use assets and operating lease liabilities on our consolidated balance sheets at commencement date based on the present value of remaining fixed lease payments.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the discount rate implicit in the lease cannot be readily determined, we use the applicable incremental borrowing rate at lease commencement in order to discount lease payments to present value for purposes of performing lease classification tests and measuring the lease liability. The incremental borrowing rate is a hypothetical rate based on the rate of interest we would have to pay to borrow on a collateralized basis over a similar term and amount equal to the lease payments in a similar economic environment.</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Stock-based compensation expense for stock-based awards is measured based on the grant date fair value of the awards and recognized in the consolidated statements of operations on a straight-line basis over the requisite service period of the awards. The grant date fair value of stock options granted is estimated using the Black-Scholes option pricing model. Forfeitures are accounted for as they occur. Historically, our stock option awards and restricted stock permitted early exercise. The unvested portion of shares exercised is recorded as a liability on our consolidated balance sheets and reclassified into stockholders’ equity (deficit) as vesting occurs.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Black-Scholes option-pricing model requires the use of highly subjective assumptions. These assumptions are estimated as follows:</w:t>
      </w:r>
    </w:p>
    <w:p>
      <w:pPr>
        <w:spacing w:after="0" w:line="171" w:lineRule="exact"/>
        <w:rPr>
          <w:sz w:val="20"/>
          <w:szCs w:val="20"/>
          <w:color w:val="auto"/>
        </w:rPr>
      </w:pPr>
    </w:p>
    <w:p>
      <w:pPr>
        <w:jc w:val="both"/>
        <w:ind w:left="660" w:hanging="328"/>
        <w:spacing w:after="0" w:line="31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Fair Value of the Underlying Common Stock—Prior to the Business Combination, the Board of Directors considered numerous objective and subjective factors to determine the fair value of our common stock. After the Business Combination, the fair value of the underlying common stock is determined by the closing price, on the date of grant, of our Class A common stock, which is traded on the New York Stock Exchange.</w:t>
      </w:r>
    </w:p>
    <w:p>
      <w:pPr>
        <w:spacing w:after="0" w:line="94" w:lineRule="exact"/>
        <w:rPr>
          <w:rFonts w:ascii="Arial" w:cs="Arial" w:eastAsia="Arial" w:hAnsi="Arial"/>
          <w:sz w:val="16"/>
          <w:szCs w:val="16"/>
          <w:color w:val="auto"/>
        </w:rPr>
      </w:pPr>
    </w:p>
    <w:p>
      <w:pPr>
        <w:jc w:val="both"/>
        <w:ind w:left="660" w:hanging="328"/>
        <w:spacing w:after="0" w:line="31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Expected Volatility—Expected volatility is a measure of the amount by which the stock price is expected to fluctuate. Since we do not have sufficient trading history of our common stock, we estimate the expected volatility of our stock options at their grant date by taking the weighted average historical volatility of a group of comparable publicly traded companies over a period equal to the expected term of the options;</w:t>
      </w:r>
    </w:p>
    <w:p>
      <w:pPr>
        <w:spacing w:after="0" w:line="94" w:lineRule="exact"/>
        <w:rPr>
          <w:rFonts w:ascii="Arial" w:cs="Arial" w:eastAsia="Arial" w:hAnsi="Arial"/>
          <w:sz w:val="16"/>
          <w:szCs w:val="16"/>
          <w:color w:val="auto"/>
        </w:rPr>
      </w:pPr>
    </w:p>
    <w:p>
      <w:pPr>
        <w:jc w:val="both"/>
        <w:ind w:left="660" w:hanging="328"/>
        <w:spacing w:after="0" w:line="31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Expected Term—We determine the expected term based on the average period the stock options are expected to remain outstanding using the simplified method,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 Free Interest Rate—We use the U.S. Treasury yield for our risk-free interest rate that corresponds with the expected term;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Dividend Yield—We utilize a dividend yield of zero, as we do not currently issue dividends and do not expect to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income taxes in the United States and numerous foreign jurisdictions. Significant judgment is required in determining our uncertain tax positions. We recognize a tax benefit from an uncertain tax position only if it is more likely than not that the tax position will be sustained on examination by the taxing authorities, based on the technical merits of the position.</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Deferred income taxes are recognized for differences between financial reporting and tax bases of assets and liabilities at the enacted statutory tax rates in effect for the years in which the temporary differences are expected to reverse. We make an assessment of the likelihood that the resulting deferred tax assets will be realized. A valuation allowance is provided when it is more likely than not that some portion or all of a deferred tax asset will not be realized.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2 to our consolidated financial statements included elsewhere in this Annual Report for more information regarding recently issued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we had cash and cash equivalents of $55.2 million and marketable securities of $528.1 million. Our cash and cash equivalents consist of cash in bank accounts, demand deposits, money market funds, corporate bonds, and commercial paper.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consolidated financial statements for the periods presented. To date, we have not had a formal hedging program with respect to foreign currency, but we may do so in the future if our exposure to foreign currency should become more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6"/>
        </w:trPr>
        <w:tc>
          <w:tcPr>
            <w:tcW w:w="4300" w:type="dxa"/>
            <w:vAlign w:val="bottom"/>
            <w:gridSpan w:val="6"/>
            <w:vMerge w:val="restart"/>
          </w:tcPr>
          <w:p>
            <w:pPr>
              <w:spacing w:after="0" w:line="195" w:lineRule="exact"/>
              <w:rPr>
                <w:sz w:val="20"/>
                <w:szCs w:val="20"/>
                <w:color w:val="auto"/>
              </w:rPr>
            </w:pPr>
            <w:r>
              <w:rPr>
                <w:rFonts w:ascii="Arial" w:cs="Arial" w:eastAsia="Arial" w:hAnsi="Arial"/>
                <w:sz w:val="18"/>
                <w:szCs w:val="18"/>
                <w:color w:val="0000FF"/>
                <w:w w:val="91"/>
              </w:rPr>
              <w:t>Reports of Independent Registered Public Accounting Firm</w:t>
            </w:r>
          </w:p>
        </w:tc>
        <w:tc>
          <w:tcPr>
            <w:tcW w:w="3160" w:type="dxa"/>
            <w:vAlign w:val="bottom"/>
            <w:vMerge w:val="restart"/>
          </w:tcPr>
          <w:p>
            <w:pPr>
              <w:ind w:left="40"/>
              <w:spacing w:after="0"/>
              <w:rPr>
                <w:sz w:val="20"/>
                <w:szCs w:val="20"/>
                <w:color w:val="auto"/>
              </w:rPr>
            </w:pPr>
            <w:r>
              <w:rPr>
                <w:rFonts w:ascii="Arial" w:cs="Arial" w:eastAsia="Arial" w:hAnsi="Arial"/>
                <w:sz w:val="18"/>
                <w:szCs w:val="18"/>
                <w:color w:val="auto"/>
              </w:rPr>
              <w:t>(PCAOB ID: 42)</w:t>
            </w:r>
          </w:p>
        </w:tc>
        <w:tc>
          <w:tcPr>
            <w:tcW w:w="2580" w:type="dxa"/>
            <w:vAlign w:val="bottom"/>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300" w:type="dxa"/>
            <w:vAlign w:val="bottom"/>
            <w:tcBorders>
              <w:bottom w:val="single" w:sz="8" w:color="0000FF"/>
            </w:tcBorders>
            <w:gridSpan w:val="6"/>
            <w:vMerge w:val="continue"/>
          </w:tcPr>
          <w:p>
            <w:pPr>
              <w:spacing w:after="0"/>
              <w:rPr>
                <w:sz w:val="15"/>
                <w:szCs w:val="15"/>
                <w:color w:val="auto"/>
              </w:rPr>
            </w:pPr>
          </w:p>
        </w:tc>
        <w:tc>
          <w:tcPr>
            <w:tcW w:w="3160" w:type="dxa"/>
            <w:vAlign w:val="bottom"/>
            <w:tcBorders>
              <w:bottom w:val="single" w:sz="8" w:color="0000FF"/>
            </w:tcBorders>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69" w:lineRule="exact"/>
              <w:rPr>
                <w:sz w:val="20"/>
                <w:szCs w:val="20"/>
                <w:color w:val="auto"/>
              </w:rPr>
            </w:pPr>
            <w:r>
              <w:rPr>
                <w:rFonts w:ascii="Arial" w:cs="Arial" w:eastAsia="Arial" w:hAnsi="Arial"/>
                <w:sz w:val="18"/>
                <w:szCs w:val="18"/>
                <w:color w:val="0000FF"/>
                <w:w w:val="89"/>
              </w:rPr>
              <w:t>60</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Consolidated Balance Sheets</w:t>
            </w:r>
          </w:p>
        </w:tc>
        <w:tc>
          <w:tcPr>
            <w:tcW w:w="794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89"/>
              </w:rPr>
              <w:t>63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Consolidated Statements of Operations</w:t>
            </w:r>
          </w:p>
        </w:tc>
        <w:tc>
          <w:tcPr>
            <w:tcW w:w="72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89"/>
              </w:rPr>
              <w:t>64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4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Loss</w:t>
            </w:r>
          </w:p>
        </w:tc>
        <w:tc>
          <w:tcPr>
            <w:tcW w:w="680" w:type="dxa"/>
            <w:vAlign w:val="bottom"/>
            <w:gridSpan w:val="2"/>
          </w:tcPr>
          <w:p>
            <w:pPr>
              <w:jc w:val="center"/>
              <w:ind w:left="416"/>
              <w:spacing w:after="0"/>
              <w:rPr>
                <w:sz w:val="20"/>
                <w:szCs w:val="20"/>
                <w:color w:val="auto"/>
              </w:rPr>
            </w:pPr>
            <w:r>
              <w:rPr>
                <w:rFonts w:ascii="Arial" w:cs="Arial" w:eastAsia="Arial" w:hAnsi="Arial"/>
                <w:sz w:val="18"/>
                <w:szCs w:val="18"/>
                <w:color w:val="0000FF"/>
                <w:w w:val="89"/>
              </w:rPr>
              <w:t>65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40" w:type="dxa"/>
            <w:vAlign w:val="bottom"/>
            <w:gridSpan w:val="8"/>
          </w:tcPr>
          <w:p>
            <w:pPr>
              <w:spacing w:after="0"/>
              <w:rPr>
                <w:sz w:val="20"/>
                <w:szCs w:val="20"/>
                <w:color w:val="auto"/>
              </w:rPr>
            </w:pPr>
            <w:r>
              <w:rPr>
                <w:rFonts w:ascii="Arial" w:cs="Arial" w:eastAsia="Arial" w:hAnsi="Arial"/>
                <w:sz w:val="18"/>
                <w:szCs w:val="18"/>
                <w:color w:val="0000FF"/>
              </w:rPr>
              <w:t>Consolidated Statements of Redeemable Convertible Preferred Stock and Stockholders’ Equity (Deficit</w:t>
            </w:r>
            <w:r>
              <w:rPr>
                <w:rFonts w:ascii="Arial" w:cs="Arial" w:eastAsia="Arial" w:hAnsi="Arial"/>
                <w:sz w:val="18"/>
                <w:szCs w:val="18"/>
                <w:color w:val="000000"/>
              </w:rPr>
              <w:t>)</w:t>
            </w:r>
          </w:p>
        </w:tc>
        <w:tc>
          <w:tcPr>
            <w:tcW w:w="680" w:type="dxa"/>
            <w:vAlign w:val="bottom"/>
            <w:gridSpan w:val="2"/>
          </w:tcPr>
          <w:p>
            <w:pPr>
              <w:jc w:val="center"/>
              <w:ind w:left="416"/>
              <w:spacing w:after="0"/>
              <w:rPr>
                <w:sz w:val="20"/>
                <w:szCs w:val="20"/>
                <w:color w:val="auto"/>
              </w:rPr>
            </w:pPr>
            <w:r>
              <w:rPr>
                <w:rFonts w:ascii="Arial" w:cs="Arial" w:eastAsia="Arial" w:hAnsi="Arial"/>
                <w:sz w:val="18"/>
                <w:szCs w:val="18"/>
                <w:color w:val="0000FF"/>
                <w:w w:val="89"/>
              </w:rPr>
              <w:t>66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Consolidated Statements of Cash Flows</w:t>
            </w:r>
          </w:p>
        </w:tc>
        <w:tc>
          <w:tcPr>
            <w:tcW w:w="4580" w:type="dxa"/>
            <w:vAlign w:val="bottom"/>
            <w:tcBorders>
              <w:top w:val="single" w:sz="8" w:color="0000FF"/>
            </w:tcBorders>
            <w:gridSpan w:val="4"/>
          </w:tcPr>
          <w:p>
            <w:pPr>
              <w:spacing w:after="0"/>
              <w:rPr>
                <w:sz w:val="18"/>
                <w:szCs w:val="18"/>
                <w:color w:val="auto"/>
              </w:rPr>
            </w:pPr>
          </w:p>
        </w:tc>
        <w:tc>
          <w:tcPr>
            <w:tcW w:w="2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8"/>
                <w:szCs w:val="18"/>
                <w:color w:val="0000FF"/>
                <w:w w:val="89"/>
              </w:rPr>
              <w:t>68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Notes to the Consolidated Financial Statements</w:t>
            </w:r>
          </w:p>
        </w:tc>
        <w:tc>
          <w:tcPr>
            <w:tcW w:w="662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89"/>
              </w:rPr>
              <w:t>69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34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Nextdoor Holdings,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Nextdoor Holdings, Inc. (the Company) as of December 31, 2022 and 2021, the related consolidated statements of operations, comprehensive loss, redeemable convertible preferred stock and stockholders' equity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Revenue Recognition</w:t>
      </w:r>
    </w:p>
    <w:p>
      <w:pPr>
        <w:sectPr>
          <w:pgSz w:w="11900" w:h="16838" w:orient="portrait"/>
          <w:cols w:equalWidth="0" w:num="1">
            <w:col w:w="11220"/>
          </w:cols>
          <w:pgMar w:left="320" w:top="125" w:right="359" w:bottom="1440" w:gutter="0" w:footer="0" w:header="0"/>
        </w:sect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As described in Note 2 to the consolidated financial statements, the Company generates a majority of its revenues by delivering ads on the Nextdoor Holdings, Inc. website and mobile application. Revenue is recognized after transferring</w:t>
      </w:r>
    </w:p>
    <w:p>
      <w:pPr>
        <w:spacing w:after="0" w:line="1" w:lineRule="exact"/>
        <w:rPr>
          <w:sz w:val="20"/>
          <w:szCs w:val="20"/>
          <w:color w:val="auto"/>
        </w:rPr>
      </w:pPr>
    </w:p>
    <w:p>
      <w:pPr>
        <w:sectPr>
          <w:pgSz w:w="11900" w:h="16838" w:orient="portrait"/>
          <w:cols w:equalWidth="0" w:num="2">
            <w:col w:w="1860" w:space="640"/>
            <w:col w:w="8720"/>
          </w:cols>
          <w:pgMar w:left="320" w:top="125" w:right="359" w:bottom="1440" w:gutter="0" w:footer="0" w:header="0"/>
          <w:type w:val="continuous"/>
        </w:sectPr>
      </w:pPr>
    </w:p>
    <w:p>
      <w:pPr>
        <w:ind w:left="2500" w:right="80"/>
        <w:spacing w:after="0" w:line="211" w:lineRule="auto"/>
        <w:rPr>
          <w:sz w:val="20"/>
          <w:szCs w:val="20"/>
          <w:color w:val="auto"/>
        </w:rPr>
      </w:pPr>
      <w:r>
        <w:rPr>
          <w:rFonts w:ascii="Arial" w:cs="Arial" w:eastAsia="Arial" w:hAnsi="Arial"/>
          <w:sz w:val="18"/>
          <w:szCs w:val="18"/>
          <w:color w:val="auto"/>
        </w:rPr>
        <w:t>control of the promised goods or services to customers, which for the majority of advertising arrangements occurs when an advertising impression is displayed to users.</w:t>
      </w:r>
    </w:p>
    <w:p>
      <w:pPr>
        <w:spacing w:after="0" w:line="121"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The Company’s revenue recognition process utilizes complex proprietary systems and tools for the initiation, processing,</w:t>
      </w:r>
    </w:p>
    <w:p>
      <w:pPr>
        <w:spacing w:after="0" w:line="21" w:lineRule="exact"/>
        <w:rPr>
          <w:sz w:val="20"/>
          <w:szCs w:val="20"/>
          <w:color w:val="auto"/>
        </w:rPr>
      </w:pPr>
    </w:p>
    <w:p>
      <w:pPr>
        <w:ind w:left="2500" w:right="360"/>
        <w:spacing w:after="0" w:line="226" w:lineRule="auto"/>
        <w:rPr>
          <w:sz w:val="20"/>
          <w:szCs w:val="20"/>
          <w:color w:val="auto"/>
        </w:rPr>
      </w:pPr>
      <w:r>
        <w:rPr>
          <w:rFonts w:ascii="Arial" w:cs="Arial" w:eastAsia="Arial" w:hAnsi="Arial"/>
          <w:sz w:val="18"/>
          <w:szCs w:val="18"/>
          <w:color w:val="auto"/>
        </w:rPr>
        <w:t>delivery and recording of advertising transactions which includes a high volume of individually low monetary value transactions, auditing of which requires significant audit effort.</w:t>
      </w:r>
    </w:p>
    <w:p>
      <w:pPr>
        <w:sectPr>
          <w:pgSz w:w="11900" w:h="16838" w:orient="portrait"/>
          <w:cols w:equalWidth="0" w:num="1">
            <w:col w:w="11220"/>
          </w:cols>
          <w:pgMar w:left="320" w:top="125" w:right="359" w:bottom="1440" w:gutter="0" w:footer="0" w:header="0"/>
          <w:type w:val="continuous"/>
        </w:sectPr>
      </w:pPr>
    </w:p>
    <w:p>
      <w:pPr>
        <w:spacing w:after="0" w:line="269" w:lineRule="exact"/>
        <w:rPr>
          <w:sz w:val="20"/>
          <w:szCs w:val="20"/>
          <w:color w:val="auto"/>
        </w:rPr>
      </w:pPr>
    </w:p>
    <w:p>
      <w:pPr>
        <w:ind w:left="20"/>
        <w:spacing w:after="0" w:line="235"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right="300"/>
        <w:spacing w:after="0" w:line="264" w:lineRule="auto"/>
        <w:rPr>
          <w:sz w:val="20"/>
          <w:szCs w:val="20"/>
          <w:color w:val="auto"/>
        </w:rPr>
      </w:pPr>
      <w:r>
        <w:rPr>
          <w:rFonts w:ascii="Arial" w:cs="Arial" w:eastAsia="Arial" w:hAnsi="Arial"/>
          <w:sz w:val="16"/>
          <w:szCs w:val="16"/>
          <w:color w:val="auto"/>
        </w:rPr>
        <w:t>To test the Company’s recognition of revenue, our audit procedures included, among others, testing the completeness and accuracy of the underlying data within the Company’s revenue systems, and comparing revenue recognized to</w:t>
      </w:r>
    </w:p>
    <w:p>
      <w:pPr>
        <w:spacing w:after="0" w:line="1" w:lineRule="exact"/>
        <w:rPr>
          <w:sz w:val="20"/>
          <w:szCs w:val="20"/>
          <w:color w:val="auto"/>
        </w:rPr>
      </w:pPr>
    </w:p>
    <w:p>
      <w:pPr>
        <w:sectPr>
          <w:pgSz w:w="11900" w:h="16838" w:orient="portrait"/>
          <w:cols w:equalWidth="0" w:num="2">
            <w:col w:w="2400" w:space="100"/>
            <w:col w:w="8720"/>
          </w:cols>
          <w:pgMar w:left="320" w:top="125" w:right="359" w:bottom="1440" w:gutter="0" w:footer="0" w:header="0"/>
          <w:type w:val="continuous"/>
        </w:sectPr>
      </w:pPr>
    </w:p>
    <w:p>
      <w:pPr>
        <w:ind w:left="2500" w:right="340"/>
        <w:spacing w:after="0" w:line="211" w:lineRule="auto"/>
        <w:rPr>
          <w:sz w:val="20"/>
          <w:szCs w:val="20"/>
          <w:color w:val="auto"/>
        </w:rPr>
      </w:pPr>
      <w:r>
        <w:rPr>
          <w:rFonts w:ascii="Arial" w:cs="Arial" w:eastAsia="Arial" w:hAnsi="Arial"/>
          <w:sz w:val="18"/>
          <w:szCs w:val="18"/>
          <w:color w:val="auto"/>
        </w:rPr>
        <w:t>accounts receivables and cash receipts. Additionally, we examined customer terms and conditions, and we selected a sample of contractual arrangements to test the timing and amount of revenue recognition.</w:t>
      </w:r>
    </w:p>
    <w:p>
      <w:pPr>
        <w:sectPr>
          <w:pgSz w:w="11900" w:h="16838" w:orient="portrait"/>
          <w:cols w:equalWidth="0" w:num="1">
            <w:col w:w="11220"/>
          </w:cols>
          <w:pgMar w:left="320" w:top="125" w:right="359" w:bottom="1440" w:gutter="0" w:footer="0" w:header="0"/>
          <w:type w:val="continuous"/>
        </w:sect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2018.</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Mateo, California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36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Nextdoor Holdings,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Nextdoor Holdings, Inc.’s internal control over financial reporting as of December 31, 2022, based on criteria established in Internal Control—Integrated Framework issued by the Committee of Sponsoring Organizations of the Treadway Commission (2013 framework), (the COSO criteria). In our opinion, Nextdoor Holdings, Inc. (the Company) maintained, in all material respects, effective internal control over financial reporting as of December 31, 2022, based on the COSO criteria.</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loss, redeemable convertible preferred stock and stockholders' equity (deficit) and cash flows for each of the three years in the period ended December 31, 2022, and the related notes and our report dated February 28, 2023 expressed an unqualified opinion thereon.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Mateo, California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521,812</w:t>
            </w: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528,067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193,999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Accounts receivable, net of allowance of $422 and $425 as of December 31, 2022 and 2021, respectively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29,673</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761,743</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12,545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59,422</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699,562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840,086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4,535</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6,163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 current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Liability for unvested restricted stock</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15,444</w:t>
            </w:r>
          </w:p>
        </w:tc>
        <w:tc>
          <w:tcPr>
            <w:tcW w:w="0" w:type="dxa"/>
            <w:vAlign w:val="bottom"/>
          </w:tcPr>
          <w:p>
            <w:pPr>
              <w:spacing w:after="0"/>
              <w:rPr>
                <w:sz w:val="1"/>
                <w:szCs w:val="1"/>
                <w:color w:val="auto"/>
              </w:rPr>
            </w:pPr>
          </w:p>
        </w:tc>
      </w:tr>
      <w:tr>
        <w:trPr>
          <w:trHeight w:val="223"/>
        </w:trPr>
        <w:tc>
          <w:tcPr>
            <w:tcW w:w="844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33,503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61,598</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95,101</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Commitments and contingencies (Note 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89"/>
              </w:rPr>
              <w:t>Preferred stock, $0.0001 par value; 50,000 shares authorized; no shares issued or outstanding as of December 31,</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2022 and 2021</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440" w:type="dxa"/>
            <w:vAlign w:val="bottom"/>
          </w:tcPr>
          <w:p>
            <w:pPr>
              <w:ind w:left="240"/>
              <w:spacing w:after="0" w:line="176" w:lineRule="exact"/>
              <w:rPr>
                <w:sz w:val="20"/>
                <w:szCs w:val="20"/>
                <w:color w:val="auto"/>
              </w:rPr>
            </w:pPr>
            <w:r>
              <w:rPr>
                <w:rFonts w:ascii="Arial" w:cs="Arial" w:eastAsia="Arial" w:hAnsi="Arial"/>
                <w:sz w:val="18"/>
                <w:szCs w:val="18"/>
                <w:color w:val="auto"/>
                <w:w w:val="90"/>
              </w:rPr>
              <w:t>Class A Common stock, $0.0001 par value; 2,500,000 shares authorized; 153,693 and 78,954 shares issued and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0"/>
              <w:spacing w:after="0"/>
              <w:rPr>
                <w:sz w:val="20"/>
                <w:szCs w:val="20"/>
                <w:color w:val="auto"/>
              </w:rPr>
            </w:pPr>
            <w:r>
              <w:rPr>
                <w:rFonts w:ascii="Arial" w:cs="Arial" w:eastAsia="Arial" w:hAnsi="Arial"/>
                <w:sz w:val="18"/>
                <w:szCs w:val="18"/>
                <w:color w:val="auto"/>
              </w:rPr>
              <w:t>outstanding as of December 31, 2022 and 2021, respectively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Class B Common stock, $0.0001 par value; 500,000 shares authorized; 218,029 and 304,701 shares issued and</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as of December 31, 2022 and 2021, respectively</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1,231,482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1,225,815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(618,255)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(480,339)</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611,068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744,985</w:t>
            </w:r>
          </w:p>
        </w:tc>
        <w:tc>
          <w:tcPr>
            <w:tcW w:w="0" w:type="dxa"/>
            <w:vAlign w:val="bottom"/>
          </w:tcPr>
          <w:p>
            <w:pPr>
              <w:spacing w:after="0"/>
              <w:rPr>
                <w:sz w:val="1"/>
                <w:szCs w:val="1"/>
                <w:color w:val="auto"/>
              </w:rPr>
            </w:pPr>
          </w:p>
        </w:tc>
      </w:tr>
      <w:tr>
        <w:trPr>
          <w:trHeight w:val="223"/>
        </w:trPr>
        <w:tc>
          <w:tcPr>
            <w:tcW w:w="844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699,562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840,086</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123,284</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21,586</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127,073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69,231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67,733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28,793</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356,969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199,935</w:t>
            </w:r>
          </w:p>
        </w:tc>
        <w:tc>
          <w:tcPr>
            <w:tcW w:w="0" w:type="dxa"/>
            <w:vAlign w:val="bottom"/>
          </w:tcPr>
          <w:p>
            <w:pPr>
              <w:spacing w:after="0"/>
              <w:rPr>
                <w:sz w:val="1"/>
                <w:szCs w:val="1"/>
                <w:color w:val="auto"/>
              </w:rPr>
            </w:pP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(144,204)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(94,806)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(76,651)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(75,107)</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(137,916)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(95,325)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980" w:type="dxa"/>
            <w:vAlign w:val="bottom"/>
          </w:tcPr>
          <w:p>
            <w:pPr>
              <w:ind w:left="20"/>
              <w:spacing w:after="0"/>
              <w:rPr>
                <w:sz w:val="20"/>
                <w:szCs w:val="20"/>
                <w:color w:val="auto"/>
              </w:rPr>
            </w:pPr>
            <w:r>
              <w:rPr>
                <w:rFonts w:ascii="Arial" w:cs="Arial" w:eastAsia="Arial" w:hAnsi="Arial"/>
                <w:sz w:val="18"/>
                <w:szCs w:val="18"/>
                <w:color w:val="auto"/>
                <w:w w:val="91"/>
              </w:rPr>
              <w:t>Net loss per share attributable to Class A and Class B common stockholders, basic and 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shares used in computing net loss per share attributable to Class A and Class</w:t>
            </w:r>
          </w:p>
        </w:tc>
        <w:tc>
          <w:tcPr>
            <w:tcW w:w="3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378,731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146,337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90,190</w:t>
            </w:r>
          </w:p>
        </w:tc>
        <w:tc>
          <w:tcPr>
            <w:tcW w:w="0" w:type="dxa"/>
            <w:vAlign w:val="bottom"/>
          </w:tcPr>
          <w:p>
            <w:pPr>
              <w:spacing w:after="0"/>
              <w:rPr>
                <w:sz w:val="1"/>
                <w:szCs w:val="1"/>
                <w:color w:val="auto"/>
              </w:rPr>
            </w:pPr>
          </w:p>
        </w:tc>
      </w:tr>
      <w:tr>
        <w:trPr>
          <w:trHeight w:val="236"/>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 common stockholders, 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r>
      <w:tr>
        <w:trPr>
          <w:trHeight w:val="26"/>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(75,234)</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29"/>
        </w:trPr>
        <w:tc>
          <w:tcPr>
            <w:tcW w:w="6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unrealized loss on available-for-sale marketable securities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23"/>
        </w:trPr>
        <w:tc>
          <w:tcPr>
            <w:tcW w:w="6980" w:type="dxa"/>
            <w:vAlign w:val="bottom"/>
          </w:tcPr>
          <w:p>
            <w:pPr>
              <w:ind w:left="46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(139,583)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(76,066)</w:t>
            </w:r>
          </w:p>
        </w:tc>
      </w:tr>
      <w:tr>
        <w:trPr>
          <w:trHeight w:val="21"/>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i w:val="1"/>
          <w:i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tcPr>
          <w:p>
            <w:pPr>
              <w:spacing w:after="0"/>
              <w:rPr>
                <w:sz w:val="15"/>
                <w:szCs w:val="15"/>
                <w:color w:val="auto"/>
              </w:rPr>
            </w:pPr>
          </w:p>
        </w:tc>
        <w:tc>
          <w:tcPr>
            <w:tcW w:w="176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3"/>
              </w:rPr>
              <w:t>Redeemable Convertible</w:t>
            </w:r>
          </w:p>
        </w:tc>
        <w:tc>
          <w:tcPr>
            <w:tcW w:w="60" w:type="dxa"/>
            <w:vAlign w:val="bottom"/>
          </w:tcPr>
          <w:p>
            <w:pPr>
              <w:spacing w:after="0"/>
              <w:rPr>
                <w:sz w:val="15"/>
                <w:szCs w:val="15"/>
                <w:color w:val="auto"/>
              </w:rPr>
            </w:pPr>
          </w:p>
        </w:tc>
        <w:tc>
          <w:tcPr>
            <w:tcW w:w="16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8"/>
              </w:rPr>
              <w:t>Class A Common Stock</w:t>
            </w:r>
          </w:p>
        </w:tc>
        <w:tc>
          <w:tcPr>
            <w:tcW w:w="16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w w:val="98"/>
              </w:rPr>
              <w:t>Class B Common Stock</w:t>
            </w: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760" w:type="dxa"/>
            <w:vAlign w:val="bottom"/>
            <w:tcBorders>
              <w:right w:val="single" w:sz="8" w:color="auto"/>
            </w:tcBorders>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Paid-in</w:t>
            </w:r>
          </w:p>
        </w:tc>
        <w:tc>
          <w:tcPr>
            <w:tcW w:w="108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Comprehensive</w:t>
            </w:r>
          </w:p>
        </w:tc>
        <w:tc>
          <w:tcPr>
            <w:tcW w:w="94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4"/>
                <w:szCs w:val="4"/>
                <w:color w:val="auto"/>
              </w:rPr>
            </w:pPr>
          </w:p>
        </w:tc>
        <w:tc>
          <w:tcPr>
            <w:tcW w:w="740" w:type="dxa"/>
            <w:vAlign w:val="bottom"/>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34"/>
        </w:trPr>
        <w:tc>
          <w:tcPr>
            <w:tcW w:w="2300" w:type="dxa"/>
            <w:vAlign w:val="bottom"/>
          </w:tcPr>
          <w:p>
            <w:pPr>
              <w:spacing w:after="0"/>
              <w:rPr>
                <w:sz w:val="2"/>
                <w:szCs w:val="2"/>
                <w:color w:val="auto"/>
              </w:rPr>
            </w:pPr>
          </w:p>
        </w:tc>
        <w:tc>
          <w:tcPr>
            <w:tcW w:w="7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right w:val="single" w:sz="8" w:color="auto"/>
            </w:tcBorders>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vMerge w:val="restart"/>
          </w:tcPr>
          <w:p>
            <w:pPr>
              <w:spacing w:after="0"/>
              <w:rPr>
                <w:sz w:val="2"/>
                <w:szCs w:val="2"/>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right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rPr>
              <w:t>Balances as of December 31,</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190,477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447,166</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97,777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52,439</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(309,780)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(257,296)</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2019</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rPr>
              <w:t>Issuance of common stock</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Arial" w:cs="Arial" w:eastAsia="Arial" w:hAnsi="Arial"/>
                <w:sz w:val="16"/>
                <w:szCs w:val="16"/>
                <w:color w:val="auto"/>
              </w:rPr>
              <w:t>upon exercise of stock</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Arial" w:cs="Arial" w:eastAsia="Arial" w:hAnsi="Arial"/>
                <w:sz w:val="16"/>
                <w:szCs w:val="16"/>
                <w:color w:val="auto"/>
                <w:w w:val="97"/>
              </w:rPr>
              <w:t>options, net of repurchases</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6,801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6,367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6,367</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w w:val="98"/>
              </w:rPr>
              <w:t>of unvested common stock</w:t>
            </w: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3"/>
              </w:rPr>
              <w:t>Cancellation of restricted stock</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w w:val="92"/>
              </w:rPr>
              <w:t>and unvested common stock</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rPr>
              <w:t>issued in connection with</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w w:val="98"/>
              </w:rPr>
              <w:t>acquisition, net of common</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issued</w:t>
            </w: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rPr>
              <w:t>Release of holdback stock in</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w w:val="98"/>
              </w:rPr>
              <w:t>connection with acquisition</w:t>
            </w: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Vesting of early exercised</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options</w:t>
            </w: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Arial" w:cs="Arial" w:eastAsia="Arial" w:hAnsi="Arial"/>
                <w:sz w:val="16"/>
                <w:szCs w:val="16"/>
                <w:color w:val="auto"/>
              </w:rPr>
              <w:t>Vesting of restricted stock</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5,718</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22,608</w:t>
            </w: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Arial" w:cs="Arial" w:eastAsia="Arial" w:hAnsi="Arial"/>
                <w:sz w:val="16"/>
                <w:szCs w:val="16"/>
                <w:color w:val="auto"/>
              </w:rPr>
              <w:t>Other comprehensive loss</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(75,234)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(75,234)</w:t>
            </w:r>
          </w:p>
        </w:tc>
        <w:tc>
          <w:tcPr>
            <w:tcW w:w="0" w:type="dxa"/>
            <w:vAlign w:val="bottom"/>
          </w:tcPr>
          <w:p>
            <w:pPr>
              <w:spacing w:after="0"/>
              <w:rPr>
                <w:sz w:val="1"/>
                <w:szCs w:val="1"/>
                <w:color w:val="auto"/>
              </w:rPr>
            </w:pPr>
          </w:p>
        </w:tc>
      </w:tr>
      <w:tr>
        <w:trPr>
          <w:trHeight w:val="142"/>
        </w:trPr>
        <w:tc>
          <w:tcPr>
            <w:tcW w:w="230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Balances as of December 31,</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190,477</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447,166</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103,777</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87,945</w:t>
            </w:r>
          </w:p>
        </w:tc>
        <w:tc>
          <w:tcPr>
            <w:tcW w:w="10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2"/>
                <w:szCs w:val="12"/>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99"/>
              </w:rPr>
              <w:t>(385,014)</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(297,856)</w:t>
            </w:r>
          </w:p>
        </w:tc>
        <w:tc>
          <w:tcPr>
            <w:tcW w:w="0" w:type="dxa"/>
            <w:vAlign w:val="bottom"/>
          </w:tcPr>
          <w:p>
            <w:pPr>
              <w:spacing w:after="0"/>
              <w:rPr>
                <w:sz w:val="1"/>
                <w:szCs w:val="1"/>
                <w:color w:val="auto"/>
              </w:rPr>
            </w:pPr>
          </w:p>
        </w:tc>
      </w:tr>
      <w:tr>
        <w:trPr>
          <w:trHeight w:val="213"/>
        </w:trPr>
        <w:tc>
          <w:tcPr>
            <w:tcW w:w="2300" w:type="dxa"/>
            <w:vAlign w:val="bottom"/>
          </w:tcPr>
          <w:p>
            <w:pPr>
              <w:ind w:left="180"/>
              <w:spacing w:after="0"/>
              <w:rPr>
                <w:sz w:val="20"/>
                <w:szCs w:val="20"/>
                <w:color w:val="auto"/>
              </w:rPr>
            </w:pPr>
            <w:r>
              <w:rPr>
                <w:rFonts w:ascii="Arial" w:cs="Arial" w:eastAsia="Arial" w:hAnsi="Arial"/>
                <w:sz w:val="16"/>
                <w:szCs w:val="16"/>
                <w:b w:val="1"/>
                <w:bCs w:val="1"/>
                <w:color w:val="auto"/>
              </w:rPr>
              <w:t>2020</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30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color w:val="auto"/>
              </w:rPr>
              <w:t>Conversion of redeemable</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w w:val="99"/>
              </w:rPr>
              <w:t>convertible preferred stock</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w w:val="97"/>
              </w:rPr>
              <w:t>into Class B common stock</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rPr>
              <w:t>in connection with the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(190,477)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0"/>
              </w:rPr>
              <w:t>(447,166)</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190,477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447,147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447,166</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Reverse Recapitalization</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rPr>
              <w:t>Issuance of common stock</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Arial" w:cs="Arial" w:eastAsia="Arial" w:hAnsi="Arial"/>
                <w:sz w:val="16"/>
                <w:szCs w:val="16"/>
                <w:color w:val="auto"/>
              </w:rPr>
              <w:t>upon the Reverse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Arial" w:cs="Arial" w:eastAsia="Arial" w:hAnsi="Arial"/>
                <w:sz w:val="16"/>
                <w:szCs w:val="16"/>
                <w:color w:val="auto"/>
              </w:rPr>
              <w:t>Recapitalization, net of</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78,954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622,580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622,588</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rPr>
              <w:t>issuance costs</w:t>
            </w: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Release of restricted stock</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units</w:t>
            </w: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w w:val="94"/>
              </w:rPr>
              <w:t>Tax withholdings on release of</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rPr>
              <w:t>restricted stock units</w:t>
            </w: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Issuance of common stock</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rPr>
              <w:t>upon exercise of stock</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color w:val="auto"/>
                <w:w w:val="97"/>
              </w:rPr>
              <w:t>options, net of repurchases</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10,325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15,334</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8"/>
              </w:rPr>
              <w:t>of unvested common stock</w:t>
            </w: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240"/>
              <w:spacing w:after="0" w:line="166" w:lineRule="exact"/>
              <w:rPr>
                <w:sz w:val="20"/>
                <w:szCs w:val="20"/>
                <w:color w:val="auto"/>
              </w:rPr>
            </w:pPr>
            <w:r>
              <w:rPr>
                <w:rFonts w:ascii="Arial" w:cs="Arial" w:eastAsia="Arial" w:hAnsi="Arial"/>
                <w:sz w:val="16"/>
                <w:szCs w:val="16"/>
                <w:color w:val="auto"/>
                <w:w w:val="98"/>
              </w:rPr>
              <w:t>Issuance of common stock in</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00" w:type="dxa"/>
            <w:vAlign w:val="bottom"/>
          </w:tcPr>
          <w:p>
            <w:pPr>
              <w:ind w:left="400"/>
              <w:spacing w:after="0"/>
              <w:rPr>
                <w:sz w:val="20"/>
                <w:szCs w:val="20"/>
                <w:color w:val="auto"/>
              </w:rPr>
            </w:pPr>
            <w:r>
              <w:rPr>
                <w:rFonts w:ascii="Arial" w:cs="Arial" w:eastAsia="Arial" w:hAnsi="Arial"/>
                <w:sz w:val="16"/>
                <w:szCs w:val="16"/>
                <w:color w:val="auto"/>
                <w:w w:val="98"/>
              </w:rPr>
              <w:t>connection with acquisition</w:t>
            </w: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Vesting of early exercised</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options</w:t>
            </w: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Arial" w:cs="Arial" w:eastAsia="Arial" w:hAnsi="Arial"/>
                <w:sz w:val="16"/>
                <w:szCs w:val="16"/>
                <w:color w:val="auto"/>
              </w:rPr>
              <w:t>Vesting of restricted stock</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5,717</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47,514</w:t>
            </w: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Arial" w:cs="Arial" w:eastAsia="Arial" w:hAnsi="Arial"/>
                <w:sz w:val="16"/>
                <w:szCs w:val="16"/>
                <w:color w:val="auto"/>
                <w:w w:val="97"/>
              </w:rPr>
              <w:t>Other comprehensive income</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(95,325)</w:t>
            </w:r>
          </w:p>
        </w:tc>
        <w:tc>
          <w:tcPr>
            <w:tcW w:w="0" w:type="dxa"/>
            <w:vAlign w:val="bottom"/>
          </w:tcPr>
          <w:p>
            <w:pPr>
              <w:spacing w:after="0"/>
              <w:rPr>
                <w:sz w:val="1"/>
                <w:szCs w:val="1"/>
                <w:color w:val="auto"/>
              </w:rPr>
            </w:pPr>
          </w:p>
        </w:tc>
      </w:tr>
      <w:tr>
        <w:trPr>
          <w:trHeight w:val="142"/>
        </w:trPr>
        <w:tc>
          <w:tcPr>
            <w:tcW w:w="230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Balances as of December 31,</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78,954</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304,701</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89"/>
              </w:rPr>
              <w:t>1,225,815</w:t>
            </w:r>
          </w:p>
        </w:tc>
        <w:tc>
          <w:tcPr>
            <w:tcW w:w="10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2"/>
                <w:szCs w:val="12"/>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99"/>
              </w:rPr>
              <w:t>(480,339)</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744,985</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6"/>
                <w:szCs w:val="16"/>
                <w:b w:val="1"/>
                <w:bCs w:val="1"/>
                <w:color w:val="auto"/>
              </w:rPr>
              <w:t>2021</w:t>
            </w: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660" w:type="dxa"/>
            <w:vAlign w:val="bottom"/>
            <w:tcBorders>
              <w:right w:val="single" w:sz="8" w:color="auto"/>
            </w:tcBorders>
            <w:gridSpan w:val="5"/>
            <w:vMerge w:val="restart"/>
          </w:tcPr>
          <w:p>
            <w:pPr>
              <w:ind w:left="20"/>
              <w:spacing w:after="0"/>
              <w:rPr>
                <w:sz w:val="20"/>
                <w:szCs w:val="20"/>
                <w:color w:val="auto"/>
              </w:rPr>
            </w:pPr>
            <w:r>
              <w:rPr>
                <w:rFonts w:ascii="Arial" w:cs="Arial" w:eastAsia="Arial" w:hAnsi="Arial"/>
                <w:sz w:val="14"/>
                <w:szCs w:val="14"/>
                <w:b w:val="1"/>
                <w:bCs w:val="1"/>
                <w:color w:val="auto"/>
                <w:w w:val="97"/>
              </w:rPr>
              <w:t>Redeemable Convertible</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166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A Common Stock</w:t>
            </w:r>
          </w:p>
        </w:tc>
        <w:tc>
          <w:tcPr>
            <w:tcW w:w="80" w:type="dxa"/>
            <w:vAlign w:val="bottom"/>
            <w:vMerge w:val="restart"/>
          </w:tcPr>
          <w:p>
            <w:pPr>
              <w:spacing w:after="0"/>
              <w:rPr>
                <w:sz w:val="7"/>
                <w:szCs w:val="7"/>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Class B Common Stock</w:t>
            </w:r>
          </w:p>
        </w:tc>
        <w:tc>
          <w:tcPr>
            <w:tcW w:w="80" w:type="dxa"/>
            <w:vAlign w:val="bottom"/>
            <w:vMerge w:val="restart"/>
          </w:tcPr>
          <w:p>
            <w:pPr>
              <w:spacing w:after="0"/>
              <w:rPr>
                <w:sz w:val="7"/>
                <w:szCs w:val="7"/>
                <w:color w:val="auto"/>
              </w:rPr>
            </w:pPr>
          </w:p>
        </w:tc>
        <w:tc>
          <w:tcPr>
            <w:tcW w:w="920" w:type="dxa"/>
            <w:vAlign w:val="bottom"/>
            <w:gridSpan w:val="2"/>
            <w:vMerge w:val="restart"/>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7"/>
                <w:szCs w:val="7"/>
                <w:color w:val="auto"/>
              </w:rPr>
            </w:pPr>
          </w:p>
        </w:tc>
        <w:tc>
          <w:tcPr>
            <w:tcW w:w="880" w:type="dxa"/>
            <w:vAlign w:val="bottom"/>
            <w:gridSpan w:val="2"/>
            <w:vMerge w:val="restart"/>
          </w:tcPr>
          <w:p>
            <w:pPr>
              <w:jc w:val="center"/>
              <w:ind w:right="300"/>
              <w:spacing w:after="0" w:line="14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jc w:val="center"/>
              <w:spacing w:after="0" w:line="14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5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34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740" w:type="dxa"/>
            <w:vAlign w:val="bottom"/>
          </w:tcPr>
          <w:p>
            <w:pPr>
              <w:jc w:val="center"/>
              <w:ind w:right="81"/>
              <w:spacing w:after="0" w:line="129"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90"/>
        </w:trPr>
        <w:tc>
          <w:tcPr>
            <w:tcW w:w="23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rPr>
              <w:t>Balances as of December 31,</w:t>
            </w: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right w:val="single" w:sz="8" w:color="auto"/>
            </w:tcBorders>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78,954</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304,701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$1,225,815</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(480,339)</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744,985</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2021</w:t>
            </w:r>
          </w:p>
        </w:tc>
        <w:tc>
          <w:tcPr>
            <w:tcW w:w="8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40" w:type="dxa"/>
            <w:vAlign w:val="bottom"/>
          </w:tcPr>
          <w:p>
            <w:pPr>
              <w:ind w:left="240"/>
              <w:spacing w:after="0"/>
              <w:rPr>
                <w:sz w:val="20"/>
                <w:szCs w:val="20"/>
                <w:color w:val="auto"/>
              </w:rPr>
            </w:pPr>
            <w:r>
              <w:rPr>
                <w:rFonts w:ascii="Arial" w:cs="Arial" w:eastAsia="Arial" w:hAnsi="Arial"/>
                <w:sz w:val="16"/>
                <w:szCs w:val="16"/>
                <w:color w:val="auto"/>
                <w:w w:val="91"/>
              </w:rPr>
              <w:t>Release of restricted stock units</w:t>
            </w: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Borders>
              <w:right w:val="single" w:sz="8" w:color="auto"/>
            </w:tcBorders>
            <w:gridSpan w:val="2"/>
          </w:tcPr>
          <w:p>
            <w:pPr>
              <w:ind w:lef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34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6"/>
              </w:rPr>
              <w:t>Tax withholdings on release of</w:t>
            </w: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restricted stock units</w:t>
            </w: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40" w:type="dxa"/>
            <w:vAlign w:val="bottom"/>
          </w:tcPr>
          <w:p>
            <w:pPr>
              <w:ind w:left="240"/>
              <w:spacing w:after="0"/>
              <w:rPr>
                <w:sz w:val="20"/>
                <w:szCs w:val="20"/>
                <w:color w:val="auto"/>
              </w:rPr>
            </w:pPr>
            <w:r>
              <w:rPr>
                <w:rFonts w:ascii="Arial" w:cs="Arial" w:eastAsia="Arial" w:hAnsi="Arial"/>
                <w:sz w:val="16"/>
                <w:szCs w:val="16"/>
                <w:color w:val="auto"/>
                <w:w w:val="98"/>
              </w:rPr>
              <w:t>Repurchase of common stock</w:t>
            </w: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Borders>
              <w:right w:val="single" w:sz="8" w:color="auto"/>
            </w:tcBorders>
            <w:gridSpan w:val="2"/>
          </w:tcPr>
          <w:p>
            <w:pPr>
              <w:ind w:lef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(77,230)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(77,232)</w:t>
            </w:r>
          </w:p>
        </w:tc>
        <w:tc>
          <w:tcPr>
            <w:tcW w:w="0" w:type="dxa"/>
            <w:vAlign w:val="bottom"/>
          </w:tcPr>
          <w:p>
            <w:pPr>
              <w:spacing w:after="0"/>
              <w:rPr>
                <w:sz w:val="1"/>
                <w:szCs w:val="1"/>
                <w:color w:val="auto"/>
              </w:rPr>
            </w:pPr>
          </w:p>
        </w:tc>
      </w:tr>
      <w:tr>
        <w:trPr>
          <w:trHeight w:val="169"/>
        </w:trPr>
        <w:tc>
          <w:tcPr>
            <w:tcW w:w="234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Conversion from Class B to</w:t>
            </w: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89,376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w w:val="93"/>
              </w:rPr>
              <w:t>(89,376)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Class A common stock</w:t>
            </w: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40" w:type="dxa"/>
            <w:vAlign w:val="bottom"/>
          </w:tcPr>
          <w:p>
            <w:pPr>
              <w:ind w:left="240"/>
              <w:spacing w:after="0" w:line="166" w:lineRule="exact"/>
              <w:rPr>
                <w:sz w:val="20"/>
                <w:szCs w:val="20"/>
                <w:color w:val="auto"/>
              </w:rPr>
            </w:pPr>
            <w:r>
              <w:rPr>
                <w:rFonts w:ascii="Arial" w:cs="Arial" w:eastAsia="Arial" w:hAnsi="Arial"/>
                <w:sz w:val="16"/>
                <w:szCs w:val="16"/>
                <w:color w:val="auto"/>
              </w:rPr>
              <w:t>Issuance of common stock</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tcPr>
          <w:p>
            <w:pPr>
              <w:ind w:left="400"/>
              <w:spacing w:after="0" w:line="162" w:lineRule="exact"/>
              <w:rPr>
                <w:sz w:val="20"/>
                <w:szCs w:val="20"/>
                <w:color w:val="auto"/>
              </w:rPr>
            </w:pPr>
            <w:r>
              <w:rPr>
                <w:rFonts w:ascii="Arial" w:cs="Arial" w:eastAsia="Arial" w:hAnsi="Arial"/>
                <w:sz w:val="16"/>
                <w:szCs w:val="16"/>
                <w:color w:val="auto"/>
              </w:rPr>
              <w:t>upon exercise of stock</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tcPr>
          <w:p>
            <w:pPr>
              <w:ind w:left="400"/>
              <w:spacing w:after="0" w:line="162" w:lineRule="exact"/>
              <w:rPr>
                <w:sz w:val="20"/>
                <w:szCs w:val="20"/>
                <w:color w:val="auto"/>
              </w:rPr>
            </w:pPr>
            <w:r>
              <w:rPr>
                <w:rFonts w:ascii="Arial" w:cs="Arial" w:eastAsia="Arial" w:hAnsi="Arial"/>
                <w:sz w:val="16"/>
                <w:szCs w:val="16"/>
                <w:color w:val="auto"/>
                <w:w w:val="91"/>
              </w:rPr>
              <w:t>options, net of repurchases of</w:t>
            </w: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tcBorders>
              <w:right w:val="single" w:sz="8" w:color="auto"/>
            </w:tcBorders>
            <w:gridSpan w:val="2"/>
            <w:vMerge w:val="restart"/>
          </w:tcPr>
          <w:p>
            <w:pPr>
              <w:ind w:lef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3,748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12,462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12,463</w:t>
            </w:r>
          </w:p>
        </w:tc>
        <w:tc>
          <w:tcPr>
            <w:tcW w:w="0" w:type="dxa"/>
            <w:vAlign w:val="bottom"/>
          </w:tcPr>
          <w:p>
            <w:pPr>
              <w:spacing w:after="0"/>
              <w:rPr>
                <w:sz w:val="1"/>
                <w:szCs w:val="1"/>
                <w:color w:val="auto"/>
              </w:rPr>
            </w:pPr>
          </w:p>
        </w:tc>
      </w:tr>
      <w:tr>
        <w:trPr>
          <w:trHeight w:val="209"/>
        </w:trPr>
        <w:tc>
          <w:tcPr>
            <w:tcW w:w="2340" w:type="dxa"/>
            <w:vAlign w:val="bottom"/>
          </w:tcPr>
          <w:p>
            <w:pPr>
              <w:ind w:left="400"/>
              <w:spacing w:after="0"/>
              <w:rPr>
                <w:sz w:val="20"/>
                <w:szCs w:val="20"/>
                <w:color w:val="auto"/>
              </w:rPr>
            </w:pPr>
            <w:r>
              <w:rPr>
                <w:rFonts w:ascii="Arial" w:cs="Arial" w:eastAsia="Arial" w:hAnsi="Arial"/>
                <w:sz w:val="16"/>
                <w:szCs w:val="16"/>
                <w:color w:val="auto"/>
              </w:rPr>
              <w:t>unvested common stock</w:t>
            </w: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4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Issuance of common stock in</w:t>
            </w: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connection with acquisition</w:t>
            </w: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40" w:type="dxa"/>
            <w:vAlign w:val="bottom"/>
          </w:tcPr>
          <w:p>
            <w:pPr>
              <w:ind w:left="240"/>
              <w:spacing w:after="0" w:line="166" w:lineRule="exact"/>
              <w:rPr>
                <w:sz w:val="20"/>
                <w:szCs w:val="20"/>
                <w:color w:val="auto"/>
              </w:rPr>
            </w:pPr>
            <w:r>
              <w:rPr>
                <w:rFonts w:ascii="Arial" w:cs="Arial" w:eastAsia="Arial" w:hAnsi="Arial"/>
                <w:sz w:val="16"/>
                <w:szCs w:val="16"/>
                <w:color w:val="auto"/>
              </w:rPr>
              <w:t>Issuance of common stock</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tcPr>
          <w:p>
            <w:pPr>
              <w:ind w:left="400"/>
              <w:spacing w:after="0" w:line="162" w:lineRule="exact"/>
              <w:rPr>
                <w:sz w:val="20"/>
                <w:szCs w:val="20"/>
                <w:color w:val="auto"/>
              </w:rPr>
            </w:pPr>
            <w:r>
              <w:rPr>
                <w:rFonts w:ascii="Arial" w:cs="Arial" w:eastAsia="Arial" w:hAnsi="Arial"/>
                <w:sz w:val="16"/>
                <w:szCs w:val="16"/>
                <w:color w:val="auto"/>
              </w:rPr>
              <w:t>under employee stock</w:t>
            </w: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tcBorders>
              <w:right w:val="single" w:sz="8" w:color="auto"/>
            </w:tcBorders>
            <w:gridSpan w:val="2"/>
            <w:vMerge w:val="restart"/>
          </w:tcPr>
          <w:p>
            <w:pPr>
              <w:ind w:lef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09"/>
        </w:trPr>
        <w:tc>
          <w:tcPr>
            <w:tcW w:w="2340" w:type="dxa"/>
            <w:vAlign w:val="bottom"/>
          </w:tcPr>
          <w:p>
            <w:pPr>
              <w:ind w:left="400"/>
              <w:spacing w:after="0"/>
              <w:rPr>
                <w:sz w:val="20"/>
                <w:szCs w:val="20"/>
                <w:color w:val="auto"/>
              </w:rPr>
            </w:pPr>
            <w:r>
              <w:rPr>
                <w:rFonts w:ascii="Arial" w:cs="Arial" w:eastAsia="Arial" w:hAnsi="Arial"/>
                <w:sz w:val="16"/>
                <w:szCs w:val="16"/>
                <w:color w:val="auto"/>
              </w:rPr>
              <w:t>purchase plan</w:t>
            </w: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4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2"/>
              </w:rPr>
              <w:t>Vesting of early exercised stock</w:t>
            </w: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options</w:t>
            </w: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40" w:type="dxa"/>
            <w:vAlign w:val="bottom"/>
          </w:tcPr>
          <w:p>
            <w:pPr>
              <w:ind w:left="240"/>
              <w:spacing w:after="0"/>
              <w:rPr>
                <w:sz w:val="20"/>
                <w:szCs w:val="20"/>
                <w:color w:val="auto"/>
              </w:rPr>
            </w:pPr>
            <w:r>
              <w:rPr>
                <w:rFonts w:ascii="Arial" w:cs="Arial" w:eastAsia="Arial" w:hAnsi="Arial"/>
                <w:sz w:val="16"/>
                <w:szCs w:val="16"/>
                <w:color w:val="auto"/>
              </w:rPr>
              <w:t>Vesting of restricted stock</w:t>
            </w: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Borders>
              <w:right w:val="single" w:sz="8" w:color="auto"/>
            </w:tcBorders>
            <w:gridSpan w:val="2"/>
          </w:tcPr>
          <w:p>
            <w:pPr>
              <w:ind w:lef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4,764</w:t>
            </w: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64,420</w:t>
            </w:r>
          </w:p>
        </w:tc>
        <w:tc>
          <w:tcPr>
            <w:tcW w:w="0" w:type="dxa"/>
            <w:vAlign w:val="bottom"/>
          </w:tcPr>
          <w:p>
            <w:pPr>
              <w:spacing w:after="0"/>
              <w:rPr>
                <w:sz w:val="1"/>
                <w:szCs w:val="1"/>
                <w:color w:val="auto"/>
              </w:rPr>
            </w:pPr>
          </w:p>
        </w:tc>
      </w:tr>
      <w:tr>
        <w:trPr>
          <w:trHeight w:val="213"/>
        </w:trPr>
        <w:tc>
          <w:tcPr>
            <w:tcW w:w="2340" w:type="dxa"/>
            <w:vAlign w:val="bottom"/>
          </w:tcPr>
          <w:p>
            <w:pPr>
              <w:ind w:left="240"/>
              <w:spacing w:after="0"/>
              <w:rPr>
                <w:sz w:val="20"/>
                <w:szCs w:val="20"/>
                <w:color w:val="auto"/>
              </w:rPr>
            </w:pPr>
            <w:r>
              <w:rPr>
                <w:rFonts w:ascii="Arial" w:cs="Arial" w:eastAsia="Arial" w:hAnsi="Arial"/>
                <w:sz w:val="16"/>
                <w:szCs w:val="16"/>
                <w:color w:val="auto"/>
              </w:rPr>
              <w:t>Other comprehensive loss</w:t>
            </w: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Borders>
              <w:right w:val="single" w:sz="8" w:color="auto"/>
            </w:tcBorders>
            <w:gridSpan w:val="2"/>
          </w:tcPr>
          <w:p>
            <w:pPr>
              <w:ind w:lef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(1,667)</w:t>
            </w: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(137,916)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(137,916)</w:t>
            </w:r>
          </w:p>
        </w:tc>
        <w:tc>
          <w:tcPr>
            <w:tcW w:w="0" w:type="dxa"/>
            <w:vAlign w:val="bottom"/>
          </w:tcPr>
          <w:p>
            <w:pPr>
              <w:spacing w:after="0"/>
              <w:rPr>
                <w:sz w:val="1"/>
                <w:szCs w:val="1"/>
                <w:color w:val="auto"/>
              </w:rPr>
            </w:pPr>
          </w:p>
        </w:tc>
      </w:tr>
      <w:tr>
        <w:trPr>
          <w:trHeight w:val="142"/>
        </w:trPr>
        <w:tc>
          <w:tcPr>
            <w:tcW w:w="234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Balances as of December 31,</w:t>
            </w:r>
          </w:p>
        </w:tc>
        <w:tc>
          <w:tcPr>
            <w:tcW w:w="72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vMerge w:val="restart"/>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153,693</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218,029</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1,231,482</w:t>
            </w:r>
          </w:p>
        </w:tc>
        <w:tc>
          <w:tcPr>
            <w:tcW w:w="10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99"/>
              </w:rPr>
              <w:t>(618,255)</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611,068</w:t>
            </w:r>
          </w:p>
        </w:tc>
        <w:tc>
          <w:tcPr>
            <w:tcW w:w="0" w:type="dxa"/>
            <w:vAlign w:val="bottom"/>
          </w:tcPr>
          <w:p>
            <w:pPr>
              <w:spacing w:after="0"/>
              <w:rPr>
                <w:sz w:val="1"/>
                <w:szCs w:val="1"/>
                <w:color w:val="auto"/>
              </w:rPr>
            </w:pPr>
          </w:p>
        </w:tc>
      </w:tr>
      <w:tr>
        <w:trPr>
          <w:trHeight w:val="234"/>
        </w:trPr>
        <w:tc>
          <w:tcPr>
            <w:tcW w:w="2340" w:type="dxa"/>
            <w:vAlign w:val="bottom"/>
          </w:tcPr>
          <w:p>
            <w:pPr>
              <w:ind w:left="180"/>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right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6"/>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(137,916)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(95,325)</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(75,234)</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3,058</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22,608</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Bad debt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Operating lease liabilities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(4,529)</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7,689</w:t>
            </w:r>
          </w:p>
        </w:tc>
        <w:tc>
          <w:tcPr>
            <w:tcW w:w="0" w:type="dxa"/>
            <w:vAlign w:val="bottom"/>
          </w:tcPr>
          <w:p>
            <w:pPr>
              <w:spacing w:after="0"/>
              <w:rPr>
                <w:sz w:val="1"/>
                <w:szCs w:val="1"/>
                <w:color w:val="auto"/>
              </w:rPr>
            </w:pPr>
          </w:p>
        </w:tc>
      </w:tr>
      <w:tr>
        <w:trPr>
          <w:trHeight w:val="207"/>
        </w:trPr>
        <w:tc>
          <w:tcPr>
            <w:tcW w:w="69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(60,503)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(51,268)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(41,604)</w:t>
            </w:r>
          </w:p>
        </w:tc>
        <w:tc>
          <w:tcPr>
            <w:tcW w:w="0" w:type="dxa"/>
            <w:vAlign w:val="bottom"/>
          </w:tcPr>
          <w:p>
            <w:pPr>
              <w:spacing w:after="0"/>
              <w:rPr>
                <w:sz w:val="1"/>
                <w:szCs w:val="1"/>
                <w:color w:val="auto"/>
              </w:rPr>
            </w:pPr>
          </w:p>
        </w:tc>
      </w:tr>
      <w:tr>
        <w:trPr>
          <w:trHeight w:val="19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(5,023)</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(711,887)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(77,600)</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Sales of marketable securities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21,826</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Maturities of marketable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97,589</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Loan to Opportunity Finance Network</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(342,448)</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(149,522)</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36,792</w:t>
            </w:r>
          </w:p>
        </w:tc>
        <w:tc>
          <w:tcPr>
            <w:tcW w:w="0" w:type="dxa"/>
            <w:vAlign w:val="bottom"/>
          </w:tcPr>
          <w:p>
            <w:pPr>
              <w:spacing w:after="0"/>
              <w:rPr>
                <w:sz w:val="1"/>
                <w:szCs w:val="1"/>
                <w:color w:val="auto"/>
              </w:rPr>
            </w:pPr>
          </w:p>
        </w:tc>
      </w:tr>
      <w:tr>
        <w:trPr>
          <w:trHeight w:val="193"/>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exercise of stock options, net of repurchases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6,367</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the Reverse Recapitalization</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628,489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Payment of transaction costs related to the Reverse Recapitalization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withholdings on release of restricted stock units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Repurchase of common stock</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(77,232)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9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(64,348)</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637,576</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6,367</w:t>
            </w:r>
          </w:p>
        </w:tc>
        <w:tc>
          <w:tcPr>
            <w:tcW w:w="0" w:type="dxa"/>
            <w:vAlign w:val="bottom"/>
          </w:tcPr>
          <w:p>
            <w:pPr>
              <w:spacing w:after="0"/>
              <w:rPr>
                <w:sz w:val="1"/>
                <w:szCs w:val="1"/>
                <w:color w:val="auto"/>
              </w:rPr>
            </w:pPr>
          </w:p>
        </w:tc>
      </w:tr>
      <w:tr>
        <w:trPr>
          <w:trHeight w:val="207"/>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13"/>
        </w:trPr>
        <w:tc>
          <w:tcPr>
            <w:tcW w:w="6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(466,576)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521,812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84,743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83,984</w:t>
            </w:r>
          </w:p>
        </w:tc>
        <w:tc>
          <w:tcPr>
            <w:tcW w:w="0" w:type="dxa"/>
            <w:vAlign w:val="bottom"/>
          </w:tcPr>
          <w:p>
            <w:pPr>
              <w:spacing w:after="0"/>
              <w:rPr>
                <w:sz w:val="1"/>
                <w:szCs w:val="1"/>
                <w:color w:val="auto"/>
              </w:rPr>
            </w:pPr>
          </w:p>
        </w:tc>
      </w:tr>
      <w:tr>
        <w:trPr>
          <w:trHeight w:val="23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55,236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521,812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84,743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w w:val="93"/>
              </w:rPr>
              <w:t>Reconciliation of cash, cash equivalents, and restricted cash to the consolidated balance sheets: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83,642</w:t>
            </w: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35"/>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521,812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84,743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 and early exercised stock options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6,240</w:t>
            </w:r>
          </w:p>
        </w:tc>
        <w:tc>
          <w:tcPr>
            <w:tcW w:w="0" w:type="dxa"/>
            <w:vAlign w:val="bottom"/>
          </w:tcPr>
          <w:p>
            <w:pPr>
              <w:spacing w:after="0"/>
              <w:rPr>
                <w:sz w:val="1"/>
                <w:szCs w:val="1"/>
                <w:color w:val="auto"/>
              </w:rPr>
            </w:pPr>
          </w:p>
        </w:tc>
      </w:tr>
      <w:tr>
        <w:trPr>
          <w:trHeight w:val="213"/>
        </w:trPr>
        <w:tc>
          <w:tcPr>
            <w:tcW w:w="6980" w:type="dxa"/>
            <w:vAlign w:val="bottom"/>
          </w:tcPr>
          <w:p>
            <w:pPr>
              <w:ind w:left="360"/>
              <w:spacing w:after="0"/>
              <w:rPr>
                <w:sz w:val="20"/>
                <w:szCs w:val="20"/>
                <w:color w:val="auto"/>
              </w:rPr>
            </w:pPr>
            <w:r>
              <w:rPr>
                <w:rFonts w:ascii="Arial" w:cs="Arial" w:eastAsia="Arial" w:hAnsi="Arial"/>
                <w:sz w:val="16"/>
                <w:szCs w:val="16"/>
                <w:color w:val="auto"/>
              </w:rPr>
              <w:t>Lease liabilities arising from obtaining right-of-use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34,971</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40,790</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Unpaid deferred transaction costs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6980" w:type="dxa"/>
            <w:vAlign w:val="bottom"/>
          </w:tcPr>
          <w:p>
            <w:pPr>
              <w:ind w:left="360"/>
              <w:spacing w:after="0" w:line="166" w:lineRule="exact"/>
              <w:rPr>
                <w:sz w:val="20"/>
                <w:szCs w:val="20"/>
                <w:color w:val="auto"/>
              </w:rPr>
            </w:pPr>
            <w:r>
              <w:rPr>
                <w:rFonts w:ascii="Arial" w:cs="Arial" w:eastAsia="Arial" w:hAnsi="Arial"/>
                <w:sz w:val="16"/>
                <w:szCs w:val="16"/>
                <w:color w:val="auto"/>
                <w:w w:val="93"/>
              </w:rPr>
              <w:t>Conversion of redeemable convertible preferred stock into Class B common stock in connection with</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447,166</w:t>
            </w:r>
          </w:p>
        </w:tc>
        <w:tc>
          <w:tcPr>
            <w:tcW w:w="8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980" w:type="dxa"/>
            <w:vAlign w:val="bottom"/>
          </w:tcPr>
          <w:p>
            <w:pPr>
              <w:ind w:left="520"/>
              <w:spacing w:after="0"/>
              <w:rPr>
                <w:sz w:val="20"/>
                <w:szCs w:val="20"/>
                <w:color w:val="auto"/>
              </w:rPr>
            </w:pPr>
            <w:r>
              <w:rPr>
                <w:rFonts w:ascii="Arial" w:cs="Arial" w:eastAsia="Arial" w:hAnsi="Arial"/>
                <w:sz w:val="16"/>
                <w:szCs w:val="16"/>
                <w:color w:val="auto"/>
              </w:rPr>
              <w:t>the Reverse Recapitalization</w:t>
            </w:r>
          </w:p>
        </w:tc>
        <w:tc>
          <w:tcPr>
            <w:tcW w:w="32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Nextdoor Holdings, Inc. (“Nextdoor” or the “Company”) is headquartered in San Francisco, California. Nextdoor’s purpose is to cultivate a kinder world where everyone has a neighborhood they can rely on. That purpose enables the Company’s mission to be the neighborhood hub for trusted connections and the exchange of helpful information, goods, and services.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5, 2021 (the “Closing”), the Company consummated the transactions contemplated by the Agreement and Plan of Merger, dated July 6, 2021, as amended on September 30, 2021 (the “Merger Agreement”), by and among Khosla Ventures Acquisition Co. II (“KVSB”), a special purpose acquisition company, Lorelei Merger Sub Inc. (“Merger Sub”), and Nextdoor, Inc. (“Legacy Nextdoor”), with Legacy Nextdoor surviving as a wholly owned subsidiary of KVSB (the “Merger” and, collectively with the other transactions that occurred in connection with the Merger, including the PIPE Investment (as described in Note 3, the “Reverse Recapitalization”)). In connection with the Closing, KVSB was renamed to Nextdoor Holdings, Inc. Reported results from operations included herein prior to the Reverse Recapitalization are those of Legacy Nextdoor.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See Note 3 - Reverse Recapitalization for further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was accounted for as a reverse recapitalization in accordance with GAAP. This determination was primarily based on the evaluation of the following facts and circumstances:</w:t>
      </w:r>
    </w:p>
    <w:p>
      <w:pPr>
        <w:spacing w:after="0" w:line="11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Legacy Nextdoor stockholders had a relative majority of the voting power of Nextdoor;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Board of Directors of Nextdoor had ten members, and Legacy Nextdoor stockholders had the ability to nominate a majority of the members of the Board of Directors;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Legacy Nextdoor’s senior management comprised the senior management roles of Nextdoor and were responsible for the day-to-day operations;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KVSB assumed the Nextdoor Holdings, Inc. name and Legacy Nextdoor’s corporate headquarters;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intended strategy and operations of Nextdoor continued Legacy Nextdoor’s strategy and operations to leverage technology to connect millions of neighbors online and in real life to build stronger, more vibrant, and resilient neighborhoods.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this method of accounting, 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shares and corresponding capital amounts and all per share data related to Legacy Nextdoor’s outstanding redeemable convertible preferred stock, common stock, and stock-based awards prior to the Reverse Recapitalization have been retroactively adjusted using the Exchange Ratio (as defined in Note 3). The conversion of the outstanding shares of Legacy Nextdoor redeemable convertible preferred stock into shares of Class B common stock in connection with the Reverse Recapitalization and the issuance of Class A common stock are presented as of the Closing of the Merger in the consolidated statements of redeemable convertible preferred stock and stockholders’ equity (deficit). The net assets of KVSB were recognized as of the Closing at historical cost, with no goodwill or other intangible assets recorded. Operations prior to the Merger are those of Legacy Nextdoor and Legacy Nextdoor’s operations are the only ongoing operations of Nextdoor.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Estimates include, but are not limited to, valuation of financial instruments, valuation of common stock through the date of the Reverse Recapitalization, valuation of stock-based awards, revenue recognition, collectability of accounts receivable, valuation of acquired intangible assets and goodwill, useful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functional currency of the Company’s international subsidiaries is generally their local currency. The financial statements of these subsidiaries are translated into U.S. dollars using month-end exchange rates for assets and liabilities, historical exchange rates for equity, and average exchange rates for revenue and expenses. Translation gains and losses are recorded in accumulated other comprehensive income (loss) as a component of stockholders’ equity (deficit). Unrealized foreign exchange gains and losses due to the re-measurement of monetary assets and liabilities denominated in non-functional currencies and realized foreign exchange gains and losses on foreign exchange transactions are recorded in other income (expense), net in the consolidated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consist of highly liquid investments with insignificant interest rate risk and original maturities of three months or less at the time of purchase. Cash and cash equivalents include demand deposits, money market funds, corporate bonds, and commercial paper. Interest is accrued as earned. Cash and cash equivalents are recorded at cost, which approximates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marketable securities are comprised of certificates of deposit, commercial paper, corporate bonds, U.S. Treasury securities, U.S. agency bonds, and asset-backed securities. The Company determines the appropriate classification of its investments at the time of purchase and reevaluates such designation at each balance sheet date. The Company has classified and accounted for its investments as available-for-sale securities as the Company may sell these securities at any time for use in its current operations or for other purposes, even prior to maturity. As a result, the Company classifies its investments, including securities with stated maturities beyond 12 months, within current assets on the consolidated balance sheets.</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Available-for-sale securities are recorded at fair value each reporting period. Unrealized gains and losses on these investments are reported as a separate component of accumulated other comprehensive income (loss) on the consolidated balance sheets until realized. Interest income is reported within interest income in the consolidated statements of operations. The Company periodically evaluates its marketable securities to assess whether those with unrealized loss positions are other-than-temporarily impaired. The Company considers various factors in determining whether to recognize an impairment charge, including the length of time the investment has been in a loss position, the extent to which the fair value is less than the Company’s cost basis, the financial condition and near-term prospects of the investee. Realized gains and losses are determined based on the specific identification method and are reported in other income (expense), net in the consolidated statements of operations. If the Company determines that the decline in an investment’s fair value is other than temporary, the difference is recognized as an impairment loss in the consolidated statements of operations. The Company did not consider any of its investments to be other-than-temporarily impaired for the years ended December 31, 2022 and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certain assets and liabilities at fair value, which is the expected exchange price that would be received for an asset or an exit price paid to transfer a liability in an orderly transaction between market participants on the measurement date. Assets and liabilities measured at fair value are classified into the following categories based on the degree to which the inputs the Company uses to measure the fair values are observable in active markets. The Company uses the most observable inputs available when measuring fair value.</w:t>
      </w:r>
    </w:p>
    <w:p>
      <w:pPr>
        <w:spacing w:after="0" w:line="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1: Observable inputs such as unadjusted quoted prices for identical assets or liabilities in active markets;</w:t>
      </w:r>
    </w:p>
    <w:p>
      <w:pPr>
        <w:spacing w:after="0" w:line="15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Level 2: Observable inputs such as quoted prices for similar assets or liabilities in active markets, quoted prices for identical assets or liabilities in inactive markets, or inputs that are derived principally from or corroborated by observable market data or other means;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are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accounts receivable at the original invoiced amount. The Company maintains an allowance for doubtful accounts for any receivables it may be unable to collect and reduces the allowance when it determines that it will be unable to collect specific receivables. The Company determines the allowance based on its receivables’ age, the customers’ credit quality, and current economic conditions, among other factors that may affect the customers’ ability to pay.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are recorded at cost, less accumulated depreciation and amortization. Depreciation and amortization are computed using the straight-line method over the estimated useful lives of the assets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2940" w:type="dxa"/>
            <w:vAlign w:val="bottom"/>
          </w:tcPr>
          <w:p>
            <w:pPr>
              <w:jc w:val="right"/>
              <w:ind w:right="714"/>
              <w:spacing w:after="0"/>
              <w:rPr>
                <w:sz w:val="20"/>
                <w:szCs w:val="20"/>
                <w:color w:val="auto"/>
              </w:rPr>
            </w:pPr>
            <w:r>
              <w:rPr>
                <w:rFonts w:ascii="Arial" w:cs="Arial" w:eastAsia="Arial" w:hAnsi="Arial"/>
                <w:sz w:val="14"/>
                <w:szCs w:val="14"/>
                <w:b w:val="1"/>
                <w:bCs w:val="1"/>
                <w:color w:val="auto"/>
              </w:rPr>
              <w:t>Estimated Useful Life</w:t>
            </w:r>
          </w:p>
        </w:tc>
      </w:tr>
      <w:tr>
        <w:trPr>
          <w:trHeight w:val="26"/>
        </w:trPr>
        <w:tc>
          <w:tcPr>
            <w:tcW w:w="830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94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176"/>
        </w:trPr>
        <w:tc>
          <w:tcPr>
            <w:tcW w:w="8300" w:type="dxa"/>
            <w:vAlign w:val="bottom"/>
            <w:shd w:val="clear" w:color="auto" w:fill="CCEEFF"/>
          </w:tcPr>
          <w:p>
            <w:pPr>
              <w:spacing w:after="0"/>
              <w:rPr>
                <w:sz w:val="15"/>
                <w:szCs w:val="15"/>
                <w:color w:val="auto"/>
              </w:rPr>
            </w:pPr>
          </w:p>
        </w:tc>
        <w:tc>
          <w:tcPr>
            <w:tcW w:w="2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Shorter of the estimated useful life of 5</w:t>
            </w:r>
          </w:p>
        </w:tc>
      </w:tr>
      <w:tr>
        <w:trPr>
          <w:trHeight w:val="24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years or the lease term</w:t>
            </w:r>
          </w:p>
        </w:tc>
      </w:tr>
      <w:tr>
        <w:trPr>
          <w:trHeight w:val="419"/>
        </w:trPr>
        <w:tc>
          <w:tcPr>
            <w:tcW w:w="8300" w:type="dxa"/>
            <w:vAlign w:val="bottom"/>
          </w:tcPr>
          <w:p>
            <w:pPr>
              <w:spacing w:after="0"/>
              <w:rPr>
                <w:sz w:val="20"/>
                <w:szCs w:val="20"/>
                <w:color w:val="auto"/>
              </w:rPr>
            </w:pPr>
            <w:r>
              <w:rPr>
                <w:rFonts w:ascii="Arial" w:cs="Arial" w:eastAsia="Arial" w:hAnsi="Arial"/>
                <w:sz w:val="18"/>
                <w:szCs w:val="18"/>
                <w:color w:val="auto"/>
              </w:rPr>
              <w:t>Maintenance and repair costs are expensed as incurred.</w:t>
            </w:r>
          </w:p>
        </w:tc>
        <w:tc>
          <w:tcPr>
            <w:tcW w:w="2940" w:type="dxa"/>
            <w:vAlign w:val="bottom"/>
          </w:tcPr>
          <w:p>
            <w:pPr>
              <w:spacing w:after="0"/>
              <w:rPr>
                <w:sz w:val="24"/>
                <w:szCs w:val="24"/>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capitalizes internal-use software costs when preliminary development efforts are successfully completed, management has authorized and committed project funding, and it is probable that the project will be completed, and the software will be used as intended. Costs related to preliminary project activities and post-implementation activities are expensed as incurred and costs related to the application development stage are capitalized. Capitalized costs are recorded as part of property and equipment, net. The capitalized costs related to internal-use software are amortized on a straight-line basis over an estimated useful life of two to three years. Management evaluates the useful lives of these assets on an annual basis and tests for impairment whenever events or changes in circumstances occur that could impact the recoverability of these assets. The Company capitalized $0.3 million of internal-use software costs for the year ended December 31, 2022. The Company did not capitalize any internal-use software costs for the year ended December 31,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Acquired Intangible Assets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Goodwill represents the excess of the purchase price over the fair value of net assets acquired in connection with business combinations accounted for using the acquisition method of accounting. Goodwill is not amortized, but is tested for impairment at least annually, in the fourth quarter, or whenever events or changes in circumstances indicate that goodwill might be impaired. For all periods presented the Company had one reporting unit. The Company’s test for goodwill impairment starts with a qualitative assessment to determine whether it is necessary to perform the quantitative goodwill impairment test. If the Company determines, based on the qualitative factors, that the fair value of the reporting unit is more likely than not to be less than the carrying amount, then a quantitative goodwill impairment test is required. There was no impairment of goodwill recorded for the periods presented.</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assets consist of identifiable intangible assets, including customer relationships and developed technology, resulting from the Company’s acquisitions. Acquired intangible assets are recorded at cost, net of accumulated amortization. Intangible assets are amortized on a straight-line basis over their estimated useful lives. Amortization costs are recorded in sales and marketing in the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and equipment and other long-lived assets, such as finite-lived intangible assets, subject to amortization, are reviewed for impairment whenever events or changes in circumstances indicate the carrying amount of an asset may not be recoverable. Recoverability of these assets is measured by a comparison of the carrying amounts to the future undiscounted cash flows the assets are expected to generate. If impairment is indicated, an impairment loss is recognized as the amount by which the carrying amount exceeds the fair value. No impairment was recorded for long-lived assets for the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Results and disclosure requirements for all periods presented are presented under ASU 2016-02, Leases (“Topic 842”).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various lease agreements related to real estate that are all classified as operating leases. At the inception of the Company’s contracts it determines if the contract is or contains a lease. A contract is or contains a lease if it conveys the right to control the use of an identified asset for a period of time in exchange for consideration. The Company has elected not to separate the lease and non-lease components within the contract. For leases that have greater than a 12-month lease term, right-of-use (“ROU”) assets and operating lease liabilities are recognized on the consolidated balance sheets at commencement date based on the present value of remaining fixed lease payments.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the Company’s leases include options to extend the lease, with renewal terms that can extend the lease term from one month to five years. If the Company is reasonably certain to exercise an option to extend a lease, the extension period is included as part of the ROU asset and the operating lease liability.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the discount rate implicit in the lease cannot be readily determined, the Company uses its incremental borrowing rate at lease commencement in order to discount lease payments to present value for purposes of performing lease classification tests and measuring the lease liability. The Company’s incremental borrowing rate represents the rate of interest the Company would have to pay to borrow, on a collateralized basis, over a similar term an amount equal to the lease payments in a similar economic environment.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operating lease ROU asset also includes accrued lease expense resulting from the straight-line accounting under prior accounting methods, which is now being amortized over the remaining life of the lease.</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lease payments are largely fixed. Variable lease payments exist in circumstances such as payments for property tax, insurance, and common area maintenance. Variable lease payments are recognized in operating expense in the period in which the obligation for those payments are incurred. Certain of the Company’s leases include an option to early terminate the lease. The Company’s leases may contain early termination options which may result in an early termination fee. The Company early terminated one of its leases in October 2020 and incurred an early termination fee of $0.1 million. The Company has a significant lease for its headquarters in San Francisco, California, which does not include an option to early terminate. The first portion of the lease commenced in June 2020 and the second portion of the lease commenced in January 2021.</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Company’s leases, it has elected to not apply the recognition requirements to leases of twelve months or less. These leases are expensed on a straight-line basis and no ROU asset or operating lease liability is recorded.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Customer Risks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are exposed to concentrations of credit risk consist principally of cash and cash equivalents, marketable securities and accounts receivable. The Company maintains cash and cash equivalents and marketable securities with domestic and foreign financial institutions and at times may exceed federally insured limits. The Company performs periodic evaluations of the relative credit standing of these institutions. The Company maintains investments in U.S. government debt and agency securities, corporate debt securities, and commercial paper that carry high credit ratings and accordingly, minimal credit risk exists with respect to these balances.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One customer accounted for 24% of the Company’s accounts receivable as of December 31, 2022. One customer accounted for 13% of the Company’s accounts receivable as of December 31, 2021. No customer accounted for 10% or more of the Company’s total revenue for the years ended December 31, 2022, 2021 and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a majority of its revenue from the delivery of advertising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57"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advertising revenue after satisfying its contractual performance obligation, which, for the majority of its advertising arrangements, is when an advertising impression is displayed to users. None of the Company’s arrangements contain minimum impression guarantees. The Company typically bills advertisers on a monthly basis and the payment terms vary by customer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type and location. The Company has other advertising arrangements which are typically fixed-fee arrangements and revenue is recognized on a straight-line basis over the non-cancellable contractual term of the agreement, generally beginning on the date its service is made available to the customer.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certain advertising arrangements the Company requires payment upfront from its customers. The Company records deferred revenue when it collects cash from customers in advance of revenue recognition. As of December 31, 2022 and 2021, deferred revenue was $6.0 million and $3.4 million, respectively, and included within accrued expenses and other current liabilities on the consolidated balance sheets. For the years ended December 31, 2022 and 2021, revenue recognized from deferred revenue at the beginning of each year was $2.9 million and $2.5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expenses sales commissions as incurred because the expected period of benefit is less than one year. These costs are recorded within sales and marketing expenses in the consolidated statements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disclose the value of unsatisfied performance obligations for (i) contracts with an original expected length of one year or less and (ii) contracts for which it recognizes revenue at the amount to which it has the right to invoice for services performed.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consists primarily of expenses associated with the delivery of the Company’s revenue generating activities, including third-party costs of hosting its platform and allocated personnel-related costs, including salaries, benefits and stock-based compensation for employees engaged in development of its revenue generating products. Cost of revenue also includes third-party costs associated with delivering and supporting its advertising products and credit card transaction fees related to processing customer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personnel-related costs, including salaries, benefits and stock-based compensation for its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and marketing expenses consist primarily of personnel-related costs and other costs which include salaries, commissions, benefits,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small and mid-sized customer acquisition, and neighbor services, which includes personnel-related costs for the Company's neighbor support team, its outsourced neighbor support function, and verification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consist primarily of personnel-related costs, including salaries, benefits,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costs which consist primarily of brand and performance marketing are expensed as incurred and are included in sales and marketing expense in the consolidated statements of operations. Total advertising costs incurred were $33.6 million, $37.5 million, and $23.7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income taxes are recognized for differences between financial reporting and tax bases of assets and liabilities at the enacted statutory tax rates in effect for the years in which the temporary differences are expected to reverse. Management makes an assessment of the likelihood that the resulting deferred tax assets will be realized. A valuation allowance is provided when it is more likely than not that some portion or all of a deferred tax asset will not be realized. Due to the Company’s historical operating performance and the recorded cumulative net losses in prior fiscal periods, the U.S. net deferred tax assets have been fully offset by a valuation allowance.</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operates in various tax jurisdictions which are subject to audit by various tax authorities. The Company recognizes a tax benefit from an uncertain tax position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cumulative likelihood of being realized upon settlement. The Company recognizes interest and penalties related to unrecognized tax benefits in the income tax provision in the consolidated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presents net loss per share attributable to common stockholders in conformity with the two-class method required for multiple classes of common stock and participating securities. Under the two-class method, net loss is attributed to common stockholders and participating securities based on their participation rights. The rights, including the liquidation and dividend rights, of the Class A common stock and Class B common stock are substantially identical, other than voting rights. Accordingly, the Class A common stock and Class B common stock share proportionately in the Company’s net losses. The Company considers its redeemable convertible preferred stock (prior to the Reverse Recapitalization), early exercised stock options, and unvested restricted stock to be participating securities and contractually entitles the holders of such shares to participate in dividends but does not contractually obligate the holders of such shares to participate in the Company’s losses. As such, net losses for the periods presented were not allocated to these securities.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computes basic net loss per share attributable to common stockholders by dividing the net loss attributable to common stockholders by the weighted average number of shares of common stock outstanding during the period, adjusted for outstanding shares that are subject to repurchase. Diluted net loss per share attributable to common stockholders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all potentially dilutive securities are anti-dilutive.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Stock-based compensation expense for stock-based awards granted to employees and non-employees is measured based on the grant date fair value of the awards and recognized in the consolidated statements of operations on a straight-line basis over the period during which services are provided in exchange for the award, generally, the vesting period of the award. The grant date fair value of stock options granted is estimated using the Black-Scholes option pricing model. Forfeitures are accounted for as they occur.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one reportable and operating segment. The Company’s chief operating decision maker is its Chief Executive Officer (“CEO”), who reviews financial information presented on a consolidated basis for purposes of making operating decisions, assessing financial performance, and allocating resources. See Note 13 - Geographical Information for more details on the Company’s revenue and long-lived assets by jurisdiction.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 Topic 740 – Simplifying the Accounting for Income Taxes</w:t>
      </w:r>
      <w:r>
        <w:rPr>
          <w:rFonts w:ascii="Arial" w:cs="Arial" w:eastAsia="Arial" w:hAnsi="Arial"/>
          <w:sz w:val="17"/>
          <w:szCs w:val="17"/>
          <w:color w:val="auto"/>
        </w:rPr>
        <w:t>, which simplifies the accounting for income taxes by removing certain exceptions to the general principals in Topic 740. The amendments also improve consistent application of and simplify GAAP for other areas of Topic 740 by clarifying and amending existing guidance. The Company adopted this standard as of January 1, 2022, and the adoption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and has since issued various amendments including ASU 2018-19, ASU 2019-04, and ASU 2019-05. The guidance and related amendments modify the accounting for credit losses for most financial assets and require the use of an expected loss model, replacing the currently used incurred loss method. Under this model, entities will be required to estimate the lifetime expected credit loss on such instruments and record an allowance to offset the amortized cost basis of the financial asset, resulting in a net presentation of the amount expected to be collected on the financial asset. This guidance became effective for the Company beginning January 1, 2023. The adoption of this standard is not expected to have a material impact on the Company’s consolidated financial statements and related disclosures.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Reverse Recapitalization</w:t>
      </w:r>
    </w:p>
    <w:p>
      <w:pPr>
        <w:spacing w:after="0" w:line="17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Pursuant to the Merger Agreement, as described in Note 1, Merger Sub merged with and into Legacy Nextdoor, with Legacy Nextdoor surviving the Merger. Legacy Nextdoor became a wholly owned subsidiary of KVSB and KVSB was immediately renamed Nextdoor Holdings, Inc. Upon the consummation of the Merger, the following events contemplated by the Merger Agreement occurred, based on Legacy Nextdoor’s capitalization as of November 5, 2021:</w:t>
      </w:r>
    </w:p>
    <w:p>
      <w:pPr>
        <w:spacing w:after="0" w:line="133" w:lineRule="exact"/>
        <w:rPr>
          <w:sz w:val="20"/>
          <w:szCs w:val="20"/>
          <w:color w:val="auto"/>
        </w:rPr>
      </w:pPr>
    </w:p>
    <w:p>
      <w:pPr>
        <w:ind w:left="660" w:hanging="328"/>
        <w:spacing w:after="0" w:line="308"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61,331,815 issued and outstanding shares of Legacy Nextdoor redeemable convertible preferred stock were converted into 61,331,815 shares of Legacy Nextdoor common stock at the conversion rate as calculated pursuant to Legacy Nextdoor’s certificate of incorporation;</w:t>
      </w:r>
    </w:p>
    <w:p>
      <w:pPr>
        <w:spacing w:after="0" w:line="92"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97,886,321 issued and outstanding shares of Legacy Nextdoor common stock (including Legacy Nextdoor common stock resulting from the conversion of the Legacy Nextdoor redeemable convertible preferred stock) were converted into 304,003,976 shares of Nextdoor Class B common stock after giving effect to the exchange ratio of 3.1057 as calculated in accordance with the Merger Agreement (“Exchange Ratio”);</w:t>
      </w:r>
    </w:p>
    <w:p>
      <w:pPr>
        <w:spacing w:after="0" w:line="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19,196,313 granted and outstanding unexercised Legacy Nextdoor options were converted into 59,616,898 Nextdoor options exercisable for shares of Nextdoor Class B common stock with the same terms and vesting conditions except for the number of shares exercisable and the exercise price, each of which was adjusted by the Exchange Ratio;</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866,687 granted and outstanding unvested Legacy Nextdoor restricted stock units (“RSUs”) were converted into 2,691,577 Nextdoor RSUs for shares of Nextdoor Class B common stock with the same terms and vesting conditions except for the number of shares, which was adjusted by the Exchange Ratio; and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entitlement to receive 58,135 shares of Legacy Nextdoor common stock pursuant to the Pixel Labs Merger Agreement converted into the right to receive 180,549 shares of Nextdoor Class B common stock, which was adjusted by the Exchange Ratio.</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304,003,976 shares of Nextdoor Class B common stock issued and outstanding as of the Closing and Nextdoor options and RSUs covering 62,308,475 shares reserved for the potential future issuance of Nextdoor Class B common stock as of the Closing.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Closing of the Merger:</w:t>
      </w:r>
    </w:p>
    <w:p>
      <w:pPr>
        <w:spacing w:after="0" w:line="171" w:lineRule="exact"/>
        <w:rPr>
          <w:sz w:val="20"/>
          <w:szCs w:val="20"/>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KVSB Class B founder shares, consisting of 5,000,000 shares of KVSB Class B common stock, automatically converted into an aggregate of 7,347,249 shares of Nextdoor Class A common stock;</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KVSB Class K founder shares, consisting of 5,000,000 shares of KVSB Class K common stock, converted into an aggregate of 3,061,354 shares of Nextdoor Class A common stock;</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1,132,688 private placement sponsor shares of KVSB Class A common stock converted into shares of Nextdoor Class A common stock on a one-to-one basis;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40,412,372 shares of KVSB Class A common stock held by KVSB public stockholders, net of the redemption of 1,222,040 shares of KVSB Class A common stock, converted into Nextdoor Class A common stock on a one-to-one basis.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6, 2021, concurrently with the execution of the Merger Agreement, KVSB entered into subscription agreements with certain investors (collectively, the “PIPE Investors”), pursuant to, and on the terms and subject to the conditions of which, the PIPE Investors subscribed for an aggregate of 27,000,000 shares of Class A common stock, which included 750,000 shares of Nextdoor Class 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common stock to the KVSB sponsor and 4,500,000 shares of Nextdoor Class A common stock to certain Legacy Nextdoor stockholders, including 500,000 shares of Nextdoor Class A common stock to Nextdoor's Chief Executive Officer and President, for an aggregate purchase price of $270.0 million (the “PIPE Investment”). The PIPE Investment was consummated substantially concurrently with the Closing of the Merger.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There were 78,953,663 shares of Nextdoor Class A common stock issued and outstanding as of the Closing.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holder of shares of Class A common stock is entitled to one vote for each share of Class A common stock held on all matters submitted to a vote of stockholders and each holder of shares of Class B common stock is entitled to 10 votes for each share of Class B common stock held on all matters submitted to a vote of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number of shares of common stock issued and outstanding immediately following the Reverse Recapitalization: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2600" w:type="dxa"/>
            <w:vAlign w:val="bottom"/>
          </w:tcPr>
          <w:p>
            <w:pPr>
              <w:jc w:val="right"/>
              <w:ind w:right="1012"/>
              <w:spacing w:after="0"/>
              <w:rPr>
                <w:sz w:val="20"/>
                <w:szCs w:val="20"/>
                <w:color w:val="auto"/>
              </w:rPr>
            </w:pPr>
            <w:r>
              <w:rPr>
                <w:rFonts w:ascii="Arial" w:cs="Arial" w:eastAsia="Arial" w:hAnsi="Arial"/>
                <w:sz w:val="14"/>
                <w:szCs w:val="14"/>
                <w:b w:val="1"/>
                <w:bCs w:val="1"/>
                <w:color w:val="auto"/>
              </w:rPr>
              <w:t>Shares</w:t>
            </w:r>
          </w:p>
        </w:tc>
      </w:tr>
      <w:tr>
        <w:trPr>
          <w:trHeight w:val="26"/>
        </w:trPr>
        <w:tc>
          <w:tcPr>
            <w:tcW w:w="864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KVSB Class A common stock, outstanding prior to Reverse Recapitalization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42,767,100</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Less: redemption of KVSB Class A common stock</w:t>
            </w:r>
          </w:p>
        </w:tc>
        <w:tc>
          <w:tcPr>
            <w:tcW w:w="2600" w:type="dxa"/>
            <w:vAlign w:val="bottom"/>
          </w:tcPr>
          <w:p>
            <w:pPr>
              <w:jc w:val="right"/>
              <w:spacing w:after="0"/>
              <w:rPr>
                <w:sz w:val="20"/>
                <w:szCs w:val="20"/>
                <w:color w:val="auto"/>
              </w:rPr>
            </w:pPr>
            <w:r>
              <w:rPr>
                <w:rFonts w:ascii="Arial" w:cs="Arial" w:eastAsia="Arial" w:hAnsi="Arial"/>
                <w:sz w:val="18"/>
                <w:szCs w:val="18"/>
                <w:color w:val="auto"/>
              </w:rPr>
              <w:t>(1,222,040)</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KVSB Class B founder shares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7,347,249</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Conversion of KVSB Class K common stock</w:t>
            </w:r>
          </w:p>
        </w:tc>
        <w:tc>
          <w:tcPr>
            <w:tcW w:w="2600" w:type="dxa"/>
            <w:vAlign w:val="bottom"/>
          </w:tcPr>
          <w:p>
            <w:pPr>
              <w:jc w:val="right"/>
              <w:spacing w:after="0"/>
              <w:rPr>
                <w:sz w:val="20"/>
                <w:szCs w:val="20"/>
                <w:color w:val="auto"/>
              </w:rPr>
            </w:pPr>
            <w:r>
              <w:rPr>
                <w:rFonts w:ascii="Arial" w:cs="Arial" w:eastAsia="Arial" w:hAnsi="Arial"/>
                <w:sz w:val="18"/>
                <w:szCs w:val="18"/>
                <w:color w:val="auto"/>
              </w:rPr>
              <w:t>3,061,354</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to PIPE Investors</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27,000,000</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Nextdoor Class A common stock</w:t>
            </w:r>
          </w:p>
        </w:tc>
        <w:tc>
          <w:tcPr>
            <w:tcW w:w="2600" w:type="dxa"/>
            <w:vAlign w:val="bottom"/>
          </w:tcPr>
          <w:p>
            <w:pPr>
              <w:jc w:val="right"/>
              <w:spacing w:after="0"/>
              <w:rPr>
                <w:sz w:val="20"/>
                <w:szCs w:val="20"/>
                <w:color w:val="auto"/>
              </w:rPr>
            </w:pPr>
            <w:r>
              <w:rPr>
                <w:rFonts w:ascii="Arial" w:cs="Arial" w:eastAsia="Arial" w:hAnsi="Arial"/>
                <w:sz w:val="18"/>
                <w:szCs w:val="18"/>
                <w:color w:val="auto"/>
              </w:rPr>
              <w:t>78,953,663</w:t>
            </w:r>
          </w:p>
        </w:tc>
      </w:tr>
      <w:tr>
        <w:trPr>
          <w:trHeight w:val="270"/>
        </w:trPr>
        <w:tc>
          <w:tcPr>
            <w:tcW w:w="8640" w:type="dxa"/>
            <w:vAlign w:val="bottom"/>
            <w:shd w:val="clear" w:color="auto" w:fill="CCEEFF"/>
          </w:tcPr>
          <w:p>
            <w:pPr>
              <w:spacing w:after="0"/>
              <w:rPr>
                <w:sz w:val="23"/>
                <w:szCs w:val="23"/>
                <w:color w:val="auto"/>
              </w:rPr>
            </w:pPr>
          </w:p>
        </w:tc>
        <w:tc>
          <w:tcPr>
            <w:tcW w:w="2600" w:type="dxa"/>
            <w:vAlign w:val="bottom"/>
            <w:shd w:val="clear" w:color="auto" w:fill="CCEEFF"/>
          </w:tcPr>
          <w:p>
            <w:pPr>
              <w:spacing w:after="0"/>
              <w:rPr>
                <w:sz w:val="23"/>
                <w:szCs w:val="23"/>
                <w:color w:val="auto"/>
              </w:rPr>
            </w:pPr>
          </w:p>
        </w:tc>
      </w:tr>
      <w:tr>
        <w:trPr>
          <w:trHeight w:val="229"/>
        </w:trPr>
        <w:tc>
          <w:tcPr>
            <w:tcW w:w="86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Conversion of Legacy Nextdoor common stock </w:t>
            </w:r>
            <w:r>
              <w:rPr>
                <w:rFonts w:ascii="Arial" w:cs="Arial" w:eastAsia="Arial" w:hAnsi="Arial"/>
                <w:sz w:val="23"/>
                <w:szCs w:val="23"/>
                <w:color w:val="auto"/>
                <w:vertAlign w:val="superscript"/>
              </w:rPr>
              <w:t>(1)</w:t>
            </w:r>
          </w:p>
        </w:tc>
        <w:tc>
          <w:tcPr>
            <w:tcW w:w="2600" w:type="dxa"/>
            <w:vAlign w:val="bottom"/>
          </w:tcPr>
          <w:p>
            <w:pPr>
              <w:jc w:val="right"/>
              <w:spacing w:after="0"/>
              <w:rPr>
                <w:sz w:val="20"/>
                <w:szCs w:val="20"/>
                <w:color w:val="auto"/>
              </w:rPr>
            </w:pPr>
            <w:r>
              <w:rPr>
                <w:rFonts w:ascii="Arial" w:cs="Arial" w:eastAsia="Arial" w:hAnsi="Arial"/>
                <w:sz w:val="18"/>
                <w:szCs w:val="18"/>
                <w:color w:val="auto"/>
              </w:rPr>
              <w:t>113,526,555</w:t>
            </w:r>
          </w:p>
        </w:tc>
      </w:tr>
      <w:tr>
        <w:trPr>
          <w:trHeight w:val="230"/>
        </w:trPr>
        <w:tc>
          <w:tcPr>
            <w:tcW w:w="8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Conversion of Legacy Nextdoor redeemable convertible preferred stock </w:t>
            </w:r>
            <w:r>
              <w:rPr>
                <w:rFonts w:ascii="Arial" w:cs="Arial" w:eastAsia="Arial" w:hAnsi="Arial"/>
                <w:sz w:val="23"/>
                <w:szCs w:val="23"/>
                <w:color w:val="auto"/>
                <w:vertAlign w:val="superscript"/>
              </w:rPr>
              <w:t>(2)</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190,477,421</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Nextdoor Class B common stock</w:t>
            </w:r>
          </w:p>
        </w:tc>
        <w:tc>
          <w:tcPr>
            <w:tcW w:w="2600" w:type="dxa"/>
            <w:vAlign w:val="bottom"/>
          </w:tcPr>
          <w:p>
            <w:pPr>
              <w:jc w:val="right"/>
              <w:spacing w:after="0"/>
              <w:rPr>
                <w:sz w:val="20"/>
                <w:szCs w:val="20"/>
                <w:color w:val="auto"/>
              </w:rPr>
            </w:pPr>
            <w:r>
              <w:rPr>
                <w:rFonts w:ascii="Arial" w:cs="Arial" w:eastAsia="Arial" w:hAnsi="Arial"/>
                <w:sz w:val="18"/>
                <w:szCs w:val="18"/>
                <w:color w:val="auto"/>
              </w:rPr>
              <w:t>304,003,976</w:t>
            </w:r>
          </w:p>
        </w:tc>
      </w:tr>
      <w:tr>
        <w:trPr>
          <w:trHeight w:val="270"/>
        </w:trPr>
        <w:tc>
          <w:tcPr>
            <w:tcW w:w="8640" w:type="dxa"/>
            <w:vAlign w:val="bottom"/>
            <w:shd w:val="clear" w:color="auto" w:fill="CCEEFF"/>
          </w:tcPr>
          <w:p>
            <w:pPr>
              <w:spacing w:after="0"/>
              <w:rPr>
                <w:sz w:val="23"/>
                <w:szCs w:val="23"/>
                <w:color w:val="auto"/>
              </w:rPr>
            </w:pPr>
          </w:p>
        </w:tc>
        <w:tc>
          <w:tcPr>
            <w:tcW w:w="2600" w:type="dxa"/>
            <w:vAlign w:val="bottom"/>
            <w:tcBorders>
              <w:bottom w:val="single" w:sz="8" w:color="auto"/>
            </w:tcBorders>
            <w:shd w:val="clear" w:color="auto" w:fill="CCEEFF"/>
          </w:tcPr>
          <w:p>
            <w:pPr>
              <w:spacing w:after="0"/>
              <w:rPr>
                <w:sz w:val="23"/>
                <w:szCs w:val="23"/>
                <w:color w:val="auto"/>
              </w:rPr>
            </w:pP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Total shares of common stock immediately after Reverse Recapitalization</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382,957,639</w:t>
            </w:r>
          </w:p>
        </w:tc>
      </w:tr>
      <w:tr>
        <w:trPr>
          <w:trHeight w:val="20"/>
        </w:trPr>
        <w:tc>
          <w:tcPr>
            <w:tcW w:w="864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firstLine="8"/>
        <w:spacing w:after="0" w:line="273" w:lineRule="auto"/>
        <w:tabs>
          <w:tab w:leader="none" w:pos="204" w:val="left"/>
        </w:tabs>
        <w:numPr>
          <w:ilvl w:val="0"/>
          <w:numId w:val="37"/>
        </w:numPr>
        <w:rPr>
          <w:rFonts w:ascii="Arial" w:cs="Arial" w:eastAsia="Arial" w:hAnsi="Arial"/>
          <w:sz w:val="14"/>
          <w:szCs w:val="14"/>
          <w:color w:val="auto"/>
        </w:rPr>
      </w:pPr>
      <w:r>
        <w:rPr>
          <w:rFonts w:ascii="Arial" w:cs="Arial" w:eastAsia="Arial" w:hAnsi="Arial"/>
          <w:sz w:val="14"/>
          <w:szCs w:val="14"/>
          <w:color w:val="auto"/>
        </w:rPr>
        <w:t>Upon the completion of the Reverse Recapitalization, the 36,554,506 outstanding shares of Legacy Nextdoor common stock were converted into shares of Nextdoor Class B common stock using the Exchange Ratio.</w:t>
      </w:r>
    </w:p>
    <w:p>
      <w:pPr>
        <w:spacing w:after="0" w:line="133" w:lineRule="exact"/>
        <w:rPr>
          <w:rFonts w:ascii="Arial" w:cs="Arial" w:eastAsia="Arial" w:hAnsi="Arial"/>
          <w:sz w:val="14"/>
          <w:szCs w:val="14"/>
          <w:color w:val="auto"/>
        </w:rPr>
      </w:pPr>
    </w:p>
    <w:p>
      <w:pPr>
        <w:ind w:right="60" w:firstLine="8"/>
        <w:spacing w:after="0" w:line="293" w:lineRule="auto"/>
        <w:tabs>
          <w:tab w:leader="none" w:pos="204" w:val="left"/>
        </w:tabs>
        <w:numPr>
          <w:ilvl w:val="0"/>
          <w:numId w:val="37"/>
        </w:numPr>
        <w:rPr>
          <w:rFonts w:ascii="Arial" w:cs="Arial" w:eastAsia="Arial" w:hAnsi="Arial"/>
          <w:sz w:val="14"/>
          <w:szCs w:val="14"/>
          <w:color w:val="auto"/>
        </w:rPr>
      </w:pPr>
      <w:r>
        <w:rPr>
          <w:rFonts w:ascii="Arial" w:cs="Arial" w:eastAsia="Arial" w:hAnsi="Arial"/>
          <w:sz w:val="14"/>
          <w:szCs w:val="14"/>
          <w:color w:val="auto"/>
        </w:rPr>
        <w:t>Upon the completion of the Reverse Recapitalization, all 61,331,815 outstanding shares of Legacy Nextdoor redeemable convertible preferred stock converted into Legacy Nextdoor common stock on a one-to-one basis, which were then converted into shares of Nextdoor Class B common stock using the Exchange Ratio.</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net assets of KVSB were recognized as of the Closing at historical cost, with no goodwill or other intangible assets recorded. Operations prior to the Merger are those of Legacy Nextdoor and Legacy Nextdoor’s operations are the only ongoing operations of Nextdoor.</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Reverse Recapitalization, the Company raised $628.5 million of proceeds, presented as cash flows from financing activities, which included the contribution of $416.4 million of funds held in KVSB’s trust account, $0.2 million of cash held in KVSB’s operating cash account, and $270.0 million of proceeds from the PIPE Investment, net of $12.2 million paid to redeem 1,222,040 public shares of KVSB’s Class A common stock and $45.9 million in transaction costs incurred by KVSB. Legacy Nextdoor incurred $5.7 million of transaction costs, which consisted of direct incremental legal, accounting, consulting, and other fees which were recorded as deferred transaction costs and upon completion of the Reverse Recapitalization were reclassified to additional paid-in capital as a reduction of the net proceeds received.</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shares and corresponding capital amounts and all per share data related to Legacy Nextdoor’s outstanding redeemable convertible preferred stock, common stock, and stock-based awards prior to the Reverse Recapitalization have been retroactively adjusted using the Exchange Ratio.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Cash Equivalents and Marketable Securities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amortized costs, unrealized gains and losses, and estimated fair values of the Company’s cash equivalents and marketable securities were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420"/>
              <w:spacing w:after="0"/>
              <w:rPr>
                <w:sz w:val="20"/>
                <w:szCs w:val="20"/>
                <w:color w:val="auto"/>
              </w:rPr>
            </w:pPr>
            <w:r>
              <w:rPr>
                <w:rFonts w:ascii="Arial" w:cs="Arial" w:eastAsia="Arial" w:hAnsi="Arial"/>
                <w:sz w:val="14"/>
                <w:szCs w:val="14"/>
                <w:b w:val="1"/>
                <w:bCs w:val="1"/>
                <w:color w:val="auto"/>
              </w:rPr>
              <w:t>As of December 31, 2022</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3"/>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14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Estimated</w:t>
            </w:r>
          </w:p>
        </w:tc>
      </w:tr>
      <w:tr>
        <w:trPr>
          <w:trHeight w:val="192"/>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114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20,381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20,381</w:t>
            </w: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9,391</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equivalents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35,796</w:t>
            </w:r>
          </w:p>
        </w:tc>
      </w:tr>
      <w:tr>
        <w:trPr>
          <w:trHeight w:val="209"/>
        </w:trPr>
        <w:tc>
          <w:tcPr>
            <w:tcW w:w="55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44,550</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100,909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100,844</w:t>
            </w: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278,054</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41,526</w:t>
            </w: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Agency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46,410</w:t>
            </w: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16,683</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530,474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528,067</w:t>
            </w:r>
          </w:p>
        </w:tc>
      </w:tr>
      <w:tr>
        <w:trPr>
          <w:trHeight w:val="223"/>
        </w:trPr>
        <w:tc>
          <w:tcPr>
            <w:tcW w:w="554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566,270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563,863</w:t>
            </w:r>
          </w:p>
        </w:tc>
      </w:tr>
      <w:tr>
        <w:trPr>
          <w:trHeight w:val="21"/>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81"/>
        </w:trPr>
        <w:tc>
          <w:tcPr>
            <w:tcW w:w="5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5"/>
          </w:tcPr>
          <w:p>
            <w:pPr>
              <w:ind w:left="420"/>
              <w:spacing w:after="0"/>
              <w:rPr>
                <w:sz w:val="20"/>
                <w:szCs w:val="20"/>
                <w:color w:val="auto"/>
              </w:rPr>
            </w:pPr>
            <w:r>
              <w:rPr>
                <w:rFonts w:ascii="Arial" w:cs="Arial" w:eastAsia="Arial" w:hAnsi="Arial"/>
                <w:sz w:val="14"/>
                <w:szCs w:val="14"/>
                <w:b w:val="1"/>
                <w:bCs w:val="1"/>
                <w:color w:val="auto"/>
              </w:rPr>
              <w:t>As of December 31, 2021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8"/>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14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Estimated</w:t>
            </w:r>
          </w:p>
        </w:tc>
      </w:tr>
      <w:tr>
        <w:trPr>
          <w:trHeight w:val="196"/>
        </w:trPr>
        <w:tc>
          <w:tcPr>
            <w:tcW w:w="5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7"/>
                <w:szCs w:val="17"/>
                <w:color w:val="auto"/>
              </w:rPr>
            </w:pPr>
          </w:p>
        </w:tc>
        <w:tc>
          <w:tcPr>
            <w:tcW w:w="114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23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474,294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474,294</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83,728</w:t>
            </w: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78,363</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15,188</w:t>
            </w: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16,720</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194,016</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193,999</w:t>
            </w: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668,310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668,293</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marketable securities are designated as available-for-sale securities as of December 31, 2022 and 2021. No investments had been in an unrealized loss position for greater than 12 months as of December 31, 2022 and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contractual maturities of the Company’s marketable securities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As of December 31, 2022</w:t>
            </w:r>
          </w:p>
        </w:tc>
      </w:tr>
      <w:tr>
        <w:trPr>
          <w:trHeight w:val="25"/>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3"/>
        </w:trPr>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140" w:type="dxa"/>
            <w:vAlign w:val="bottom"/>
          </w:tcPr>
          <w:p>
            <w:pPr>
              <w:jc w:val="right"/>
              <w:ind w:right="297"/>
              <w:spacing w:after="0" w:line="133" w:lineRule="exact"/>
              <w:rPr>
                <w:sz w:val="20"/>
                <w:szCs w:val="20"/>
                <w:color w:val="auto"/>
              </w:rPr>
            </w:pPr>
            <w:r>
              <w:rPr>
                <w:rFonts w:ascii="Arial" w:cs="Arial" w:eastAsia="Arial" w:hAnsi="Arial"/>
                <w:sz w:val="14"/>
                <w:szCs w:val="14"/>
                <w:b w:val="1"/>
                <w:bCs w:val="1"/>
                <w:color w:val="auto"/>
              </w:rPr>
              <w:t>Estimated</w:t>
            </w:r>
          </w:p>
        </w:tc>
      </w:tr>
      <w:tr>
        <w:trPr>
          <w:trHeight w:val="192"/>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14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473,133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471,378</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to four years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56,689</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528,067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As of December 31, 2021</w:t>
            </w:r>
          </w:p>
        </w:tc>
      </w:tr>
      <w:tr>
        <w:trPr>
          <w:trHeight w:val="26"/>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3"/>
        </w:trPr>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140" w:type="dxa"/>
            <w:vAlign w:val="bottom"/>
          </w:tcPr>
          <w:p>
            <w:pPr>
              <w:jc w:val="right"/>
              <w:ind w:right="297"/>
              <w:spacing w:after="0" w:line="133" w:lineRule="exact"/>
              <w:rPr>
                <w:sz w:val="20"/>
                <w:szCs w:val="20"/>
                <w:color w:val="auto"/>
              </w:rPr>
            </w:pPr>
            <w:r>
              <w:rPr>
                <w:rFonts w:ascii="Arial" w:cs="Arial" w:eastAsia="Arial" w:hAnsi="Arial"/>
                <w:sz w:val="14"/>
                <w:szCs w:val="14"/>
                <w:b w:val="1"/>
                <w:bCs w:val="1"/>
                <w:color w:val="auto"/>
              </w:rPr>
              <w:t>Estimated</w:t>
            </w:r>
          </w:p>
        </w:tc>
      </w:tr>
      <w:tr>
        <w:trPr>
          <w:trHeight w:val="192"/>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14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137,043</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Due after one to four years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56,939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56,956</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194,016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193,999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financial assets and liabilities measured at fair value on a recurring basis are classified by level within the fair value hierarchy. There were no financial assets or liabilities measured using Level 3 inputs as of December 31, 2022 and 2021. The following table presents information about the Company’s financial assets that are measured at fair value on a recurring basis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6"/>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20,381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20,381</w:t>
            </w: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r>
      <w:tr>
        <w:trPr>
          <w:trHeight w:val="229"/>
        </w:trPr>
        <w:tc>
          <w:tcPr>
            <w:tcW w:w="6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35,796</w:t>
            </w:r>
          </w:p>
        </w:tc>
      </w:tr>
      <w:tr>
        <w:trPr>
          <w:trHeight w:val="209"/>
        </w:trPr>
        <w:tc>
          <w:tcPr>
            <w:tcW w:w="69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44,550</w:t>
            </w: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100,844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100,844</w:t>
            </w: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278,054</w:t>
            </w: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41,526</w:t>
            </w: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Agency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46,410</w:t>
            </w:r>
          </w:p>
        </w:tc>
      </w:tr>
      <w:tr>
        <w:trPr>
          <w:trHeight w:val="230"/>
        </w:trPr>
        <w:tc>
          <w:tcPr>
            <w:tcW w:w="6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16,683</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528,067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528,067</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543,482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563,863</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1"/>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December 31, 2021</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30"/>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474,294</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474,294</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83,728</w:t>
            </w: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78,363</w:t>
            </w: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15,188</w:t>
            </w: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16,720</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193,999</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474,294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193,999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668,293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its cash equivalents, marketable securities, and note receivable within Level 1 or Level 2 because it determines their fair values using quoted market prices or alternative pricing sources and models utilizing market observable inputs. There were no transfers between levels of the fair value hierarchy during the years ended December 31, 2022 and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Assets, and Liabilities Not Recorded at Fair Value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hierarchy for financial instruments, assets, and liabilities not recorded at fair value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8"/>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4"/>
                <w:szCs w:val="14"/>
                <w:b w:val="1"/>
                <w:bCs w:val="1"/>
                <w:color w:val="auto"/>
                <w:w w:val="97"/>
              </w:rPr>
              <w:t>Carrying Amount</w:t>
            </w:r>
          </w:p>
        </w:tc>
        <w:tc>
          <w:tcPr>
            <w:tcW w:w="1140" w:type="dxa"/>
            <w:vAlign w:val="bottom"/>
          </w:tcPr>
          <w:p>
            <w:pPr>
              <w:jc w:val="right"/>
              <w:ind w:right="39"/>
              <w:spacing w:after="0"/>
              <w:rPr>
                <w:sz w:val="20"/>
                <w:szCs w:val="20"/>
                <w:color w:val="auto"/>
              </w:rPr>
            </w:pPr>
            <w:r>
              <w:rPr>
                <w:rFonts w:ascii="Arial" w:cs="Arial" w:eastAsia="Arial" w:hAnsi="Arial"/>
                <w:sz w:val="14"/>
                <w:szCs w:val="14"/>
                <w:b w:val="1"/>
                <w:bCs w:val="1"/>
                <w:color w:val="auto"/>
              </w:rPr>
              <w:t>Level 1</w:t>
            </w:r>
          </w:p>
        </w:tc>
        <w:tc>
          <w:tcPr>
            <w:tcW w:w="740" w:type="dxa"/>
            <w:vAlign w:val="bottom"/>
          </w:tcPr>
          <w:p>
            <w:pPr>
              <w:spacing w:after="0"/>
              <w:rPr>
                <w:sz w:val="16"/>
                <w:szCs w:val="16"/>
                <w:color w:val="auto"/>
              </w:rPr>
            </w:pPr>
          </w:p>
        </w:tc>
        <w:tc>
          <w:tcPr>
            <w:tcW w:w="1520" w:type="dxa"/>
            <w:vAlign w:val="bottom"/>
          </w:tcPr>
          <w:p>
            <w:pPr>
              <w:jc w:val="center"/>
              <w:ind w:right="599"/>
              <w:spacing w:after="0"/>
              <w:rPr>
                <w:sz w:val="20"/>
                <w:szCs w:val="20"/>
                <w:color w:val="auto"/>
              </w:rPr>
            </w:pPr>
            <w:r>
              <w:rPr>
                <w:rFonts w:ascii="Arial" w:cs="Arial" w:eastAsia="Arial" w:hAnsi="Arial"/>
                <w:sz w:val="14"/>
                <w:szCs w:val="14"/>
                <w:b w:val="1"/>
                <w:bCs w:val="1"/>
                <w:color w:val="auto"/>
                <w:w w:val="92"/>
              </w:rPr>
              <w:t>Level 2</w:t>
            </w:r>
          </w:p>
        </w:tc>
        <w:tc>
          <w:tcPr>
            <w:tcW w:w="1140" w:type="dxa"/>
            <w:vAlign w:val="bottom"/>
          </w:tcPr>
          <w:p>
            <w:pPr>
              <w:jc w:val="right"/>
              <w:ind w:right="419"/>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Arial" w:cs="Arial" w:eastAsia="Arial" w:hAnsi="Arial"/>
                <w:sz w:val="14"/>
                <w:szCs w:val="14"/>
                <w:b w:val="1"/>
                <w:bCs w:val="1"/>
                <w:color w:val="auto"/>
              </w:rPr>
              <w:t>Fair Value</w:t>
            </w:r>
          </w:p>
        </w:tc>
      </w:tr>
      <w:tr>
        <w:trPr>
          <w:trHeight w:val="238"/>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Note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5,000</w:t>
            </w:r>
          </w:p>
        </w:tc>
        <w:tc>
          <w:tcPr>
            <w:tcW w:w="1140" w:type="dxa"/>
            <w:vAlign w:val="bottom"/>
          </w:tcPr>
          <w:p>
            <w:pPr>
              <w:jc w:val="right"/>
              <w:ind w:right="879"/>
              <w:spacing w:after="0"/>
              <w:rPr>
                <w:sz w:val="20"/>
                <w:szCs w:val="20"/>
                <w:color w:val="auto"/>
              </w:rPr>
            </w:pPr>
            <w:r>
              <w:rPr>
                <w:rFonts w:ascii="Arial" w:cs="Arial" w:eastAsia="Arial" w:hAnsi="Arial"/>
                <w:sz w:val="18"/>
                <w:szCs w:val="18"/>
                <w:color w:val="auto"/>
              </w:rPr>
              <w:t>$</w:t>
            </w:r>
          </w:p>
        </w:tc>
        <w:tc>
          <w:tcPr>
            <w:tcW w:w="740" w:type="dxa"/>
            <w:vAlign w:val="bottom"/>
          </w:tcPr>
          <w:p>
            <w:pPr>
              <w:ind w:left="120"/>
              <w:spacing w:after="0"/>
              <w:rPr>
                <w:sz w:val="20"/>
                <w:szCs w:val="20"/>
                <w:color w:val="auto"/>
              </w:rPr>
            </w:pPr>
            <w:r>
              <w:rPr>
                <w:rFonts w:ascii="Arial" w:cs="Arial" w:eastAsia="Arial" w:hAnsi="Arial"/>
                <w:sz w:val="18"/>
                <w:szCs w:val="18"/>
                <w:color w:val="auto"/>
              </w:rPr>
              <w:t>—  $</w:t>
            </w:r>
          </w:p>
        </w:tc>
        <w:tc>
          <w:tcPr>
            <w:tcW w:w="1520" w:type="dxa"/>
            <w:vAlign w:val="bottom"/>
          </w:tcPr>
          <w:p>
            <w:pPr>
              <w:ind w:left="88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4,646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4,646</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Company did not have any financial instruments, assets or liabilities not recorded at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ind w:left="480"/>
              <w:spacing w:after="0"/>
              <w:rPr>
                <w:sz w:val="20"/>
                <w:szCs w:val="20"/>
                <w:color w:val="auto"/>
              </w:rPr>
            </w:pPr>
            <w:r>
              <w:rPr>
                <w:rFonts w:ascii="Arial" w:cs="Arial" w:eastAsia="Arial" w:hAnsi="Arial"/>
                <w:sz w:val="14"/>
                <w:szCs w:val="14"/>
                <w:b w:val="1"/>
                <w:bCs w:val="1"/>
                <w:color w:val="auto"/>
              </w:rPr>
              <w:t>As of December 31,</w:t>
            </w: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6"/>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2,201</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9,502</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16,668</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4"/>
              </w:rPr>
              <w:t>(7,214)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 was $3.9 million, $2.0 million and $1.0 million for the years ended December 31, 2022, 2021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consist of customer relationships and developed technology arising from acquisitions.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4"/>
          </w:tcPr>
          <w:p>
            <w:pPr>
              <w:jc w:val="right"/>
              <w:ind w:right="577"/>
              <w:spacing w:after="0"/>
              <w:rPr>
                <w:sz w:val="20"/>
                <w:szCs w:val="20"/>
                <w:color w:val="auto"/>
              </w:rPr>
            </w:pPr>
            <w:r>
              <w:rPr>
                <w:rFonts w:ascii="Arial" w:cs="Arial" w:eastAsia="Arial" w:hAnsi="Arial"/>
                <w:sz w:val="14"/>
                <w:szCs w:val="14"/>
                <w:b w:val="1"/>
                <w:bCs w:val="1"/>
                <w:color w:val="auto"/>
              </w:rPr>
              <w:t>As of December 31, 2022</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Life</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5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4"/>
          </w:tcPr>
          <w:p>
            <w:pPr>
              <w:jc w:val="right"/>
              <w:ind w:right="577"/>
              <w:spacing w:after="0"/>
              <w:rPr>
                <w:sz w:val="20"/>
                <w:szCs w:val="20"/>
                <w:color w:val="auto"/>
              </w:rPr>
            </w:pPr>
            <w:r>
              <w:rPr>
                <w:rFonts w:ascii="Arial" w:cs="Arial" w:eastAsia="Arial" w:hAnsi="Arial"/>
                <w:sz w:val="14"/>
                <w:szCs w:val="14"/>
                <w:b w:val="1"/>
                <w:bCs w:val="1"/>
                <w:color w:val="auto"/>
              </w:rPr>
              <w:t>As of December 31, 2021</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Remaining Life</w:t>
            </w:r>
          </w:p>
        </w:tc>
        <w:tc>
          <w:tcPr>
            <w:tcW w:w="0" w:type="dxa"/>
            <w:vAlign w:val="bottom"/>
          </w:tcPr>
          <w:p>
            <w:pPr>
              <w:spacing w:after="0"/>
              <w:rPr>
                <w:sz w:val="1"/>
                <w:szCs w:val="1"/>
                <w:color w:val="auto"/>
              </w:rPr>
            </w:pPr>
          </w:p>
        </w:tc>
      </w:tr>
      <w:tr>
        <w:trPr>
          <w:trHeight w:val="197"/>
        </w:trPr>
        <w:tc>
          <w:tcPr>
            <w:tcW w:w="5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was $1.8 million, $2.2 million and $2.1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w w:val="91"/>
              </w:rPr>
              <w:t>Expected future amortization expense for intangible assets as of December 31, 2022 was as follows (in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
        </w:trPr>
        <w:tc>
          <w:tcPr>
            <w:tcW w:w="8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4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Employee stock purchase plan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early exercise of unvested stock options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Taxes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and current liabilities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entered into various non-cancellable office facility leases in various locations with original lease periods expiring between 2020 and 2029, with its primary office location in San Francisco, California. The Company entered into a lease consisting of multiple floors for its San Francisco headquarters in 2019, with a lease term through 2029. On January 30, 2023, the Company entered into a lease amendment for its headquarters lease. The lease amendment extended the lease term through April 30, 2032 and will be reflected in our first quarter 2023 Form 10-Q. The first portion of the lease commenced in June 2020, and the second portion of the lease commenced in January 2021. The facility lease agreements generally provide for escalating rental payments. The Company's lease agreements generally do not contain any material residual value guarantees or material restrictive covenants. The components of lease costs were as follows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8"/>
          </w:tcPr>
          <w:p>
            <w:pPr>
              <w:jc w:val="center"/>
              <w:ind w:right="310"/>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1,417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12,863</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10,798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w w:val="95"/>
              </w:rPr>
              <w:t>Other information related to the Company’s operating leases was as follows (in thousands):</w:t>
            </w: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8"/>
          </w:tcPr>
          <w:p>
            <w:pPr>
              <w:jc w:val="center"/>
              <w:ind w:right="310"/>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10,045</w:t>
            </w: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6,585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39,664</w:t>
            </w:r>
          </w:p>
        </w:tc>
        <w:tc>
          <w:tcPr>
            <w:tcW w:w="0" w:type="dxa"/>
            <w:vAlign w:val="bottom"/>
          </w:tcPr>
          <w:p>
            <w:pPr>
              <w:spacing w:after="0"/>
              <w:rPr>
                <w:sz w:val="1"/>
                <w:szCs w:val="1"/>
                <w:color w:val="auto"/>
              </w:rPr>
            </w:pPr>
          </w:p>
        </w:tc>
      </w:tr>
      <w:tr>
        <w:trPr>
          <w:trHeight w:val="473"/>
        </w:trPr>
        <w:tc>
          <w:tcPr>
            <w:tcW w:w="6980" w:type="dxa"/>
            <w:vAlign w:val="bottom"/>
          </w:tcPr>
          <w:p>
            <w:pPr>
              <w:spacing w:after="0"/>
              <w:rPr>
                <w:sz w:val="20"/>
                <w:szCs w:val="20"/>
                <w:color w:val="auto"/>
              </w:rPr>
            </w:pPr>
            <w:r>
              <w:rPr>
                <w:rFonts w:ascii="Arial" w:cs="Arial" w:eastAsia="Arial" w:hAnsi="Arial"/>
                <w:sz w:val="18"/>
                <w:szCs w:val="18"/>
                <w:color w:val="auto"/>
              </w:rPr>
              <w:t>Lease terms and discount rates for operating leases were as follows: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tcPr>
          <w:p>
            <w:pPr>
              <w:spacing w:after="0"/>
              <w:rPr>
                <w:sz w:val="20"/>
                <w:szCs w:val="20"/>
                <w:color w:val="auto"/>
              </w:rPr>
            </w:pPr>
            <w:r>
              <w:rPr>
                <w:rFonts w:ascii="Arial" w:cs="Arial" w:eastAsia="Arial" w:hAnsi="Arial"/>
                <w:sz w:val="18"/>
                <w:szCs w:val="18"/>
                <w:color w:val="auto"/>
              </w:rPr>
              <w:t>As of December 31, 2022, future minimum lease payments under operating leases were as follows (in thousands):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89"/>
        </w:trPr>
        <w:tc>
          <w:tcPr>
            <w:tcW w:w="9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10,347</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920" w:type="dxa"/>
            <w:vAlign w:val="bottom"/>
          </w:tcPr>
          <w:p>
            <w:pPr>
              <w:ind w:left="360"/>
              <w:spacing w:after="0"/>
              <w:rPr>
                <w:sz w:val="20"/>
                <w:szCs w:val="20"/>
                <w:color w:val="auto"/>
              </w:rPr>
            </w:pPr>
            <w:r>
              <w:rPr>
                <w:rFonts w:ascii="Arial" w:cs="Arial" w:eastAsia="Arial" w:hAnsi="Arial"/>
                <w:sz w:val="18"/>
                <w:szCs w:val="18"/>
                <w:color w:val="auto"/>
                <w:w w:val="98"/>
              </w:rPr>
              <w:t>10,657</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10,977</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19"/>
                <w:szCs w:val="19"/>
                <w:color w:val="auto"/>
              </w:rPr>
            </w:pPr>
          </w:p>
        </w:tc>
        <w:tc>
          <w:tcPr>
            <w:tcW w:w="920" w:type="dxa"/>
            <w:vAlign w:val="bottom"/>
          </w:tcPr>
          <w:p>
            <w:pPr>
              <w:ind w:left="360"/>
              <w:spacing w:after="0"/>
              <w:rPr>
                <w:sz w:val="20"/>
                <w:szCs w:val="20"/>
                <w:color w:val="auto"/>
              </w:rPr>
            </w:pPr>
            <w:r>
              <w:rPr>
                <w:rFonts w:ascii="Arial" w:cs="Arial" w:eastAsia="Arial" w:hAnsi="Arial"/>
                <w:sz w:val="18"/>
                <w:szCs w:val="18"/>
                <w:color w:val="auto"/>
                <w:w w:val="98"/>
              </w:rPr>
              <w:t>11,306</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11,645</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8"/>
              </w:rPr>
              <w:t>16,052</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70,984</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4"/>
              </w:rPr>
              <w:t>(9,387)</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61,597</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operating lease liabilities</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4"/>
              </w:rPr>
              <w:t>(7,766)</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8"/>
              </w:rPr>
              <w:t>53,831</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does not include lease payments that were not fixed at commencement or lease modification.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2022, the Company had non-cancellable purchase commitments with certain service providers primarily related to the provision of cloud computing services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24,770</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10,261</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material matters as of December 31, 2022 and 2021.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years ended December 31, 2022, 2021 and 2020, the Company did not incur material costs to defend lawsuits or settle claims related to these indemnifications. The Company believes the fair value of these liabilities is not material and accordingly has no liabilities recorded for these agreements as of December 31, 2022 and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Finance Network Loan Agreement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29, 2022, the Company entered into a credit agreement with Opportunity Finance Network (“OFN”) to lend up to an aggregate of $15.0 million, unsecured, over the course of 24 months. OFN is a national network of community development financial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institutions (“CDFIs”). OFN will use the loan proceeds to make low-cost, fixed-rate loans to OFN-member CDFIs that on-lend those loan proceeds to fund affordable housing, community facilities, small businesses, nonprofit organizations, consumer finance, and other eligible financing extended by such CDFIs. OFN may borrow in increments of $2.0 million or more and may not borrow more than $7.5 million within the first 12 months immediately following the closing date of June 29, 2022. Each disbursement made by the Company will bear interest at a rate of 0.75% per annum and will be due quarterly from OFN. The outstanding principal, plus any accrued and unpaid interest, for each disbursement becomes due and payable 10 years following the disbursement date. During the year ended December 31, 2022, the Company made one loan disbursement of $5.0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Redeemable Convertible Preferred Stock, Common Stock, and Stockholders’ Equity (Deficit)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Nextdoor Redeemable Convertible Preferred Stock</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completion of the Reverse Recapitalization on November 5, 2021, all outstanding shares of Legacy Nextdoor redeemable convertible preferred stock converted into Legacy Nextdoor common stock on a one-to-one basis, which were then converted into 190,477,421 shares of Nextdoor Class B common stock as a result of the Reverse Recapitalization, using the Exchange Ratio of 3.1057.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Reverse Recapitalization, the Company's amended and restated certificate of incorporation became effective, which authorized the issuance of 50,000,000 shares of preferred stock with a par value of $0.0001 per share with such designations, voting, and other rights and preferences as may be determined from time to time by the Company's Board of Directors. As of December 31, 2022 and 2021, there were no shares of preferred stock issued or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was authorized to issue 2,500,000,000 shares of Class A common stock and 500,000,000 shares of Class B common stock as of December 31, 2022 and 2021. The rights, including the liquidation and dividend rights, of the Class A common stock and Class B common stock are substantially identical, other than voting and conversion rights. The holder of each share of Class A common stock is entitled to one vote per share and the holder of each share of Class B common stock is entitled to ten votes per share. Shares of Class B common stock are convertible into an equivalent number of shares of Class A common stock at the option of the holder or upon certain events upon the terms and conditions described in the Company’s amended and restated certificate of incorporation. Class A common stock and Class B common stock are referred to, collectively, as common stock throughout the notes to these consolidated financial statements, unless otherwise indicated. Shares of common stock reserved for future issuance on an as-converted basis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800" w:type="dxa"/>
            <w:vAlign w:val="bottom"/>
            <w:gridSpan w:val="3"/>
          </w:tcPr>
          <w:p>
            <w:pPr>
              <w:jc w:val="right"/>
              <w:ind w:right="714"/>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8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58,278</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Unvested restricted stock units (RSUs)</w:t>
            </w:r>
          </w:p>
        </w:tc>
        <w:tc>
          <w:tcPr>
            <w:tcW w:w="1360" w:type="dxa"/>
            <w:vAlign w:val="bottom"/>
          </w:tcPr>
          <w:p>
            <w:pPr>
              <w:jc w:val="right"/>
              <w:spacing w:after="0"/>
              <w:rPr>
                <w:sz w:val="20"/>
                <w:szCs w:val="20"/>
                <w:color w:val="auto"/>
              </w:rPr>
            </w:pPr>
            <w:r>
              <w:rPr>
                <w:rFonts w:ascii="Arial" w:cs="Arial" w:eastAsia="Arial" w:hAnsi="Arial"/>
                <w:sz w:val="18"/>
                <w:szCs w:val="18"/>
                <w:color w:val="auto"/>
              </w:rPr>
              <w:t>21,986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2,511</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reserved for future award issuances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50,852</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77,924</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128,226</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138,713</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Repurchase</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stock option grant agreements permit exercise prior to vesting. Upon termination of service of an employee, the Company has the right to repurchase any unvested, but issued, common stock at the original purchase price. The consideration received for an exercise of an option is accounted for as a deposit of the exercise price and is recorded as a liability. Upon vesting of the shares pursuant to the grant agreements, the shares and related liability are reclassified into stockholders’ equity (deficit). As of December 31, 2022 and 2021, the Company had $0.2 million and $0.7 million recorded in accrued expenses and other current liabilities related to 101,593 and 421,594 unvested shares of common stock subject to repurchase,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Repurchase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an executive of the Company purchased 15,408,183 shares of restricted stock, subject to time-based service requirements, which vest over a forty-eight month period. The shares issued upon the purchase of restricted stock are considered to be legally issued and outstanding on the date of purchase and the executive has full voting rights. Upon termination of service, the Company may repurchase unvested shares acquired at a price equal to the price per share paid upon the exercise. Upon vesting of the shares pursuant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grant agreements, the shares and related liability are reclassified into stockholders’ equity (deficit). As of December 31, 2022, all shares of this restricted stock were fully vested with no balance remaining in deposits. As of December 31, 2021, the Company had $4.8 million recorded in deposits related to 3,210,037 unvested shares of common stock subject to repurchase. For the years ended December 31, 2022, 2021 and 2020, the Company recorded stock-based compensation expense of $3.7 million, $4.6 million, and $4.6 million, respectively, related to this 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RSUs.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year ended December 31, 2022, 551,765 shares of Class A common stock were purchased under the 2021 ESPP.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31,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 open market, in privately negotiated transactions or by other methods, and in accordance with the limitations set forth in Rule 10b-18 promulgated under the Securities Exchange Act of 1934, as amended, and other applicable legal requirements. The timing of any repurchases will depend on market conditions and other investment opportunities, and will be made at the Company’s discretion. The Company currently anticipates that the Share Repurchase Program will extend through June 30, 2024, or such shorter period if $100.0 million in aggregate of shares of the Company’s Class A common stock have been repurchased. The Share Repurchase Program does not obligate the Company to repurchase any dollar amount or number of shares, and the program may be extended, modified, suspended, or discontinued at any time.</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the Company repurchased and retired 23,251,703 shares of Class A common stock at an average purchase price of $3.32 per share for an aggregate repurchase price of $77.2 million. As of December 31, 2022, the Company had $22.8 million available for future share repurchases under the Share Repurchase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RSUs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three to four years. RSUs granted for Class A common stock generally vest on a quarterly basis over three to four years.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Company’s stock option activity for the year ended December 31, 2022 and related information is as follows (in thousands, except per share data):</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Weighted- Average</w:t>
            </w:r>
          </w:p>
        </w:tc>
        <w:tc>
          <w:tcPr>
            <w:tcW w:w="14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3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9"/>
              </w:rPr>
              <w:t>Number of Options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5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30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3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8"/>
              </w:rPr>
              <w:t>58,278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322,799</w:t>
            </w: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60" w:type="dxa"/>
            <w:vAlign w:val="bottom"/>
          </w:tcPr>
          <w:p>
            <w:pPr>
              <w:ind w:left="800"/>
              <w:spacing w:after="0"/>
              <w:rPr>
                <w:sz w:val="20"/>
                <w:szCs w:val="20"/>
                <w:color w:val="auto"/>
              </w:rPr>
            </w:pPr>
            <w:r>
              <w:rPr>
                <w:rFonts w:ascii="Arial" w:cs="Arial" w:eastAsia="Arial" w:hAnsi="Arial"/>
                <w:sz w:val="18"/>
                <w:szCs w:val="18"/>
                <w:color w:val="auto"/>
                <w:w w:val="98"/>
              </w:rPr>
              <w:t>11,914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3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1"/>
              </w:rPr>
              <w:t>(6,182)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forfeited or expired</w:t>
            </w:r>
          </w:p>
        </w:tc>
        <w:tc>
          <w:tcPr>
            <w:tcW w:w="13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1"/>
              </w:rPr>
              <w:t>(8,622)</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360" w:type="dxa"/>
            <w:vAlign w:val="bottom"/>
            <w:vMerge w:val="restart"/>
            <w:shd w:val="clear" w:color="auto" w:fill="CCEEFF"/>
          </w:tcPr>
          <w:p>
            <w:pPr>
              <w:ind w:left="800"/>
              <w:spacing w:after="0"/>
              <w:rPr>
                <w:sz w:val="20"/>
                <w:szCs w:val="20"/>
                <w:color w:val="auto"/>
              </w:rPr>
            </w:pPr>
            <w:r>
              <w:rPr>
                <w:rFonts w:ascii="Arial" w:cs="Arial" w:eastAsia="Arial" w:hAnsi="Arial"/>
                <w:sz w:val="18"/>
                <w:szCs w:val="18"/>
                <w:color w:val="auto"/>
                <w:w w:val="98"/>
              </w:rPr>
              <w:t>55,388</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10,552</w:t>
            </w:r>
          </w:p>
        </w:tc>
        <w:tc>
          <w:tcPr>
            <w:tcW w:w="0" w:type="dxa"/>
            <w:vAlign w:val="bottom"/>
          </w:tcPr>
          <w:p>
            <w:pPr>
              <w:spacing w:after="0"/>
              <w:rPr>
                <w:sz w:val="1"/>
                <w:szCs w:val="1"/>
                <w:color w:val="auto"/>
              </w:rPr>
            </w:pPr>
          </w:p>
        </w:tc>
      </w:tr>
      <w:tr>
        <w:trPr>
          <w:trHeight w:val="194"/>
        </w:trPr>
        <w:tc>
          <w:tcPr>
            <w:tcW w:w="5540" w:type="dxa"/>
            <w:vAlign w:val="bottom"/>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Exercisable at December 31, 2022</w:t>
            </w:r>
          </w:p>
        </w:tc>
        <w:tc>
          <w:tcPr>
            <w:tcW w:w="1360" w:type="dxa"/>
            <w:vAlign w:val="bottom"/>
          </w:tcPr>
          <w:p>
            <w:pPr>
              <w:ind w:left="800"/>
              <w:spacing w:after="0"/>
              <w:rPr>
                <w:sz w:val="20"/>
                <w:szCs w:val="20"/>
                <w:color w:val="auto"/>
              </w:rPr>
            </w:pPr>
            <w:r>
              <w:rPr>
                <w:rFonts w:ascii="Arial" w:cs="Arial" w:eastAsia="Arial" w:hAnsi="Arial"/>
                <w:sz w:val="18"/>
                <w:szCs w:val="18"/>
                <w:color w:val="auto"/>
                <w:w w:val="98"/>
              </w:rPr>
              <w:t>29,223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10,457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or expected to vest at December 31, 2022</w:t>
            </w:r>
          </w:p>
        </w:tc>
        <w:tc>
          <w:tcPr>
            <w:tcW w:w="13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8"/>
              </w:rPr>
              <w:t>55,490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intrinsic value is calculated as the difference between the exercise price of the underlying common stock option award and the fair value of the Company’s common stock as of the respective balance sheet date. The weighted average grant date fair value of options granted was $2.47 per share, $3.63 per share and $2.40 per share during the years ended December 31, 2022, 2021 and 2020, respectively.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intrinsic value of the options exercised was $14.0 million, $31.9 million and $9.8 million for the years ended December 31, 2022, 2021 and 2020, respectively.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issue any grants to non-employees during the year ended December 31, 2022. The Company granted 19,639 options to non-employees during the year ended December 31, 2021.</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summary of the Company’s RSU activity for the year ended December 31, 2022 and related information is as follows (in thousands, except per share data):</w:t>
      </w:r>
    </w:p>
    <w:tbl>
      <w:tblPr>
        <w:tblLayout w:type="fixed"/>
        <w:tblInd w:w="0" w:type="dxa"/>
        <w:tblCellMar>
          <w:top w:w="0" w:type="dxa"/>
          <w:left w:w="0" w:type="dxa"/>
          <w:bottom w:w="0" w:type="dxa"/>
          <w:right w:w="0" w:type="dxa"/>
        </w:tblCellMar>
      </w:tblPr>
      <w:tr>
        <w:trPr>
          <w:trHeight w:val="144"/>
        </w:trPr>
        <w:tc>
          <w:tcPr>
            <w:tcW w:w="8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9"/>
        </w:trPr>
        <w:tc>
          <w:tcPr>
            <w:tcW w:w="8440" w:type="dxa"/>
            <w:vAlign w:val="bottom"/>
          </w:tcPr>
          <w:p>
            <w:pPr>
              <w:spacing w:after="0"/>
              <w:rPr>
                <w:sz w:val="12"/>
                <w:szCs w:val="12"/>
                <w:color w:val="auto"/>
              </w:rPr>
            </w:pPr>
          </w:p>
        </w:tc>
        <w:tc>
          <w:tcPr>
            <w:tcW w:w="13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3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6"/>
        </w:trPr>
        <w:tc>
          <w:tcPr>
            <w:tcW w:w="84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
        </w:trPr>
        <w:tc>
          <w:tcPr>
            <w:tcW w:w="8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26,514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RSUs 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use of the Black-Scholes option-pricing model to estimate the fair value of stock options granted requires the input of highly subjective assumptions. These assumptions were estimated as follows:</w:t>
      </w:r>
    </w:p>
    <w:p>
      <w:pPr>
        <w:spacing w:after="0" w:line="62" w:lineRule="exact"/>
        <w:rPr>
          <w:sz w:val="20"/>
          <w:szCs w:val="20"/>
          <w:color w:val="auto"/>
        </w:rPr>
      </w:pPr>
    </w:p>
    <w:p>
      <w:pPr>
        <w:jc w:val="both"/>
        <w:ind w:firstLine="551"/>
        <w:spacing w:after="0" w:line="277" w:lineRule="auto"/>
        <w:rPr>
          <w:sz w:val="20"/>
          <w:szCs w:val="20"/>
          <w:color w:val="auto"/>
        </w:rPr>
      </w:pPr>
      <w:r>
        <w:rPr>
          <w:rFonts w:ascii="Arial" w:cs="Arial" w:eastAsia="Arial" w:hAnsi="Arial"/>
          <w:sz w:val="18"/>
          <w:szCs w:val="18"/>
          <w:i w:val="1"/>
          <w:iCs w:val="1"/>
          <w:color w:val="auto"/>
        </w:rPr>
        <w:t xml:space="preserve">Fair value of the underlying common stock – </w:t>
      </w:r>
      <w:r>
        <w:rPr>
          <w:rFonts w:ascii="Arial" w:cs="Arial" w:eastAsia="Arial" w:hAnsi="Arial"/>
          <w:sz w:val="18"/>
          <w:szCs w:val="18"/>
          <w:color w:val="auto"/>
        </w:rPr>
        <w:t>Prior to the Reverse Recapitalization, the Board of Directors considered numerous objective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subjective factors to determine the fair value of the Company’s common stock including, but not limited to: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8"/>
        <w:spacing w:after="0" w:line="291" w:lineRule="auto"/>
        <w:tabs>
          <w:tab w:leader="none" w:pos="2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results of contemporaneous third-party valuations of the Company’s common stock; (ii) the prices, rights, preferences, and privileges of the Company’s redeemable convertible preferred stock relative to those of its common stock; (iii) the lack of marketability of the Company’s common stock;</w:t>
      </w:r>
    </w:p>
    <w:p>
      <w:pPr>
        <w:jc w:val="both"/>
        <w:ind w:firstLine="8"/>
        <w:spacing w:after="0" w:line="253" w:lineRule="auto"/>
        <w:tabs>
          <w:tab w:leader="none" w:pos="3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operating and financial results; (v) current business conditions and projections; (vi) the likelihood of achieving a liquidity event, such as an initial public offering, merger, or acquisition of the Company, given prevailing market conditions; (vii) transactions involving the Company’s shares; (viii) the history and nature of its business, industry trends and competitive environment; and (iv) general economic outlook. After the Reverse Recapitalization, the fair value of the underlying common stock is determined by the closing price, on the date of grant, of the Company’s Class A common stock, which is traded on the New York Stock Exchange.</w:t>
      </w:r>
    </w:p>
    <w:p>
      <w:pPr>
        <w:spacing w:after="0" w:line="83" w:lineRule="exact"/>
        <w:rPr>
          <w:sz w:val="20"/>
          <w:szCs w:val="20"/>
          <w:color w:val="auto"/>
        </w:rPr>
      </w:pPr>
    </w:p>
    <w:p>
      <w:pPr>
        <w:jc w:val="both"/>
        <w:ind w:firstLine="551"/>
        <w:spacing w:after="0" w:line="286" w:lineRule="auto"/>
        <w:rPr>
          <w:sz w:val="20"/>
          <w:szCs w:val="20"/>
          <w:color w:val="auto"/>
        </w:rPr>
      </w:pPr>
      <w:r>
        <w:rPr>
          <w:rFonts w:ascii="Arial" w:cs="Arial" w:eastAsia="Arial" w:hAnsi="Arial"/>
          <w:sz w:val="17"/>
          <w:szCs w:val="17"/>
          <w:i w:val="1"/>
          <w:iCs w:val="1"/>
          <w:color w:val="auto"/>
        </w:rPr>
        <w:t xml:space="preserve">Expected volatility – </w:t>
      </w:r>
      <w:r>
        <w:rPr>
          <w:rFonts w:ascii="Arial" w:cs="Arial" w:eastAsia="Arial" w:hAnsi="Arial"/>
          <w:sz w:val="17"/>
          <w:szCs w:val="17"/>
          <w:color w:val="auto"/>
        </w:rPr>
        <w:t>Expected volatility is a measure of the amount by which the stock price is expected to fluctuate. Since the Company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have sufficient trading history of its common stock, it estimates the expected volatility of its stock options at their grant date by taking the weighted average historical volatility of a group of comparable publicly traded companies over a period equal to the expected term of the options.</w:t>
      </w:r>
    </w:p>
    <w:p>
      <w:pPr>
        <w:spacing w:after="0" w:line="57" w:lineRule="exact"/>
        <w:rPr>
          <w:sz w:val="20"/>
          <w:szCs w:val="20"/>
          <w:color w:val="auto"/>
        </w:rPr>
      </w:pPr>
    </w:p>
    <w:p>
      <w:pPr>
        <w:jc w:val="both"/>
        <w:ind w:firstLine="551"/>
        <w:spacing w:after="0" w:line="311" w:lineRule="auto"/>
        <w:rPr>
          <w:sz w:val="20"/>
          <w:szCs w:val="20"/>
          <w:color w:val="auto"/>
        </w:rPr>
      </w:pPr>
      <w:r>
        <w:rPr>
          <w:rFonts w:ascii="Arial" w:cs="Arial" w:eastAsia="Arial" w:hAnsi="Arial"/>
          <w:sz w:val="16"/>
          <w:szCs w:val="16"/>
          <w:i w:val="1"/>
          <w:iCs w:val="1"/>
          <w:color w:val="auto"/>
        </w:rPr>
        <w:t xml:space="preserve">Expected term – </w:t>
      </w:r>
      <w:r>
        <w:rPr>
          <w:rFonts w:ascii="Arial" w:cs="Arial" w:eastAsia="Arial" w:hAnsi="Arial"/>
          <w:sz w:val="16"/>
          <w:szCs w:val="16"/>
          <w:color w:val="auto"/>
        </w:rPr>
        <w:t>The Company determines the expected term based on the average period the stock options are expected to remain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the simplified method, 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Risk-free rate – </w:t>
      </w:r>
      <w:r>
        <w:rPr>
          <w:rFonts w:ascii="Arial" w:cs="Arial" w:eastAsia="Arial" w:hAnsi="Arial"/>
          <w:sz w:val="18"/>
          <w:szCs w:val="18"/>
          <w:color w:val="auto"/>
        </w:rPr>
        <w:t>The Company uses the U.S. Treasury yield for its risk-free interest rate that corresponds with the expected term.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Expected dividend yield – </w:t>
      </w:r>
      <w:r>
        <w:rPr>
          <w:rFonts w:ascii="Arial" w:cs="Arial" w:eastAsia="Arial" w:hAnsi="Arial"/>
          <w:sz w:val="17"/>
          <w:szCs w:val="17"/>
          <w:color w:val="auto"/>
        </w:rPr>
        <w:t>The Company utilizes a dividend yield of zero, as it does not currently issue dividends and does not expect to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were used to calculate the fair value of employee and non-employee stock option grants made during the following periods: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146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9"/>
        </w:trPr>
        <w:tc>
          <w:tcPr>
            <w:tcW w:w="67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3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53.9%- 61.2%</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53.7% - 54.5%</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48.8% -53.4%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7"/>
              </w:rPr>
              <w:t>6.3</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6.0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 per share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$1.99 - $6.06</w:t>
            </w:r>
          </w:p>
        </w:tc>
        <w:tc>
          <w:tcPr>
            <w:tcW w:w="1540" w:type="dxa"/>
            <w:vAlign w:val="bottom"/>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90"/>
              </w:rPr>
              <w:t>$4.92 - $6.83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$3.89 - $4.23</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in the consolidated statements of operations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Pr>
          <w:p>
            <w:pPr>
              <w:spacing w:after="0"/>
              <w:rPr>
                <w:sz w:val="16"/>
                <w:szCs w:val="16"/>
                <w:color w:val="auto"/>
              </w:rPr>
            </w:pPr>
          </w:p>
        </w:tc>
      </w:tr>
      <w:tr>
        <w:trPr>
          <w:trHeight w:val="25"/>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5"/>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35,567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10,235</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8,065</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there was $165.4 million of unrecognized stock-based compensation expense, which is expected to be recognized over a weighted average period of 2.2 years.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 Attributable to Common Stockholders</w:t>
      </w:r>
    </w:p>
    <w:p>
      <w:pPr>
        <w:spacing w:after="0" w:line="175"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per share data):</w:t>
      </w: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6"/>
          </w:tcPr>
          <w:p>
            <w:pPr>
              <w:jc w:val="center"/>
              <w:ind w:left="657"/>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4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4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r>
      <w:tr>
        <w:trPr>
          <w:trHeight w:val="203"/>
        </w:trPr>
        <w:tc>
          <w:tcPr>
            <w:tcW w:w="4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Class A</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4"/>
                <w:szCs w:val="14"/>
                <w:color w:val="auto"/>
              </w:rPr>
              <w:t>Class B</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5"/>
              </w:rPr>
              <w:t>Class A</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4"/>
                <w:szCs w:val="14"/>
                <w:color w:val="auto"/>
              </w:rPr>
              <w:t>Class B</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4"/>
                <w:szCs w:val="14"/>
                <w:color w:val="auto"/>
              </w:rPr>
              <w:t>Common</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(46,344)</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(91,572)</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(8,032)</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(87,293)</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(75,234)</w:t>
            </w:r>
          </w:p>
        </w:tc>
      </w:tr>
      <w:tr>
        <w:trPr>
          <w:trHeight w:val="175"/>
        </w:trPr>
        <w:tc>
          <w:tcPr>
            <w:tcW w:w="4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Weighted average shares used in computing net loss per share</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8"/>
        </w:trPr>
        <w:tc>
          <w:tcPr>
            <w:tcW w:w="46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6"/>
              </w:rPr>
              <w:t>attributable to Class A and Class B common stockholders,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251,465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90,190</w:t>
            </w:r>
          </w:p>
        </w:tc>
      </w:tr>
      <w:tr>
        <w:trPr>
          <w:trHeight w:val="176"/>
        </w:trPr>
        <w:tc>
          <w:tcPr>
            <w:tcW w:w="4660" w:type="dxa"/>
            <w:vAlign w:val="bottom"/>
          </w:tcPr>
          <w:p>
            <w:pPr>
              <w:ind w:left="20"/>
              <w:spacing w:after="0" w:line="176" w:lineRule="exact"/>
              <w:rPr>
                <w:sz w:val="20"/>
                <w:szCs w:val="20"/>
                <w:color w:val="auto"/>
              </w:rPr>
            </w:pPr>
            <w:r>
              <w:rPr>
                <w:rFonts w:ascii="Arial" w:cs="Arial" w:eastAsia="Arial" w:hAnsi="Arial"/>
                <w:sz w:val="18"/>
                <w:szCs w:val="18"/>
                <w:color w:val="auto"/>
                <w:w w:val="91"/>
              </w:rPr>
              <w:t>Net loss per share attributable to Class A and Class B common</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(0.83)</w:t>
            </w:r>
          </w:p>
        </w:tc>
      </w:tr>
    </w:tbl>
    <w:p>
      <w:pPr>
        <w:spacing w:after="0" w:line="242"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net loss per share because such securities have an anti-dilutive impact due to losses reported (in thousands):</w:t>
      </w: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6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Pr>
          <w:p>
            <w:pPr>
              <w:spacing w:after="0"/>
              <w:rPr>
                <w:sz w:val="16"/>
                <w:szCs w:val="16"/>
                <w:color w:val="auto"/>
              </w:rPr>
            </w:pPr>
          </w:p>
        </w:tc>
      </w:tr>
      <w:tr>
        <w:trPr>
          <w:trHeight w:val="26"/>
        </w:trPr>
        <w:tc>
          <w:tcPr>
            <w:tcW w:w="69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6980" w:type="dxa"/>
            <w:vAlign w:val="bottom"/>
          </w:tcPr>
          <w:p>
            <w:pPr>
              <w:spacing w:after="0"/>
              <w:rPr>
                <w:sz w:val="16"/>
                <w:szCs w:val="16"/>
                <w:color w:val="auto"/>
              </w:rPr>
            </w:pPr>
          </w:p>
        </w:tc>
        <w:tc>
          <w:tcPr>
            <w:tcW w:w="13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50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30"/>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190,477</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1320" w:type="dxa"/>
            <w:vAlign w:val="bottom"/>
          </w:tcPr>
          <w:p>
            <w:pPr>
              <w:jc w:val="right"/>
              <w:spacing w:after="0"/>
              <w:rPr>
                <w:sz w:val="20"/>
                <w:szCs w:val="20"/>
                <w:color w:val="auto"/>
              </w:rPr>
            </w:pPr>
            <w:r>
              <w:rPr>
                <w:rFonts w:ascii="Arial" w:cs="Arial" w:eastAsia="Arial" w:hAnsi="Arial"/>
                <w:sz w:val="18"/>
                <w:szCs w:val="18"/>
                <w:color w:val="auto"/>
              </w:rPr>
              <w:t>55,388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58,278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46,973</w:t>
            </w:r>
          </w:p>
        </w:tc>
      </w:tr>
      <w:tr>
        <w:trPr>
          <w:trHeight w:val="27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Unvested early exercised stock options subject to repurchase</w:t>
            </w:r>
          </w:p>
        </w:tc>
        <w:tc>
          <w:tcPr>
            <w:tcW w:w="1320" w:type="dxa"/>
            <w:vAlign w:val="bottom"/>
          </w:tcPr>
          <w:p>
            <w:pPr>
              <w:jc w:val="right"/>
              <w:spacing w:after="0"/>
              <w:rPr>
                <w:sz w:val="20"/>
                <w:szCs w:val="20"/>
                <w:color w:val="auto"/>
              </w:rPr>
            </w:pPr>
            <w:r>
              <w:rPr>
                <w:rFonts w:ascii="Arial" w:cs="Arial" w:eastAsia="Arial" w:hAnsi="Arial"/>
                <w:sz w:val="18"/>
                <w:szCs w:val="18"/>
                <w:color w:val="auto"/>
              </w:rPr>
              <w:t>102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Shares issuable pursuant to the employee stock purchase plan</w:t>
            </w:r>
          </w:p>
        </w:tc>
        <w:tc>
          <w:tcPr>
            <w:tcW w:w="1320" w:type="dxa"/>
            <w:vAlign w:val="bottom"/>
          </w:tcPr>
          <w:p>
            <w:pPr>
              <w:jc w:val="right"/>
              <w:spacing w:after="0"/>
              <w:rPr>
                <w:sz w:val="20"/>
                <w:szCs w:val="20"/>
                <w:color w:val="auto"/>
              </w:rPr>
            </w:pPr>
            <w:r>
              <w:rPr>
                <w:rFonts w:ascii="Arial" w:cs="Arial" w:eastAsia="Arial" w:hAnsi="Arial"/>
                <w:sz w:val="18"/>
                <w:szCs w:val="18"/>
                <w:color w:val="auto"/>
              </w:rPr>
              <w:t>2,566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Contingently issuable shares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80,049</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64,602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245,409</w:t>
            </w:r>
          </w:p>
        </w:tc>
      </w:tr>
      <w:tr>
        <w:trPr>
          <w:trHeight w:val="20"/>
        </w:trPr>
        <w:tc>
          <w:tcPr>
            <w:tcW w:w="6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401(k) plan (the “401(k) Plan”) covering all eligible employees in the United States. The Company is allowed to make discretionary profit sharing and qualified non-elective contributions as defined by the 401(k) Plan and as approved by the Board of Directors. Through December 31, 2020, the Company did not match eligible participants’ 401(k) contributions. As of January 1, 2021, the Company began matching a portion of eligible participants’ 401(k) contributions. The Company’s match totaled $1.4 million and $1.1 million for the years ended December 31, 2022 and 2021, respectively. No discretionary profit-sharing contributions have been made to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r>
      <w:tr>
        <w:trPr>
          <w:trHeight w:val="25"/>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(74,882)</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(136,243)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was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6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r>
      <w:tr>
        <w:trPr>
          <w:trHeight w:val="26"/>
        </w:trPr>
        <w:tc>
          <w:tcPr>
            <w:tcW w:w="69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69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6"/>
        </w:trPr>
        <w:tc>
          <w:tcPr>
            <w:tcW w:w="69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Federal</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9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Foreign</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1,560</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provision for income taxes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State</w:t>
            </w:r>
          </w:p>
        </w:tc>
        <w:tc>
          <w:tcPr>
            <w:tcW w:w="8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deferred provision for income taxes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1,673</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Income tax expense (benefit) differed from the amount computed by applying the federal statutory income tax rate to pretax loss as a result of the following:</w:t>
      </w: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40" w:type="dxa"/>
            <w:vAlign w:val="bottom"/>
            <w:gridSpan w:val="7"/>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66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State tax</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(2.5)</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items</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R&amp;D credit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(4.2)</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Changes in valuation allowance</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22.9</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r>
      <w:tr>
        <w:trPr>
          <w:trHeight w:val="20"/>
        </w:trPr>
        <w:tc>
          <w:tcPr>
            <w:tcW w:w="66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53"/>
        </w:trPr>
        <w:tc>
          <w:tcPr>
            <w:tcW w:w="8140" w:type="dxa"/>
            <w:vAlign w:val="bottom"/>
            <w:gridSpan w:val="2"/>
          </w:tcPr>
          <w:p>
            <w:pPr>
              <w:spacing w:after="0"/>
              <w:rPr>
                <w:sz w:val="20"/>
                <w:szCs w:val="20"/>
                <w:color w:val="auto"/>
              </w:rPr>
            </w:pPr>
            <w:r>
              <w:rPr>
                <w:rFonts w:ascii="Arial" w:cs="Arial" w:eastAsia="Arial" w:hAnsi="Arial"/>
                <w:sz w:val="18"/>
                <w:szCs w:val="18"/>
                <w:color w:val="auto"/>
                <w:w w:val="97"/>
              </w:rPr>
              <w:t>Tax effects of significant items comprising the Company’s deferred taxes were as follows (in thousands):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3"/>
        </w:trPr>
        <w:tc>
          <w:tcPr>
            <w:tcW w:w="6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jc w:val="right"/>
              <w:ind w:right="711"/>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6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r>
      <w:tr>
        <w:trPr>
          <w:trHeight w:val="25"/>
        </w:trPr>
        <w:tc>
          <w:tcPr>
            <w:tcW w:w="66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Net operating loss</w:t>
            </w:r>
          </w:p>
        </w:tc>
        <w:tc>
          <w:tcPr>
            <w:tcW w:w="1480" w:type="dxa"/>
            <w:vAlign w:val="bottom"/>
          </w:tcPr>
          <w:p>
            <w:pPr>
              <w:spacing w:after="0"/>
              <w:rPr>
                <w:sz w:val="19"/>
                <w:szCs w:val="19"/>
                <w:color w:val="auto"/>
              </w:rPr>
            </w:pPr>
          </w:p>
        </w:tc>
        <w:tc>
          <w:tcPr>
            <w:tcW w:w="5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95,567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96,423</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carryforwards</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14,162</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8,071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5,924</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16,691</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Reserves, accruals and other</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1,774</w:t>
            </w:r>
          </w:p>
        </w:tc>
      </w:tr>
      <w:tr>
        <w:trPr>
          <w:trHeight w:val="27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R&amp;D</w:t>
            </w: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22,944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1,252</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23"/>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deferred tax assets</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163,291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135,305</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(150,294)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(120,873)</w:t>
            </w:r>
          </w:p>
        </w:tc>
      </w:tr>
      <w:tr>
        <w:trPr>
          <w:trHeight w:val="223"/>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deferred tax assets, net</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14,432</w:t>
            </w:r>
          </w:p>
        </w:tc>
      </w:tr>
      <w:tr>
        <w:trPr>
          <w:trHeight w:val="209"/>
        </w:trPr>
        <w:tc>
          <w:tcPr>
            <w:tcW w:w="66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 basis</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(12,752)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(14,432)</w:t>
            </w:r>
          </w:p>
        </w:tc>
      </w:tr>
      <w:tr>
        <w:trPr>
          <w:trHeight w:val="223"/>
        </w:trPr>
        <w:tc>
          <w:tcPr>
            <w:tcW w:w="6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 tax liabilities</w:t>
            </w: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(12,752)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(14,432)</w:t>
            </w:r>
          </w:p>
        </w:tc>
      </w:tr>
      <w:tr>
        <w:trPr>
          <w:trHeight w:val="248"/>
        </w:trPr>
        <w:tc>
          <w:tcPr>
            <w:tcW w:w="6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deferred tax assets</w:t>
            </w: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available objective evidence, management believes it is more likely than not that the U.S. net deferred tax assets will not be fully realizable. Accordingly, the Company has established a full valuation allowance for its U.S. net deferred tax assets. The valuation allowance increased by $29.4 million and $24.8 million, respectively, during 2022 and 2021. The Company had aggregate deferred tax assets of $163.3 million and $135.3 million as of December 31, 2022 and 2021, respectively.</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the Company had federal net operating loss carryforwards of $382.1 million, which begin to expire in 2033, and state net operating loss carryforwards of $234.8 million, which begin to expire in 2029. Of the $382.1 million U.S. federal net operating losses $214.3 million is carried forward indefinitely but is limited to 80% of current year taxable income. As of December 31, 2022, the Company had federal tax credits of $21.9 million, which begin to expire in 2028, and state tax credits of $19.3 million, which do not expire. The Internal Revenue Code (“IRC”) limits the amount of net operating loss carryforwards that a company may use in a given year in the event of certain cumulative changes in ownership over a three-year period as described in Section 382 of the IRC. Utilization of net operating loss carryforwards and credits may be subject to a substantial annual limitation due to the ownership change limitations provided by the IRC, as amended, and similar state provisions. The annual limitation may result in the expiration of net operating losses and credits before utilization.</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accounts for uncertainty in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Tax positions are evaluated in a two-step process, whereby the Company first determines whether it is more likely than not that a tax position will be sustained upon examination by the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balances of unrecognized tax benefit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Pr>
          <w:p>
            <w:pPr>
              <w:spacing w:after="0"/>
              <w:rPr>
                <w:sz w:val="16"/>
                <w:szCs w:val="16"/>
                <w:color w:val="auto"/>
              </w:rPr>
            </w:pPr>
          </w:p>
        </w:tc>
      </w:tr>
      <w:tr>
        <w:trPr>
          <w:trHeight w:val="26"/>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 beginning of year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prior year tax positions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Gross unrecognized tax benefits -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18,564</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13,902</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10,143</w:t>
            </w: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unrecognized tax benefits as of December 31, 2022 are accounted for as a reduction in the Company’s deferred tax assets. Due to the Company’s valuation allowance, none of the $18.6 million of unrecognized tax benefits, related solely to its federal and state research and development income tax credits, would affect the Company’s effective tax rate, if recognized. The Company does not believe it is reasonably possible that its unrecognized tax benefits will significantly change in the next twelve months.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interest and penalties related to unrecognized tax benefits as income tax expense. There were no interest or penalties accrued related to unrecognized tax benefits for the years ended December 31, 2022, 2021 and 2020, and no liability for accrued interest or penalties related to unrecognized tax benefits as of December 31, 2022 and 2021.</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identified its U.S. federal and California tax returns as “material” tax filings. The Company is not currently under examination by income tax authorities in any jurisdiction. However, because the Company has net operating losses in several jurisdictions, including the United States federal and various state jurisdictions, certain items attributable to closed tax years are still subject to adjustment by applicable taxing authorities through an adjustment to tax attributes carried forward to open years. All tax returns will remain open for examination by the federal and most state taxing authorities for three years and four years, respectively, from the date of utilization of any net operating loss carryforwards or research and development income tax credits.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Geographical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geography based on the customers’ location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Pr>
          <w:p>
            <w:pPr>
              <w:spacing w:after="0"/>
              <w:rPr>
                <w:sz w:val="16"/>
                <w:szCs w:val="16"/>
                <w:color w:val="auto"/>
              </w:rPr>
            </w:pPr>
          </w:p>
        </w:tc>
      </w:tr>
      <w:tr>
        <w:trPr>
          <w:trHeight w:val="25"/>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204,449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119,118</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212,765</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192,197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123,284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Company’s long-lived assets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Annual Report, and have concluded that, based on such evaluation, our disclosure controls and procedures were effective as of December 31, 2022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the assessment, management has concluded that its internal control over financial reporting was effective as of December 31, 2022 to provide reasonable assurance regarding the reliability of financial reporting and the preparation of financial statements in accordance with U.S. GAAP. Our independent registered public accounting firm, Ernst &amp; Young LLP, has issued an audit report with respect to our internal control over financial reporting, which appears in Part II, Item 8 of this Annual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Annual Report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Disclosure Controls and Procedures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2023 Incentive Compensation Plan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23, 2023, the Compensation and People Development Committee of our Board of Directors adopted the 2023 Incentive Compensation Plan (the “2023 ICP”) setting forth the specific details of potential incentive compensation that may be granted to the eligible employees, including its Head of Revenue, Heidi Andersen. Eligible employees of the Company may be eligible to earn commissions on sales activities, as well as quarterly performance-based rewards (“MBO Bonus”), in each case, at the rates set forth in schedules to the 2023 ICP. Additionally, eligible employees may qualify for short-term or one-time bonus opportunities in connection with contest or similar short-term incentive efforts, subject to terms that will be communicated to the employee. In order to receive compensation under the 2023 ICP, the eligible employee must be employed by us on the day on which the payment of such compensation is paid and otherwise adhere to the terms and conditions of the 2023 ICP.</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above description of the 2023 ICP does not purport to be complete and is qualified in its entirety by reference to the full text of the 2023 ICP, which is filed as Exhibit 10.18 hereto and incorporated herein by reference.</w:t>
      </w:r>
    </w:p>
    <w:p>
      <w:pPr>
        <w:spacing w:after="0" w:line="112" w:lineRule="exact"/>
        <w:rPr>
          <w:sz w:val="20"/>
          <w:szCs w:val="20"/>
          <w:color w:val="auto"/>
        </w:rPr>
      </w:pPr>
    </w:p>
    <w:p>
      <w:pPr>
        <w:ind w:right="5280"/>
        <w:spacing w:after="0" w:line="470"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the 2023 Annual Meeting of Stockholders, to be filed with the SEC within 120 days of the fiscal year ended December 31, 2022,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the 2023 Annual Meeting of Stockholders, to be filed with the SEC within 120 days of the fiscal year ended December 31, 2022,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the 2023 Annual Meeting of Stockholders, to be filed with the SEC within 120 days of the fiscal year ended December 31, 2022,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the 2023 Annual Meeting of Stockholders, to be filed with the SEC within 120 days of the fiscal year ended December 31, 2022,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the 2023 Annual Meeting of Stockholders, to be filed with the SEC within 120 days of the fiscal year ended December 31, 2022,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367" w:lineRule="exact"/>
        <w:rPr>
          <w:sz w:val="20"/>
          <w:szCs w:val="20"/>
          <w:color w:val="auto"/>
        </w:rPr>
      </w:pPr>
    </w:p>
    <w:p>
      <w:pPr>
        <w:ind w:right="6960" w:firstLine="8"/>
        <w:spacing w:after="0" w:line="516"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1.Financial Statements</w:t>
      </w:r>
    </w:p>
    <w:p>
      <w:pPr>
        <w:spacing w:after="0"/>
        <w:rPr>
          <w:rFonts w:ascii="Arial" w:cs="Arial" w:eastAsia="Arial" w:hAnsi="Arial"/>
          <w:sz w:val="18"/>
          <w:szCs w:val="18"/>
          <w:color w:val="auto"/>
        </w:rPr>
      </w:pPr>
      <w:r>
        <w:rPr>
          <w:rFonts w:ascii="Arial" w:cs="Arial" w:eastAsia="Arial" w:hAnsi="Arial"/>
          <w:sz w:val="18"/>
          <w:szCs w:val="18"/>
          <w:color w:val="auto"/>
        </w:rPr>
        <w:t>See Index to Financial Statements under Part II, Item 8 of this Annual Report.</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2.Financial Statement Schedules</w:t>
      </w:r>
    </w:p>
    <w:p>
      <w:pPr>
        <w:spacing w:after="0" w:line="238" w:lineRule="exact"/>
        <w:rPr>
          <w:rFonts w:ascii="Arial" w:cs="Arial" w:eastAsia="Arial" w:hAnsi="Arial"/>
          <w:sz w:val="18"/>
          <w:szCs w:val="18"/>
          <w:color w:val="auto"/>
        </w:rPr>
      </w:pPr>
    </w:p>
    <w:p>
      <w:pPr>
        <w:ind w:right="1040"/>
        <w:spacing w:after="0" w:line="516" w:lineRule="auto"/>
        <w:rPr>
          <w:rFonts w:ascii="Arial" w:cs="Arial" w:eastAsia="Arial" w:hAnsi="Arial"/>
          <w:sz w:val="18"/>
          <w:szCs w:val="18"/>
          <w:color w:val="auto"/>
        </w:rPr>
      </w:pPr>
      <w:r>
        <w:rPr>
          <w:rFonts w:ascii="Arial" w:cs="Arial" w:eastAsia="Arial" w:hAnsi="Arial"/>
          <w:sz w:val="18"/>
          <w:szCs w:val="18"/>
          <w:color w:val="auto"/>
        </w:rPr>
        <w:t>Schedules not listed above have been omitted because they are not required, not applicable, or the required information is otherwise included. 3.Exhibits</w:t>
      </w:r>
    </w:p>
    <w:p>
      <w:pPr>
        <w:spacing w:after="0"/>
        <w:rPr>
          <w:rFonts w:ascii="Arial" w:cs="Arial" w:eastAsia="Arial" w:hAnsi="Arial"/>
          <w:sz w:val="18"/>
          <w:szCs w:val="18"/>
          <w:color w:val="auto"/>
        </w:rPr>
      </w:pPr>
      <w:r>
        <w:rPr>
          <w:rFonts w:ascii="Arial" w:cs="Arial" w:eastAsia="Arial" w:hAnsi="Arial"/>
          <w:sz w:val="18"/>
          <w:szCs w:val="18"/>
          <w:color w:val="auto"/>
        </w:rPr>
        <w:t>The exhibits listed below are filed as part of this Annual Report or are incorporated herein by reference as indicated.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6"/>
        </w:trPr>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80" w:type="dxa"/>
            <w:vAlign w:val="bottom"/>
            <w:gridSpan w:val="20"/>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2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20"/>
            <w:vMerge w:val="continue"/>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Form</w:t>
            </w: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9"/>
        </w:trPr>
        <w:tc>
          <w:tcPr>
            <w:tcW w:w="11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600" w:type="dxa"/>
            <w:vAlign w:val="bottom"/>
            <w:tcBorders>
              <w:top w:val="single" w:sz="8" w:color="auto"/>
            </w:tcBorders>
            <w:gridSpan w:val="27"/>
          </w:tcPr>
          <w:p>
            <w:pPr>
              <w:spacing w:after="0" w:line="189"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Agreement and Plan of Merger, dated as of July 6, 2021, by and among the</w:t>
              </w:r>
            </w:hyperlink>
          </w:p>
        </w:tc>
        <w:tc>
          <w:tcPr>
            <w:tcW w:w="8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5"/>
              </w:rPr>
              <w:t>S-4</w:t>
            </w:r>
          </w:p>
        </w:tc>
        <w:tc>
          <w:tcPr>
            <w:tcW w:w="80" w:type="dxa"/>
            <w:vAlign w:val="bottom"/>
          </w:tcPr>
          <w:p>
            <w:pPr>
              <w:spacing w:after="0"/>
              <w:rPr>
                <w:sz w:val="16"/>
                <w:szCs w:val="16"/>
                <w:color w:val="auto"/>
              </w:rPr>
            </w:pPr>
          </w:p>
        </w:tc>
        <w:tc>
          <w:tcPr>
            <w:tcW w:w="11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2.1</w:t>
            </w:r>
          </w:p>
        </w:tc>
        <w:tc>
          <w:tcPr>
            <w:tcW w:w="8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October 1,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tcBorders>
              <w:top w:val="single" w:sz="8" w:color="0000FF"/>
              <w:bottom w:val="single" w:sz="8" w:color="0000FF"/>
            </w:tcBorders>
            <w:gridSpan w:val="21"/>
          </w:tcPr>
          <w:p>
            <w:pPr>
              <w:spacing w:after="0" w:line="169"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Khosla Ventures Acquisition Co. II, Lorelei Merger Sub Inc. and Nextdoor,</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28"/>
          </w:tcPr>
          <w:p>
            <w:pPr>
              <w:spacing w:after="0" w:line="156"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Inc., as amended (included as Annex A to the registration statement on Form</w:t>
              </w:r>
            </w:hyperlink>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15">
              <w:r>
                <w:rPr>
                  <w:rFonts w:ascii="Arial" w:cs="Arial" w:eastAsia="Arial" w:hAnsi="Arial"/>
                  <w:sz w:val="18"/>
                  <w:szCs w:val="18"/>
                  <w:color w:val="0000FF"/>
                  <w:w w:val="88"/>
                </w:rPr>
                <w:t>S-4)</w:t>
              </w:r>
            </w:hyperlink>
          </w:p>
        </w:tc>
        <w:tc>
          <w:tcPr>
            <w:tcW w:w="5220" w:type="dxa"/>
            <w:vAlign w:val="bottom"/>
            <w:tcBorders>
              <w:top w:val="single" w:sz="8" w:color="0000FF"/>
            </w:tcBorders>
            <w:gridSpan w:val="24"/>
          </w:tcPr>
          <w:p>
            <w:pPr>
              <w:spacing w:after="0"/>
              <w:rPr>
                <w:sz w:val="13"/>
                <w:szCs w:val="13"/>
                <w:color w:val="auto"/>
              </w:rPr>
            </w:pPr>
          </w:p>
        </w:tc>
        <w:tc>
          <w:tcPr>
            <w:tcW w:w="14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8"/>
          </w:tcPr>
          <w:p>
            <w:pPr>
              <w:spacing w:after="0"/>
              <w:rPr>
                <w:rFonts w:ascii="Arial" w:cs="Arial" w:eastAsia="Arial" w:hAnsi="Arial"/>
                <w:sz w:val="18"/>
                <w:szCs w:val="18"/>
                <w:color w:val="0000FF"/>
                <w:w w:val="97"/>
              </w:rPr>
            </w:pPr>
            <w:hyperlink r:id="rId116">
              <w:r>
                <w:rPr>
                  <w:rFonts w:ascii="Arial" w:cs="Arial" w:eastAsia="Arial" w:hAnsi="Arial"/>
                  <w:sz w:val="18"/>
                  <w:szCs w:val="18"/>
                  <w:color w:val="0000FF"/>
                  <w:w w:val="97"/>
                </w:rPr>
                <w:t>Amended and Restated Certificate of Incorporation of Nextdoor Holdings,</w:t>
              </w:r>
            </w:hyperlink>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November 12,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116">
              <w:r>
                <w:rPr>
                  <w:rFonts w:ascii="Arial" w:cs="Arial" w:eastAsia="Arial" w:hAnsi="Arial"/>
                  <w:sz w:val="18"/>
                  <w:szCs w:val="18"/>
                  <w:color w:val="0000FF"/>
                </w:rPr>
                <w:t>Inc.</w:t>
              </w:r>
            </w:hyperlink>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Borders>
              <w:bottom w:val="single" w:sz="8" w:color="0000FF"/>
            </w:tcBorders>
            <w:gridSpan w:val="13"/>
          </w:tcPr>
          <w:p>
            <w:pPr>
              <w:spacing w:after="0"/>
              <w:rPr>
                <w:rFonts w:ascii="Arial" w:cs="Arial" w:eastAsia="Arial" w:hAnsi="Arial"/>
                <w:sz w:val="18"/>
                <w:szCs w:val="18"/>
                <w:color w:val="0000FF"/>
                <w:w w:val="91"/>
              </w:rPr>
            </w:pPr>
            <w:hyperlink r:id="rId117">
              <w:r>
                <w:rPr>
                  <w:rFonts w:ascii="Arial" w:cs="Arial" w:eastAsia="Arial" w:hAnsi="Arial"/>
                  <w:sz w:val="18"/>
                  <w:szCs w:val="18"/>
                  <w:color w:val="0000FF"/>
                  <w:w w:val="91"/>
                </w:rPr>
                <w:t>Amended and Restated Bylaws of Nextdoor Holdings, Inc.</w:t>
              </w:r>
            </w:hyperlink>
          </w:p>
        </w:tc>
        <w:tc>
          <w:tcPr>
            <w:tcW w:w="1420" w:type="dxa"/>
            <w:vAlign w:val="bottom"/>
            <w:gridSpan w:val="15"/>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December 1, 2022</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Borders>
              <w:bottom w:val="single" w:sz="8" w:color="0000FF"/>
            </w:tcBorders>
            <w:gridSpan w:val="18"/>
          </w:tcPr>
          <w:p>
            <w:pPr>
              <w:spacing w:after="0"/>
              <w:rPr>
                <w:rFonts w:ascii="Arial" w:cs="Arial" w:eastAsia="Arial" w:hAnsi="Arial"/>
                <w:sz w:val="18"/>
                <w:szCs w:val="18"/>
                <w:color w:val="0000FF"/>
                <w:w w:val="92"/>
              </w:rPr>
            </w:pPr>
            <w:hyperlink r:id="rId118">
              <w:r>
                <w:rPr>
                  <w:rFonts w:ascii="Arial" w:cs="Arial" w:eastAsia="Arial" w:hAnsi="Arial"/>
                  <w:sz w:val="18"/>
                  <w:szCs w:val="18"/>
                  <w:color w:val="0000FF"/>
                  <w:w w:val="92"/>
                </w:rPr>
                <w:t>Specimen Class A Common Stock Certificate of Nextdoor Holdings, Inc.</w:t>
              </w:r>
            </w:hyperlink>
          </w:p>
        </w:tc>
        <w:tc>
          <w:tcPr>
            <w:tcW w:w="380" w:type="dxa"/>
            <w:vAlign w:val="bottom"/>
            <w:gridSpan w:val="10"/>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November 12, 2021</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8"/>
          </w:tcPr>
          <w:p>
            <w:pPr>
              <w:spacing w:after="0"/>
              <w:rPr>
                <w:sz w:val="20"/>
                <w:szCs w:val="20"/>
                <w:color w:val="auto"/>
              </w:rPr>
            </w:pPr>
            <w:r>
              <w:rPr>
                <w:rFonts w:ascii="Arial" w:cs="Arial" w:eastAsia="Arial" w:hAnsi="Arial"/>
                <w:sz w:val="18"/>
                <w:szCs w:val="18"/>
                <w:color w:val="0000FF"/>
              </w:rPr>
              <w:t>Description of Registrant’s Securities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1"/>
              </w:rPr>
            </w:pPr>
            <w:hyperlink r:id="rId119">
              <w:r>
                <w:rPr>
                  <w:rFonts w:ascii="Arial" w:cs="Arial" w:eastAsia="Arial" w:hAnsi="Arial"/>
                  <w:sz w:val="18"/>
                  <w:szCs w:val="18"/>
                  <w:color w:val="0000FF"/>
                  <w:w w:val="91"/>
                </w:rPr>
                <w:t>Form of Subscription Agreement</w:t>
              </w:r>
            </w:hyperlink>
          </w:p>
        </w:tc>
        <w:tc>
          <w:tcPr>
            <w:tcW w:w="300" w:type="dxa"/>
            <w:vAlign w:val="bottom"/>
            <w:tcBorders>
              <w:top w:val="single" w:sz="8" w:color="0000FF"/>
            </w:tcBorders>
            <w:gridSpan w:val="2"/>
          </w:tcPr>
          <w:p>
            <w:pPr>
              <w:spacing w:after="0"/>
              <w:rPr>
                <w:sz w:val="18"/>
                <w:szCs w:val="18"/>
                <w:color w:val="auto"/>
              </w:rPr>
            </w:pPr>
          </w:p>
        </w:tc>
        <w:tc>
          <w:tcPr>
            <w:tcW w:w="2980" w:type="dxa"/>
            <w:vAlign w:val="bottom"/>
            <w:gridSpan w:val="18"/>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S-4</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October 1, 2021</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8"/>
          </w:tcPr>
          <w:p>
            <w:pPr>
              <w:spacing w:after="0"/>
              <w:rPr>
                <w:rFonts w:ascii="Arial" w:cs="Arial" w:eastAsia="Arial" w:hAnsi="Arial"/>
                <w:sz w:val="18"/>
                <w:szCs w:val="18"/>
                <w:color w:val="0000FF"/>
                <w:w w:val="93"/>
              </w:rPr>
            </w:pPr>
            <w:hyperlink r:id="rId120">
              <w:r>
                <w:rPr>
                  <w:rFonts w:ascii="Arial" w:cs="Arial" w:eastAsia="Arial" w:hAnsi="Arial"/>
                  <w:sz w:val="18"/>
                  <w:szCs w:val="18"/>
                  <w:color w:val="0000FF"/>
                  <w:w w:val="93"/>
                </w:rPr>
                <w:t>Amended and Restated Registration Rights Agreement, dated November 5,</w:t>
              </w:r>
            </w:hyperlink>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November 12,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Borders>
              <w:top w:val="single" w:sz="8" w:color="0000FF"/>
            </w:tcBorders>
            <w:gridSpan w:val="22"/>
          </w:tcPr>
          <w:p>
            <w:pPr>
              <w:spacing w:after="0" w:line="169"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2021, by and among Nextdoor Holdings, Inc. and the other parties thereto</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tcBorders>
              <w:top w:val="single" w:sz="8" w:color="0000FF"/>
            </w:tcBorders>
            <w:gridSpan w:val="19"/>
          </w:tcPr>
          <w:p>
            <w:pPr>
              <w:spacing w:after="0"/>
              <w:rPr>
                <w:rFonts w:ascii="Arial" w:cs="Arial" w:eastAsia="Arial" w:hAnsi="Arial"/>
                <w:sz w:val="18"/>
                <w:szCs w:val="18"/>
                <w:color w:val="0000FF"/>
              </w:rPr>
            </w:pPr>
            <w:hyperlink r:id="rId121">
              <w:r>
                <w:rPr>
                  <w:rFonts w:ascii="Arial" w:cs="Arial" w:eastAsia="Arial" w:hAnsi="Arial"/>
                  <w:sz w:val="18"/>
                  <w:szCs w:val="18"/>
                  <w:color w:val="0000FF"/>
                </w:rPr>
                <w:t>2008 Equity Incentive Plan of Nextdoor, Inc.</w:t>
              </w:r>
            </w:hyperlink>
          </w:p>
        </w:tc>
        <w:tc>
          <w:tcPr>
            <w:tcW w:w="360" w:type="dxa"/>
            <w:vAlign w:val="bottom"/>
            <w:gridSpan w:val="9"/>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S-4</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8"/>
          </w:tcPr>
          <w:p>
            <w:pPr>
              <w:spacing w:after="0"/>
              <w:rPr>
                <w:rFonts w:ascii="Arial" w:cs="Arial" w:eastAsia="Arial" w:hAnsi="Arial"/>
                <w:sz w:val="18"/>
                <w:szCs w:val="18"/>
                <w:color w:val="0000FF"/>
                <w:w w:val="94"/>
              </w:rPr>
            </w:pPr>
            <w:hyperlink r:id="rId122">
              <w:r>
                <w:rPr>
                  <w:rFonts w:ascii="Arial" w:cs="Arial" w:eastAsia="Arial" w:hAnsi="Arial"/>
                  <w:sz w:val="18"/>
                  <w:szCs w:val="18"/>
                  <w:color w:val="0000FF"/>
                  <w:w w:val="94"/>
                </w:rPr>
                <w:t>Form of Early Exercise Stock Option Grant under the 2008 Equity Incentive</w:t>
              </w:r>
            </w:hyperlink>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S-4</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122">
              <w:r>
                <w:rPr>
                  <w:rFonts w:ascii="Arial" w:cs="Arial" w:eastAsia="Arial" w:hAnsi="Arial"/>
                  <w:sz w:val="18"/>
                  <w:szCs w:val="18"/>
                  <w:color w:val="0000FF"/>
                </w:rPr>
                <w:t>Plan</w:t>
              </w:r>
            </w:hyperlink>
          </w:p>
        </w:tc>
        <w:tc>
          <w:tcPr>
            <w:tcW w:w="18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8"/>
          </w:tcPr>
          <w:p>
            <w:pPr>
              <w:spacing w:after="0"/>
              <w:rPr>
                <w:rFonts w:ascii="Arial" w:cs="Arial" w:eastAsia="Arial" w:hAnsi="Arial"/>
                <w:sz w:val="18"/>
                <w:szCs w:val="18"/>
                <w:color w:val="0000FF"/>
              </w:rPr>
            </w:pPr>
            <w:hyperlink r:id="rId123">
              <w:r>
                <w:rPr>
                  <w:rFonts w:ascii="Arial" w:cs="Arial" w:eastAsia="Arial" w:hAnsi="Arial"/>
                  <w:sz w:val="18"/>
                  <w:szCs w:val="18"/>
                  <w:color w:val="0000FF"/>
                </w:rPr>
                <w:t>Form of Stock Option Grant under the 2008 Equity Incentive Plan of</w:t>
              </w:r>
            </w:hyperlink>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S-4</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Nextdoor, Inc.</w:t>
              </w:r>
            </w:hyperlink>
          </w:p>
        </w:tc>
        <w:tc>
          <w:tcPr>
            <w:tcW w:w="3920" w:type="dxa"/>
            <w:vAlign w:val="bottom"/>
            <w:tcBorders>
              <w:top w:val="single" w:sz="8" w:color="0000FF"/>
            </w:tcBorders>
            <w:gridSpan w:val="11"/>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7"/>
          </w:tcPr>
          <w:p>
            <w:pPr>
              <w:spacing w:after="0"/>
              <w:rPr>
                <w:sz w:val="14"/>
                <w:szCs w:val="14"/>
                <w:color w:val="auto"/>
              </w:rPr>
            </w:pPr>
          </w:p>
        </w:tc>
        <w:tc>
          <w:tcPr>
            <w:tcW w:w="20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8"/>
          </w:tcPr>
          <w:p>
            <w:pPr>
              <w:spacing w:after="0"/>
              <w:rPr>
                <w:rFonts w:ascii="Arial" w:cs="Arial" w:eastAsia="Arial" w:hAnsi="Arial"/>
                <w:sz w:val="18"/>
                <w:szCs w:val="18"/>
                <w:color w:val="0000FF"/>
              </w:rPr>
            </w:pPr>
            <w:hyperlink r:id="rId124">
              <w:r>
                <w:rPr>
                  <w:rFonts w:ascii="Arial" w:cs="Arial" w:eastAsia="Arial" w:hAnsi="Arial"/>
                  <w:sz w:val="18"/>
                  <w:szCs w:val="18"/>
                  <w:color w:val="0000FF"/>
                </w:rPr>
                <w:t>2018 Equity Incentive Plan of Nextdoor, Inc.</w:t>
              </w:r>
            </w:hyperlink>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S-4</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8"/>
          </w:tcPr>
          <w:p>
            <w:pPr>
              <w:spacing w:after="0"/>
              <w:rPr>
                <w:rFonts w:ascii="Arial" w:cs="Arial" w:eastAsia="Arial" w:hAnsi="Arial"/>
                <w:sz w:val="18"/>
                <w:szCs w:val="18"/>
                <w:color w:val="0000FF"/>
                <w:w w:val="94"/>
              </w:rPr>
            </w:pPr>
            <w:hyperlink r:id="rId125">
              <w:r>
                <w:rPr>
                  <w:rFonts w:ascii="Arial" w:cs="Arial" w:eastAsia="Arial" w:hAnsi="Arial"/>
                  <w:sz w:val="18"/>
                  <w:szCs w:val="18"/>
                  <w:color w:val="0000FF"/>
                  <w:w w:val="94"/>
                </w:rPr>
                <w:t>Form of Early Exercise Stock Option Grant under the 2018 Equity Incentive</w:t>
              </w:r>
            </w:hyperlink>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S-4</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125">
              <w:r>
                <w:rPr>
                  <w:rFonts w:ascii="Arial" w:cs="Arial" w:eastAsia="Arial" w:hAnsi="Arial"/>
                  <w:sz w:val="18"/>
                  <w:szCs w:val="18"/>
                  <w:color w:val="0000FF"/>
                </w:rPr>
                <w:t>Plan of Nextdoor, Inc.</w:t>
              </w:r>
            </w:hyperlink>
          </w:p>
        </w:tc>
        <w:tc>
          <w:tcPr>
            <w:tcW w:w="18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8"/>
          </w:tcPr>
          <w:p>
            <w:pPr>
              <w:spacing w:after="0"/>
              <w:rPr>
                <w:rFonts w:ascii="Arial" w:cs="Arial" w:eastAsia="Arial" w:hAnsi="Arial"/>
                <w:sz w:val="18"/>
                <w:szCs w:val="18"/>
                <w:color w:val="0000FF"/>
              </w:rPr>
            </w:pPr>
            <w:hyperlink r:id="rId126">
              <w:r>
                <w:rPr>
                  <w:rFonts w:ascii="Arial" w:cs="Arial" w:eastAsia="Arial" w:hAnsi="Arial"/>
                  <w:sz w:val="18"/>
                  <w:szCs w:val="18"/>
                  <w:color w:val="0000FF"/>
                </w:rPr>
                <w:t>Form of Stock Option Grant under the 2018 Equity Incentive Plan of</w:t>
              </w:r>
            </w:hyperlink>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S-4</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Nextdoor, Inc.</w:t>
              </w:r>
            </w:hyperlink>
          </w:p>
        </w:tc>
        <w:tc>
          <w:tcPr>
            <w:tcW w:w="3920" w:type="dxa"/>
            <w:vAlign w:val="bottom"/>
            <w:tcBorders>
              <w:top w:val="single" w:sz="8" w:color="0000FF"/>
            </w:tcBorders>
            <w:gridSpan w:val="11"/>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7"/>
          </w:tcPr>
          <w:p>
            <w:pPr>
              <w:spacing w:after="0"/>
              <w:rPr>
                <w:sz w:val="14"/>
                <w:szCs w:val="14"/>
                <w:color w:val="auto"/>
              </w:rPr>
            </w:pPr>
          </w:p>
        </w:tc>
        <w:tc>
          <w:tcPr>
            <w:tcW w:w="20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8"/>
          </w:tcPr>
          <w:p>
            <w:pPr>
              <w:spacing w:after="0"/>
              <w:rPr>
                <w:rFonts w:ascii="Arial" w:cs="Arial" w:eastAsia="Arial" w:hAnsi="Arial"/>
                <w:sz w:val="18"/>
                <w:szCs w:val="18"/>
                <w:color w:val="0000FF"/>
              </w:rPr>
            </w:pPr>
            <w:hyperlink r:id="rId127">
              <w:r>
                <w:rPr>
                  <w:rFonts w:ascii="Arial" w:cs="Arial" w:eastAsia="Arial" w:hAnsi="Arial"/>
                  <w:sz w:val="18"/>
                  <w:szCs w:val="18"/>
                  <w:color w:val="0000FF"/>
                </w:rPr>
                <w:t>Form of Restricted Stock Unit Award Agreement under the 2018 Equity</w:t>
              </w:r>
            </w:hyperlink>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November 12,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Incentive Plan of Nextdoor, Inc.</w:t>
              </w:r>
            </w:hyperlink>
          </w:p>
        </w:tc>
        <w:tc>
          <w:tcPr>
            <w:tcW w:w="288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7"/>
          </w:tcPr>
          <w:p>
            <w:pPr>
              <w:spacing w:after="0"/>
              <w:rPr>
                <w:sz w:val="14"/>
                <w:szCs w:val="14"/>
                <w:color w:val="auto"/>
              </w:rPr>
            </w:pPr>
          </w:p>
        </w:tc>
        <w:tc>
          <w:tcPr>
            <w:tcW w:w="20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8"/>
          </w:tcPr>
          <w:p>
            <w:pPr>
              <w:spacing w:after="0"/>
              <w:rPr>
                <w:rFonts w:ascii="Arial" w:cs="Arial" w:eastAsia="Arial" w:hAnsi="Arial"/>
                <w:sz w:val="18"/>
                <w:szCs w:val="18"/>
                <w:color w:val="0000FF"/>
              </w:rPr>
            </w:pPr>
            <w:hyperlink r:id="rId128">
              <w:r>
                <w:rPr>
                  <w:rFonts w:ascii="Arial" w:cs="Arial" w:eastAsia="Arial" w:hAnsi="Arial"/>
                  <w:sz w:val="18"/>
                  <w:szCs w:val="18"/>
                  <w:color w:val="0000FF"/>
                </w:rPr>
                <w:t>Nextdoor Holdings, Inc. 2021 Equity Incentive Plan</w:t>
              </w:r>
            </w:hyperlink>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November 12, 2021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8"/>
          </w:tcPr>
          <w:p>
            <w:pPr>
              <w:spacing w:after="0"/>
              <w:rPr>
                <w:rFonts w:ascii="Arial" w:cs="Arial" w:eastAsia="Arial" w:hAnsi="Arial"/>
                <w:sz w:val="18"/>
                <w:szCs w:val="18"/>
                <w:color w:val="0000FF"/>
              </w:rPr>
            </w:pPr>
            <w:hyperlink r:id="rId129">
              <w:r>
                <w:rPr>
                  <w:rFonts w:ascii="Arial" w:cs="Arial" w:eastAsia="Arial" w:hAnsi="Arial"/>
                  <w:sz w:val="18"/>
                  <w:szCs w:val="18"/>
                  <w:color w:val="0000FF"/>
                </w:rPr>
                <w:t>Form of Stock Option Agreement under Nextdoor Holdings, Inc. Equity</w:t>
              </w:r>
            </w:hyperlink>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S-4</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129">
              <w:r>
                <w:rPr>
                  <w:rFonts w:ascii="Arial" w:cs="Arial" w:eastAsia="Arial" w:hAnsi="Arial"/>
                  <w:sz w:val="18"/>
                  <w:szCs w:val="18"/>
                  <w:color w:val="0000FF"/>
                </w:rPr>
                <w:t>Incentive Plan</w:t>
              </w:r>
            </w:hyperlink>
          </w:p>
        </w:tc>
        <w:tc>
          <w:tcPr>
            <w:tcW w:w="260" w:type="dxa"/>
            <w:vAlign w:val="bottom"/>
            <w:gridSpan w:val="7"/>
          </w:tcPr>
          <w:p>
            <w:pPr>
              <w:spacing w:after="0"/>
              <w:rPr>
                <w:sz w:val="14"/>
                <w:szCs w:val="14"/>
                <w:color w:val="auto"/>
              </w:rPr>
            </w:pPr>
          </w:p>
        </w:tc>
        <w:tc>
          <w:tcPr>
            <w:tcW w:w="20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8"/>
          </w:tcPr>
          <w:p>
            <w:pPr>
              <w:spacing w:after="0"/>
              <w:rPr>
                <w:rFonts w:ascii="Arial" w:cs="Arial" w:eastAsia="Arial" w:hAnsi="Arial"/>
                <w:sz w:val="18"/>
                <w:szCs w:val="18"/>
                <w:color w:val="0000FF"/>
                <w:w w:val="95"/>
              </w:rPr>
            </w:pPr>
            <w:hyperlink r:id="rId130">
              <w:r>
                <w:rPr>
                  <w:rFonts w:ascii="Arial" w:cs="Arial" w:eastAsia="Arial" w:hAnsi="Arial"/>
                  <w:sz w:val="18"/>
                  <w:szCs w:val="18"/>
                  <w:color w:val="0000FF"/>
                  <w:w w:val="95"/>
                </w:rPr>
                <w:t>Form of Restricted Stock Unit Award Agreement under Nextdoor Holdings,</w:t>
              </w:r>
            </w:hyperlink>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S-4</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130">
              <w:r>
                <w:rPr>
                  <w:rFonts w:ascii="Arial" w:cs="Arial" w:eastAsia="Arial" w:hAnsi="Arial"/>
                  <w:sz w:val="18"/>
                  <w:szCs w:val="18"/>
                  <w:color w:val="0000FF"/>
                </w:rPr>
                <w:t>Inc. Equity Incentive Plan</w:t>
              </w:r>
            </w:hyperlink>
          </w:p>
        </w:tc>
        <w:tc>
          <w:tcPr>
            <w:tcW w:w="20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220" w:type="dxa"/>
            <w:vAlign w:val="bottom"/>
            <w:gridSpan w:val="1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Borders>
              <w:bottom w:val="single" w:sz="8" w:color="0000FF"/>
            </w:tcBorders>
            <w:gridSpan w:val="14"/>
          </w:tcPr>
          <w:p>
            <w:pPr>
              <w:spacing w:after="0"/>
              <w:rPr>
                <w:rFonts w:ascii="Arial" w:cs="Arial" w:eastAsia="Arial" w:hAnsi="Arial"/>
                <w:sz w:val="18"/>
                <w:szCs w:val="18"/>
                <w:color w:val="0000FF"/>
                <w:w w:val="90"/>
              </w:rPr>
            </w:pPr>
            <w:hyperlink r:id="rId131">
              <w:r>
                <w:rPr>
                  <w:rFonts w:ascii="Arial" w:cs="Arial" w:eastAsia="Arial" w:hAnsi="Arial"/>
                  <w:sz w:val="18"/>
                  <w:szCs w:val="18"/>
                  <w:color w:val="0000FF"/>
                  <w:w w:val="90"/>
                </w:rPr>
                <w:t>Nextdoor Holdings, Inc. 2021 Employee Stock Purchase Plan</w:t>
              </w:r>
            </w:hyperlink>
          </w:p>
        </w:tc>
        <w:tc>
          <w:tcPr>
            <w:tcW w:w="1220" w:type="dxa"/>
            <w:vAlign w:val="bottom"/>
            <w:gridSpan w:val="14"/>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November 12, 2021</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Borders>
              <w:bottom w:val="single" w:sz="8" w:color="0000FF"/>
            </w:tcBorders>
            <w:gridSpan w:val="9"/>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Executive Offer Letter of Sarah Friar</w:t>
              </w:r>
            </w:hyperlink>
          </w:p>
        </w:tc>
        <w:tc>
          <w:tcPr>
            <w:tcW w:w="3000" w:type="dxa"/>
            <w:vAlign w:val="bottom"/>
            <w:gridSpan w:val="19"/>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S-4</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10.15+</w:t>
            </w:r>
          </w:p>
        </w:tc>
        <w:tc>
          <w:tcPr>
            <w:tcW w:w="5840" w:type="dxa"/>
            <w:vAlign w:val="bottom"/>
            <w:gridSpan w:val="18"/>
          </w:tcPr>
          <w:p>
            <w:pPr>
              <w:spacing w:after="0"/>
              <w:rPr>
                <w:rFonts w:ascii="Arial" w:cs="Arial" w:eastAsia="Arial" w:hAnsi="Arial"/>
                <w:sz w:val="18"/>
                <w:szCs w:val="18"/>
                <w:color w:val="0000FF"/>
              </w:rPr>
            </w:pPr>
            <w:hyperlink r:id="rId134">
              <w:r>
                <w:rPr>
                  <w:rFonts w:ascii="Arial" w:cs="Arial" w:eastAsia="Arial" w:hAnsi="Arial"/>
                  <w:sz w:val="18"/>
                  <w:szCs w:val="18"/>
                  <w:color w:val="0000FF"/>
                </w:rPr>
                <w:t>Executive Offer Letter of Michael Doyle</w:t>
              </w:r>
            </w:hyperlink>
          </w:p>
        </w:tc>
        <w:tc>
          <w:tcPr>
            <w:tcW w:w="1020" w:type="dxa"/>
            <w:vAlign w:val="bottom"/>
          </w:tcPr>
          <w:p>
            <w:pPr>
              <w:ind w:left="300"/>
              <w:spacing w:after="0"/>
              <w:rPr>
                <w:sz w:val="20"/>
                <w:szCs w:val="20"/>
                <w:color w:val="auto"/>
              </w:rPr>
            </w:pPr>
            <w:r>
              <w:rPr>
                <w:rFonts w:ascii="Arial" w:cs="Arial" w:eastAsia="Arial" w:hAnsi="Arial"/>
                <w:sz w:val="18"/>
                <w:szCs w:val="18"/>
                <w:color w:val="auto"/>
              </w:rPr>
              <w:t>S-4</w:t>
            </w:r>
          </w:p>
        </w:tc>
        <w:tc>
          <w:tcPr>
            <w:tcW w:w="1180" w:type="dxa"/>
            <w:vAlign w:val="bottom"/>
          </w:tcPr>
          <w:p>
            <w:pPr>
              <w:jc w:val="center"/>
              <w:ind w:left="50"/>
              <w:spacing w:after="0"/>
              <w:rPr>
                <w:sz w:val="20"/>
                <w:szCs w:val="20"/>
                <w:color w:val="auto"/>
              </w:rPr>
            </w:pPr>
            <w:r>
              <w:rPr>
                <w:rFonts w:ascii="Arial" w:cs="Arial" w:eastAsia="Arial" w:hAnsi="Arial"/>
                <w:sz w:val="18"/>
                <w:szCs w:val="18"/>
                <w:color w:val="auto"/>
                <w:w w:val="88"/>
              </w:rPr>
              <w:t>10.19</w:t>
            </w:r>
          </w:p>
        </w:tc>
        <w:tc>
          <w:tcPr>
            <w:tcW w:w="1760" w:type="dxa"/>
            <w:vAlign w:val="bottom"/>
          </w:tcPr>
          <w:p>
            <w:pPr>
              <w:jc w:val="center"/>
              <w:ind w:left="230"/>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8"/>
                <w:szCs w:val="18"/>
                <w:color w:val="auto"/>
              </w:rPr>
              <w:t>10.16+</w:t>
            </w:r>
          </w:p>
        </w:tc>
        <w:tc>
          <w:tcPr>
            <w:tcW w:w="3020" w:type="dxa"/>
            <w:vAlign w:val="bottom"/>
            <w:tcBorders>
              <w:bottom w:val="single" w:sz="8" w:color="0000FF"/>
            </w:tcBorders>
            <w:gridSpan w:val="7"/>
          </w:tcPr>
          <w:p>
            <w:pPr>
              <w:spacing w:after="0"/>
              <w:rPr>
                <w:rFonts w:ascii="Arial" w:cs="Arial" w:eastAsia="Arial" w:hAnsi="Arial"/>
                <w:sz w:val="18"/>
                <w:szCs w:val="18"/>
                <w:color w:val="0000FF"/>
                <w:w w:val="93"/>
              </w:rPr>
            </w:pPr>
            <w:hyperlink r:id="rId135">
              <w:r>
                <w:rPr>
                  <w:rFonts w:ascii="Arial" w:cs="Arial" w:eastAsia="Arial" w:hAnsi="Arial"/>
                  <w:sz w:val="18"/>
                  <w:szCs w:val="18"/>
                  <w:color w:val="0000FF"/>
                  <w:w w:val="93"/>
                </w:rPr>
                <w:t>Executive Offer Letter of Heidi Anderson</w:t>
              </w:r>
            </w:hyperlink>
          </w:p>
        </w:tc>
        <w:tc>
          <w:tcPr>
            <w:tcW w:w="2820" w:type="dxa"/>
            <w:vAlign w:val="bottom"/>
            <w:gridSpan w:val="11"/>
          </w:tcPr>
          <w:p>
            <w:pPr>
              <w:spacing w:after="0"/>
              <w:rPr>
                <w:sz w:val="18"/>
                <w:szCs w:val="18"/>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S-4</w:t>
            </w:r>
          </w:p>
        </w:tc>
        <w:tc>
          <w:tcPr>
            <w:tcW w:w="1180" w:type="dxa"/>
            <w:vAlign w:val="bottom"/>
          </w:tcPr>
          <w:p>
            <w:pPr>
              <w:jc w:val="center"/>
              <w:ind w:left="50"/>
              <w:spacing w:after="0"/>
              <w:rPr>
                <w:sz w:val="20"/>
                <w:szCs w:val="20"/>
                <w:color w:val="auto"/>
              </w:rPr>
            </w:pPr>
            <w:r>
              <w:rPr>
                <w:rFonts w:ascii="Arial" w:cs="Arial" w:eastAsia="Arial" w:hAnsi="Arial"/>
                <w:sz w:val="18"/>
                <w:szCs w:val="18"/>
                <w:color w:val="auto"/>
                <w:w w:val="88"/>
              </w:rPr>
              <w:t>10.20</w:t>
            </w:r>
          </w:p>
        </w:tc>
        <w:tc>
          <w:tcPr>
            <w:tcW w:w="1760" w:type="dxa"/>
            <w:vAlign w:val="bottom"/>
          </w:tcPr>
          <w:p>
            <w:pPr>
              <w:jc w:val="center"/>
              <w:ind w:left="230"/>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8"/>
                <w:szCs w:val="18"/>
                <w:color w:val="auto"/>
              </w:rPr>
              <w:t>10.17+</w:t>
            </w:r>
          </w:p>
        </w:tc>
        <w:tc>
          <w:tcPr>
            <w:tcW w:w="3940" w:type="dxa"/>
            <w:vAlign w:val="bottom"/>
            <w:tcBorders>
              <w:bottom w:val="single" w:sz="8" w:color="0000FF"/>
            </w:tcBorders>
            <w:gridSpan w:val="10"/>
          </w:tcPr>
          <w:p>
            <w:pPr>
              <w:spacing w:after="0"/>
              <w:rPr>
                <w:rFonts w:ascii="Arial" w:cs="Arial" w:eastAsia="Arial" w:hAnsi="Arial"/>
                <w:sz w:val="18"/>
                <w:szCs w:val="18"/>
                <w:color w:val="0000FF"/>
                <w:w w:val="91"/>
              </w:rPr>
            </w:pPr>
            <w:hyperlink r:id="rId136">
              <w:r>
                <w:rPr>
                  <w:rFonts w:ascii="Arial" w:cs="Arial" w:eastAsia="Arial" w:hAnsi="Arial"/>
                  <w:sz w:val="18"/>
                  <w:szCs w:val="18"/>
                  <w:color w:val="0000FF"/>
                  <w:w w:val="91"/>
                </w:rPr>
                <w:t>2019 Incentive Compensation Plan of Heidi Andersen</w:t>
              </w:r>
            </w:hyperlink>
          </w:p>
        </w:tc>
        <w:tc>
          <w:tcPr>
            <w:tcW w:w="1900" w:type="dxa"/>
            <w:vAlign w:val="bottom"/>
            <w:gridSpan w:val="8"/>
          </w:tcPr>
          <w:p>
            <w:pPr>
              <w:spacing w:after="0"/>
              <w:rPr>
                <w:sz w:val="18"/>
                <w:szCs w:val="18"/>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S-4</w:t>
            </w:r>
          </w:p>
        </w:tc>
        <w:tc>
          <w:tcPr>
            <w:tcW w:w="1180" w:type="dxa"/>
            <w:vAlign w:val="bottom"/>
          </w:tcPr>
          <w:p>
            <w:pPr>
              <w:jc w:val="center"/>
              <w:ind w:left="50"/>
              <w:spacing w:after="0"/>
              <w:rPr>
                <w:sz w:val="20"/>
                <w:szCs w:val="20"/>
                <w:color w:val="auto"/>
              </w:rPr>
            </w:pPr>
            <w:r>
              <w:rPr>
                <w:rFonts w:ascii="Arial" w:cs="Arial" w:eastAsia="Arial" w:hAnsi="Arial"/>
                <w:sz w:val="18"/>
                <w:szCs w:val="18"/>
                <w:color w:val="auto"/>
                <w:w w:val="88"/>
              </w:rPr>
              <w:t>10.22</w:t>
            </w:r>
          </w:p>
        </w:tc>
        <w:tc>
          <w:tcPr>
            <w:tcW w:w="1760" w:type="dxa"/>
            <w:vAlign w:val="bottom"/>
          </w:tcPr>
          <w:p>
            <w:pPr>
              <w:jc w:val="center"/>
              <w:ind w:left="230"/>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8"/>
                <w:szCs w:val="18"/>
                <w:color w:val="auto"/>
              </w:rPr>
              <w:t>10.18+*</w:t>
            </w:r>
          </w:p>
        </w:tc>
        <w:tc>
          <w:tcPr>
            <w:tcW w:w="39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2023 Incentive Compensation Plan of Heidi Andersen</w:t>
            </w:r>
          </w:p>
        </w:tc>
        <w:tc>
          <w:tcPr>
            <w:tcW w:w="1920" w:type="dxa"/>
            <w:vAlign w:val="bottom"/>
            <w:gridSpan w:val="9"/>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20"/>
                <w:szCs w:val="20"/>
                <w:color w:val="auto"/>
              </w:rPr>
            </w:pPr>
            <w:r>
              <w:rPr>
                <w:rFonts w:ascii="Arial" w:cs="Arial" w:eastAsia="Arial" w:hAnsi="Arial"/>
                <w:sz w:val="18"/>
                <w:szCs w:val="18"/>
                <w:color w:val="auto"/>
              </w:rPr>
              <w:t>10.19+</w:t>
            </w:r>
          </w:p>
        </w:tc>
        <w:tc>
          <w:tcPr>
            <w:tcW w:w="2580" w:type="dxa"/>
            <w:vAlign w:val="bottom"/>
            <w:tcBorders>
              <w:bottom w:val="single" w:sz="8" w:color="0000FF"/>
            </w:tcBorders>
            <w:gridSpan w:val="5"/>
          </w:tcPr>
          <w:p>
            <w:pPr>
              <w:spacing w:after="0"/>
              <w:rPr>
                <w:rFonts w:ascii="Arial" w:cs="Arial" w:eastAsia="Arial" w:hAnsi="Arial"/>
                <w:sz w:val="18"/>
                <w:szCs w:val="18"/>
                <w:color w:val="0000FF"/>
                <w:w w:val="92"/>
              </w:rPr>
            </w:pPr>
            <w:hyperlink r:id="rId137">
              <w:r>
                <w:rPr>
                  <w:rFonts w:ascii="Arial" w:cs="Arial" w:eastAsia="Arial" w:hAnsi="Arial"/>
                  <w:sz w:val="18"/>
                  <w:szCs w:val="18"/>
                  <w:color w:val="0000FF"/>
                  <w:w w:val="92"/>
                </w:rPr>
                <w:t>Executive Offer Letter of John Orta</w:t>
              </w:r>
            </w:hyperlink>
          </w:p>
        </w:tc>
        <w:tc>
          <w:tcPr>
            <w:tcW w:w="3260" w:type="dxa"/>
            <w:vAlign w:val="bottom"/>
            <w:gridSpan w:val="13"/>
          </w:tcPr>
          <w:p>
            <w:pPr>
              <w:spacing w:after="0"/>
              <w:rPr>
                <w:sz w:val="18"/>
                <w:szCs w:val="18"/>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S-4</w:t>
            </w:r>
          </w:p>
        </w:tc>
        <w:tc>
          <w:tcPr>
            <w:tcW w:w="1180" w:type="dxa"/>
            <w:vAlign w:val="bottom"/>
          </w:tcPr>
          <w:p>
            <w:pPr>
              <w:jc w:val="center"/>
              <w:ind w:left="50"/>
              <w:spacing w:after="0"/>
              <w:rPr>
                <w:sz w:val="20"/>
                <w:szCs w:val="20"/>
                <w:color w:val="auto"/>
              </w:rPr>
            </w:pPr>
            <w:r>
              <w:rPr>
                <w:rFonts w:ascii="Arial" w:cs="Arial" w:eastAsia="Arial" w:hAnsi="Arial"/>
                <w:sz w:val="18"/>
                <w:szCs w:val="18"/>
                <w:color w:val="auto"/>
                <w:w w:val="88"/>
              </w:rPr>
              <w:t>10.21</w:t>
            </w:r>
          </w:p>
        </w:tc>
        <w:tc>
          <w:tcPr>
            <w:tcW w:w="1760" w:type="dxa"/>
            <w:vAlign w:val="bottom"/>
          </w:tcPr>
          <w:p>
            <w:pPr>
              <w:jc w:val="center"/>
              <w:ind w:left="230"/>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r>
        <w:trPr>
          <w:trHeight w:val="210"/>
        </w:trPr>
        <w:tc>
          <w:tcPr>
            <w:tcW w:w="1240" w:type="dxa"/>
            <w:vAlign w:val="bottom"/>
          </w:tcPr>
          <w:p>
            <w:pPr>
              <w:spacing w:after="0"/>
              <w:rPr>
                <w:sz w:val="20"/>
                <w:szCs w:val="20"/>
                <w:color w:val="auto"/>
              </w:rPr>
            </w:pPr>
            <w:r>
              <w:rPr>
                <w:rFonts w:ascii="Arial" w:cs="Arial" w:eastAsia="Arial" w:hAnsi="Arial"/>
                <w:sz w:val="18"/>
                <w:szCs w:val="18"/>
                <w:color w:val="auto"/>
              </w:rPr>
              <w:t>10.20+</w:t>
            </w:r>
          </w:p>
        </w:tc>
        <w:tc>
          <w:tcPr>
            <w:tcW w:w="5840" w:type="dxa"/>
            <w:vAlign w:val="bottom"/>
            <w:gridSpan w:val="18"/>
          </w:tcPr>
          <w:p>
            <w:pPr>
              <w:spacing w:after="0"/>
              <w:rPr>
                <w:rFonts w:ascii="Arial" w:cs="Arial" w:eastAsia="Arial" w:hAnsi="Arial"/>
                <w:sz w:val="18"/>
                <w:szCs w:val="18"/>
                <w:color w:val="0000FF"/>
              </w:rPr>
            </w:pPr>
            <w:hyperlink r:id="rId138">
              <w:r>
                <w:rPr>
                  <w:rFonts w:ascii="Arial" w:cs="Arial" w:eastAsia="Arial" w:hAnsi="Arial"/>
                  <w:sz w:val="18"/>
                  <w:szCs w:val="18"/>
                  <w:color w:val="0000FF"/>
                </w:rPr>
                <w:t>Form of Indemnity Agreement</w:t>
              </w:r>
            </w:hyperlink>
          </w:p>
        </w:tc>
        <w:tc>
          <w:tcPr>
            <w:tcW w:w="1020" w:type="dxa"/>
            <w:vAlign w:val="bottom"/>
          </w:tcPr>
          <w:p>
            <w:pPr>
              <w:ind w:left="280"/>
              <w:spacing w:after="0"/>
              <w:rPr>
                <w:sz w:val="20"/>
                <w:szCs w:val="20"/>
                <w:color w:val="auto"/>
              </w:rPr>
            </w:pPr>
            <w:r>
              <w:rPr>
                <w:rFonts w:ascii="Arial" w:cs="Arial" w:eastAsia="Arial" w:hAnsi="Arial"/>
                <w:sz w:val="18"/>
                <w:szCs w:val="18"/>
                <w:color w:val="auto"/>
              </w:rPr>
              <w:t>8-K</w:t>
            </w:r>
          </w:p>
        </w:tc>
        <w:tc>
          <w:tcPr>
            <w:tcW w:w="1180" w:type="dxa"/>
            <w:vAlign w:val="bottom"/>
          </w:tcPr>
          <w:p>
            <w:pPr>
              <w:jc w:val="center"/>
              <w:ind w:left="50"/>
              <w:spacing w:after="0"/>
              <w:rPr>
                <w:sz w:val="20"/>
                <w:szCs w:val="20"/>
                <w:color w:val="auto"/>
              </w:rPr>
            </w:pPr>
            <w:r>
              <w:rPr>
                <w:rFonts w:ascii="Arial" w:cs="Arial" w:eastAsia="Arial" w:hAnsi="Arial"/>
                <w:sz w:val="18"/>
                <w:szCs w:val="18"/>
                <w:color w:val="auto"/>
                <w:w w:val="91"/>
              </w:rPr>
              <w:t>10.6</w:t>
            </w:r>
          </w:p>
        </w:tc>
        <w:tc>
          <w:tcPr>
            <w:tcW w:w="1760" w:type="dxa"/>
            <w:vAlign w:val="bottom"/>
          </w:tcPr>
          <w:p>
            <w:pPr>
              <w:jc w:val="center"/>
              <w:ind w:left="230"/>
              <w:spacing w:after="0"/>
              <w:rPr>
                <w:sz w:val="20"/>
                <w:szCs w:val="20"/>
                <w:color w:val="auto"/>
              </w:rPr>
            </w:pPr>
            <w:r>
              <w:rPr>
                <w:rFonts w:ascii="Arial" w:cs="Arial" w:eastAsia="Arial" w:hAnsi="Arial"/>
                <w:sz w:val="18"/>
                <w:szCs w:val="18"/>
                <w:color w:val="auto"/>
                <w:w w:val="91"/>
              </w:rPr>
              <w:t>November 12, 2021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8"/>
                <w:szCs w:val="18"/>
                <w:color w:val="auto"/>
              </w:rPr>
              <w:t>10.21+</w:t>
            </w:r>
          </w:p>
        </w:tc>
        <w:tc>
          <w:tcPr>
            <w:tcW w:w="5840" w:type="dxa"/>
            <w:vAlign w:val="bottom"/>
            <w:gridSpan w:val="18"/>
          </w:tcPr>
          <w:p>
            <w:pPr>
              <w:spacing w:after="0"/>
              <w:rPr>
                <w:rFonts w:ascii="Arial" w:cs="Arial" w:eastAsia="Arial" w:hAnsi="Arial"/>
                <w:sz w:val="18"/>
                <w:szCs w:val="18"/>
                <w:color w:val="0000FF"/>
              </w:rPr>
            </w:pPr>
            <w:hyperlink r:id="rId139">
              <w:r>
                <w:rPr>
                  <w:rFonts w:ascii="Arial" w:cs="Arial" w:eastAsia="Arial" w:hAnsi="Arial"/>
                  <w:sz w:val="18"/>
                  <w:szCs w:val="18"/>
                  <w:color w:val="0000FF"/>
                </w:rPr>
                <w:t>Form of Change in Control and Severance Agreement</w:t>
              </w:r>
            </w:hyperlink>
          </w:p>
        </w:tc>
        <w:tc>
          <w:tcPr>
            <w:tcW w:w="1020" w:type="dxa"/>
            <w:vAlign w:val="bottom"/>
          </w:tcPr>
          <w:p>
            <w:pPr>
              <w:ind w:left="300"/>
              <w:spacing w:after="0"/>
              <w:rPr>
                <w:sz w:val="20"/>
                <w:szCs w:val="20"/>
                <w:color w:val="auto"/>
              </w:rPr>
            </w:pPr>
            <w:r>
              <w:rPr>
                <w:rFonts w:ascii="Arial" w:cs="Arial" w:eastAsia="Arial" w:hAnsi="Arial"/>
                <w:sz w:val="18"/>
                <w:szCs w:val="18"/>
                <w:color w:val="auto"/>
              </w:rPr>
              <w:t>S-4</w:t>
            </w:r>
          </w:p>
        </w:tc>
        <w:tc>
          <w:tcPr>
            <w:tcW w:w="1180" w:type="dxa"/>
            <w:vAlign w:val="bottom"/>
          </w:tcPr>
          <w:p>
            <w:pPr>
              <w:jc w:val="center"/>
              <w:ind w:left="50"/>
              <w:spacing w:after="0"/>
              <w:rPr>
                <w:sz w:val="20"/>
                <w:szCs w:val="20"/>
                <w:color w:val="auto"/>
              </w:rPr>
            </w:pPr>
            <w:r>
              <w:rPr>
                <w:rFonts w:ascii="Arial" w:cs="Arial" w:eastAsia="Arial" w:hAnsi="Arial"/>
                <w:sz w:val="18"/>
                <w:szCs w:val="18"/>
                <w:color w:val="auto"/>
                <w:w w:val="88"/>
              </w:rPr>
              <w:t>10.23</w:t>
            </w:r>
          </w:p>
        </w:tc>
        <w:tc>
          <w:tcPr>
            <w:tcW w:w="1760" w:type="dxa"/>
            <w:vAlign w:val="bottom"/>
          </w:tcPr>
          <w:p>
            <w:pPr>
              <w:jc w:val="center"/>
              <w:ind w:left="230"/>
              <w:spacing w:after="0"/>
              <w:rPr>
                <w:sz w:val="20"/>
                <w:szCs w:val="20"/>
                <w:color w:val="auto"/>
              </w:rPr>
            </w:pPr>
            <w:r>
              <w:rPr>
                <w:rFonts w:ascii="Arial" w:cs="Arial" w:eastAsia="Arial" w:hAnsi="Arial"/>
                <w:sz w:val="18"/>
                <w:szCs w:val="18"/>
                <w:color w:val="auto"/>
                <w:w w:val="89"/>
              </w:rPr>
              <w:t>July 20, 2021</w:t>
            </w:r>
          </w:p>
        </w:tc>
        <w:tc>
          <w:tcPr>
            <w:tcW w:w="0" w:type="dxa"/>
            <w:vAlign w:val="bottom"/>
          </w:tcPr>
          <w:p>
            <w:pPr>
              <w:spacing w:after="0"/>
              <w:rPr>
                <w:sz w:val="1"/>
                <w:szCs w:val="1"/>
                <w:color w:val="auto"/>
              </w:rPr>
            </w:pPr>
          </w:p>
        </w:tc>
      </w:tr>
      <w:tr>
        <w:trPr>
          <w:trHeight w:val="210"/>
        </w:trPr>
        <w:tc>
          <w:tcPr>
            <w:tcW w:w="1240" w:type="dxa"/>
            <w:vAlign w:val="bottom"/>
          </w:tcPr>
          <w:p>
            <w:pPr>
              <w:spacing w:after="0"/>
              <w:rPr>
                <w:sz w:val="20"/>
                <w:szCs w:val="20"/>
                <w:color w:val="auto"/>
              </w:rPr>
            </w:pPr>
            <w:r>
              <w:rPr>
                <w:rFonts w:ascii="Arial" w:cs="Arial" w:eastAsia="Arial" w:hAnsi="Arial"/>
                <w:sz w:val="18"/>
                <w:szCs w:val="18"/>
                <w:color w:val="auto"/>
              </w:rPr>
              <w:t>21.1</w:t>
            </w:r>
          </w:p>
        </w:tc>
        <w:tc>
          <w:tcPr>
            <w:tcW w:w="3900" w:type="dxa"/>
            <w:vAlign w:val="bottom"/>
            <w:tcBorders>
              <w:top w:val="single" w:sz="8" w:color="0000FF"/>
            </w:tcBorders>
            <w:gridSpan w:val="8"/>
          </w:tcPr>
          <w:p>
            <w:pPr>
              <w:spacing w:after="0"/>
              <w:rPr>
                <w:rFonts w:ascii="Arial" w:cs="Arial" w:eastAsia="Arial" w:hAnsi="Arial"/>
                <w:sz w:val="18"/>
                <w:szCs w:val="18"/>
                <w:color w:val="0000FF"/>
              </w:rPr>
            </w:pPr>
            <w:hyperlink r:id="rId140">
              <w:r>
                <w:rPr>
                  <w:rFonts w:ascii="Arial" w:cs="Arial" w:eastAsia="Arial" w:hAnsi="Arial"/>
                  <w:sz w:val="18"/>
                  <w:szCs w:val="18"/>
                  <w:color w:val="0000FF"/>
                </w:rPr>
                <w:t>List of Subsidiaries</w:t>
              </w:r>
            </w:hyperlink>
          </w:p>
        </w:tc>
        <w:tc>
          <w:tcPr>
            <w:tcW w:w="1940" w:type="dxa"/>
            <w:vAlign w:val="bottom"/>
            <w:gridSpan w:val="10"/>
          </w:tcPr>
          <w:p>
            <w:pPr>
              <w:spacing w:after="0"/>
              <w:rPr>
                <w:sz w:val="18"/>
                <w:szCs w:val="18"/>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8-K</w:t>
            </w:r>
          </w:p>
        </w:tc>
        <w:tc>
          <w:tcPr>
            <w:tcW w:w="1180" w:type="dxa"/>
            <w:vAlign w:val="bottom"/>
          </w:tcPr>
          <w:p>
            <w:pPr>
              <w:jc w:val="center"/>
              <w:ind w:left="50"/>
              <w:spacing w:after="0"/>
              <w:rPr>
                <w:sz w:val="20"/>
                <w:szCs w:val="20"/>
                <w:color w:val="auto"/>
              </w:rPr>
            </w:pPr>
            <w:r>
              <w:rPr>
                <w:rFonts w:ascii="Arial" w:cs="Arial" w:eastAsia="Arial" w:hAnsi="Arial"/>
                <w:sz w:val="18"/>
                <w:szCs w:val="18"/>
                <w:color w:val="auto"/>
                <w:w w:val="91"/>
              </w:rPr>
              <w:t>21.1</w:t>
            </w:r>
          </w:p>
        </w:tc>
        <w:tc>
          <w:tcPr>
            <w:tcW w:w="1760" w:type="dxa"/>
            <w:vAlign w:val="bottom"/>
          </w:tcPr>
          <w:p>
            <w:pPr>
              <w:jc w:val="center"/>
              <w:ind w:left="230"/>
              <w:spacing w:after="0"/>
              <w:rPr>
                <w:sz w:val="20"/>
                <w:szCs w:val="20"/>
                <w:color w:val="auto"/>
              </w:rPr>
            </w:pPr>
            <w:r>
              <w:rPr>
                <w:rFonts w:ascii="Arial" w:cs="Arial" w:eastAsia="Arial" w:hAnsi="Arial"/>
                <w:sz w:val="18"/>
                <w:szCs w:val="18"/>
                <w:color w:val="auto"/>
                <w:w w:val="91"/>
              </w:rPr>
              <w:t>November 12, 2021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8"/>
                <w:szCs w:val="18"/>
                <w:color w:val="auto"/>
              </w:rPr>
              <w:t>23.1*</w:t>
            </w:r>
          </w:p>
        </w:tc>
        <w:tc>
          <w:tcPr>
            <w:tcW w:w="5840" w:type="dxa"/>
            <w:vAlign w:val="bottom"/>
            <w:gridSpan w:val="18"/>
          </w:tcPr>
          <w:p>
            <w:pPr>
              <w:spacing w:after="0"/>
              <w:rPr>
                <w:sz w:val="20"/>
                <w:szCs w:val="20"/>
                <w:color w:val="auto"/>
              </w:rPr>
            </w:pPr>
            <w:r>
              <w:rPr>
                <w:rFonts w:ascii="Arial" w:cs="Arial" w:eastAsia="Arial" w:hAnsi="Arial"/>
                <w:sz w:val="18"/>
                <w:szCs w:val="18"/>
                <w:color w:val="0000FF"/>
                <w:w w:val="98"/>
              </w:rPr>
              <w:t>Consent of Ernst &amp; Young, LLP, independent registered public accounting</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9"/>
              </w:rPr>
              <w:t>firm</w:t>
            </w:r>
          </w:p>
        </w:tc>
        <w:tc>
          <w:tcPr>
            <w:tcW w:w="50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24.1*</w:t>
            </w:r>
          </w:p>
        </w:tc>
        <w:tc>
          <w:tcPr>
            <w:tcW w:w="5840" w:type="dxa"/>
            <w:vAlign w:val="bottom"/>
            <w:gridSpan w:val="18"/>
          </w:tcPr>
          <w:p>
            <w:pPr>
              <w:spacing w:after="0"/>
              <w:rPr>
                <w:sz w:val="20"/>
                <w:szCs w:val="20"/>
                <w:color w:val="auto"/>
              </w:rPr>
            </w:pPr>
            <w:r>
              <w:rPr>
                <w:rFonts w:ascii="Arial" w:cs="Arial" w:eastAsia="Arial" w:hAnsi="Arial"/>
                <w:sz w:val="18"/>
                <w:szCs w:val="18"/>
                <w:color w:val="0000FF"/>
              </w:rPr>
              <w:t>Power of Attorney (reference is made to the signature page thereto)</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800" w:type="dxa"/>
            <w:vAlign w:val="bottom"/>
            <w:gridSpan w:val="8"/>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54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2"/>
              </w:rPr>
              <w:t>Certification of Principal Executive Officer pursuant to Rule 13a-14(a) and</w:t>
            </w:r>
          </w:p>
        </w:tc>
        <w:tc>
          <w:tcPr>
            <w:tcW w:w="42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840" w:type="dxa"/>
            <w:vAlign w:val="bottom"/>
            <w:gridSpan w:val="18"/>
          </w:tcPr>
          <w:p>
            <w:pPr>
              <w:spacing w:after="0" w:line="156" w:lineRule="exact"/>
              <w:rPr>
                <w:sz w:val="20"/>
                <w:szCs w:val="20"/>
                <w:color w:val="auto"/>
              </w:rPr>
            </w:pPr>
            <w:r>
              <w:rPr>
                <w:rFonts w:ascii="Arial" w:cs="Arial" w:eastAsia="Arial" w:hAnsi="Arial"/>
                <w:sz w:val="18"/>
                <w:szCs w:val="18"/>
                <w:color w:val="0000FF"/>
                <w:w w:val="93"/>
              </w:rPr>
              <w:t>15d-14(a) under the Exchange Act, as adopted pursuant to Section 302 of the</w:t>
            </w: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556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8"/>
                <w:szCs w:val="18"/>
                <w:color w:val="0000FF"/>
              </w:rPr>
              <w:t>Sarbanes-Oxley Act of 2002</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5840" w:type="dxa"/>
            <w:vAlign w:val="bottom"/>
            <w:gridSpan w:val="18"/>
          </w:tcPr>
          <w:p>
            <w:pPr>
              <w:spacing w:after="0"/>
              <w:rPr>
                <w:sz w:val="20"/>
                <w:szCs w:val="20"/>
                <w:color w:val="auto"/>
              </w:rPr>
            </w:pPr>
            <w:r>
              <w:rPr>
                <w:rFonts w:ascii="Arial" w:cs="Arial" w:eastAsia="Arial" w:hAnsi="Arial"/>
                <w:sz w:val="18"/>
                <w:szCs w:val="18"/>
                <w:color w:val="0000FF"/>
              </w:rPr>
              <w:t>Certification of Principal Financial Officer pursuant to Rule 13a-14(a) and</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38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w w:val="90"/>
              </w:rPr>
              <w:t>15d-14(a) under the Exchange Act, as adopted pursuant to Section 302 of</w:t>
            </w:r>
          </w:p>
        </w:tc>
        <w:tc>
          <w:tcPr>
            <w:tcW w:w="460" w:type="dxa"/>
            <w:vAlign w:val="bottom"/>
            <w:gridSpan w:val="4"/>
          </w:tcPr>
          <w:p>
            <w:pPr>
              <w:spacing w:after="0" w:line="156" w:lineRule="exact"/>
              <w:rPr>
                <w:sz w:val="20"/>
                <w:szCs w:val="20"/>
                <w:color w:val="auto"/>
              </w:rPr>
            </w:pPr>
            <w:r>
              <w:rPr>
                <w:rFonts w:ascii="Arial" w:cs="Arial" w:eastAsia="Arial" w:hAnsi="Arial"/>
                <w:sz w:val="18"/>
                <w:szCs w:val="18"/>
                <w:color w:val="0000FF"/>
              </w:rPr>
              <w:t>the</w:t>
            </w: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8"/>
                <w:szCs w:val="18"/>
                <w:color w:val="auto"/>
              </w:rPr>
              <w:t>32.1</w:t>
            </w:r>
            <w:r>
              <w:rPr>
                <w:rFonts w:ascii="Arial" w:cs="Arial" w:eastAsia="Arial" w:hAnsi="Arial"/>
                <w:sz w:val="23"/>
                <w:szCs w:val="23"/>
                <w:color w:val="auto"/>
                <w:vertAlign w:val="superscript"/>
              </w:rPr>
              <w:t>#</w:t>
            </w:r>
          </w:p>
        </w:tc>
        <w:tc>
          <w:tcPr>
            <w:tcW w:w="556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8"/>
                <w:szCs w:val="18"/>
                <w:color w:val="0000FF"/>
              </w:rPr>
              <w:t>Sarbanes-Oxley Act of 2002</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vMerge w:val="continue"/>
          </w:tcPr>
          <w:p>
            <w:pPr>
              <w:spacing w:after="0"/>
              <w:rPr>
                <w:sz w:val="18"/>
                <w:szCs w:val="18"/>
                <w:color w:val="auto"/>
              </w:rPr>
            </w:pPr>
          </w:p>
        </w:tc>
        <w:tc>
          <w:tcPr>
            <w:tcW w:w="5840" w:type="dxa"/>
            <w:vAlign w:val="bottom"/>
            <w:gridSpan w:val="18"/>
          </w:tcPr>
          <w:p>
            <w:pPr>
              <w:spacing w:after="0"/>
              <w:rPr>
                <w:sz w:val="20"/>
                <w:szCs w:val="20"/>
                <w:color w:val="auto"/>
              </w:rPr>
            </w:pPr>
            <w:r>
              <w:rPr>
                <w:rFonts w:ascii="Arial" w:cs="Arial" w:eastAsia="Arial" w:hAnsi="Arial"/>
                <w:sz w:val="18"/>
                <w:szCs w:val="18"/>
                <w:color w:val="0000FF"/>
              </w:rPr>
              <w:t>Certification of Principal Executive Officer pursuant to 18 U.S.C. Section</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320" w:type="dxa"/>
            <w:vAlign w:val="bottom"/>
            <w:tcBorders>
              <w:right w:val="single" w:sz="8" w:color="0000FF"/>
            </w:tcBorders>
            <w:gridSpan w:val="1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tcPr>
          <w:p>
            <w:pPr>
              <w:spacing w:after="0"/>
              <w:rPr>
                <w:sz w:val="13"/>
                <w:szCs w:val="13"/>
                <w:color w:val="auto"/>
              </w:rPr>
            </w:pPr>
          </w:p>
        </w:tc>
        <w:tc>
          <w:tcPr>
            <w:tcW w:w="5840" w:type="dxa"/>
            <w:vAlign w:val="bottom"/>
            <w:gridSpan w:val="18"/>
          </w:tcPr>
          <w:p>
            <w:pPr>
              <w:spacing w:after="0" w:line="156" w:lineRule="exact"/>
              <w:rPr>
                <w:sz w:val="20"/>
                <w:szCs w:val="20"/>
                <w:color w:val="auto"/>
              </w:rPr>
            </w:pPr>
            <w:r>
              <w:rPr>
                <w:rFonts w:ascii="Arial" w:cs="Arial" w:eastAsia="Arial" w:hAnsi="Arial"/>
                <w:sz w:val="18"/>
                <w:szCs w:val="18"/>
                <w:color w:val="0000FF"/>
                <w:w w:val="95"/>
              </w:rPr>
              <w:t>1350 as adopted pursuant to Section 906 of the Sarbanes-Oxley Act of 2002</w:t>
            </w: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line="223" w:lineRule="exact"/>
              <w:rPr>
                <w:sz w:val="20"/>
                <w:szCs w:val="20"/>
                <w:color w:val="auto"/>
              </w:rPr>
            </w:pPr>
            <w:r>
              <w:rPr>
                <w:rFonts w:ascii="Arial" w:cs="Arial" w:eastAsia="Arial" w:hAnsi="Arial"/>
                <w:sz w:val="18"/>
                <w:szCs w:val="18"/>
                <w:color w:val="auto"/>
              </w:rPr>
              <w:t>32.2</w:t>
            </w:r>
            <w:r>
              <w:rPr>
                <w:rFonts w:ascii="Arial" w:cs="Arial" w:eastAsia="Arial" w:hAnsi="Arial"/>
                <w:sz w:val="23"/>
                <w:szCs w:val="23"/>
                <w:color w:val="auto"/>
                <w:vertAlign w:val="superscript"/>
              </w:rPr>
              <w:t>#</w:t>
            </w:r>
          </w:p>
        </w:tc>
        <w:tc>
          <w:tcPr>
            <w:tcW w:w="53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3"/>
              </w:rPr>
              <w:t>Certification of Principal Financial Officer pursuant to 18 U.S.C. Section</w:t>
            </w:r>
          </w:p>
        </w:tc>
        <w:tc>
          <w:tcPr>
            <w:tcW w:w="160" w:type="dxa"/>
            <w:vAlign w:val="bottom"/>
            <w:tcBorders>
              <w:top w:val="single" w:sz="8" w:color="0000FF"/>
            </w:tcBorders>
            <w:gridSpan w:val="4"/>
          </w:tcPr>
          <w:p>
            <w:pPr>
              <w:spacing w:after="0"/>
              <w:rPr>
                <w:sz w:val="19"/>
                <w:szCs w:val="19"/>
                <w:color w:val="auto"/>
              </w:rPr>
            </w:pPr>
          </w:p>
        </w:tc>
        <w:tc>
          <w:tcPr>
            <w:tcW w:w="36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840" w:type="dxa"/>
            <w:vAlign w:val="bottom"/>
            <w:gridSpan w:val="18"/>
          </w:tcPr>
          <w:p>
            <w:pPr>
              <w:spacing w:after="0" w:line="156" w:lineRule="exact"/>
              <w:rPr>
                <w:sz w:val="20"/>
                <w:szCs w:val="20"/>
                <w:color w:val="auto"/>
              </w:rPr>
            </w:pPr>
            <w:r>
              <w:rPr>
                <w:rFonts w:ascii="Arial" w:cs="Arial" w:eastAsia="Arial" w:hAnsi="Arial"/>
                <w:sz w:val="18"/>
                <w:szCs w:val="18"/>
                <w:color w:val="0000FF"/>
                <w:w w:val="95"/>
              </w:rPr>
              <w:t>1350 as adopted pursuant to Section 906 of the Sarbanes-Oxley Act of 2002</w:t>
            </w: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548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auto"/>
              </w:rPr>
              <w:t>Inline XBRL Instance Document.</w:t>
            </w:r>
          </w:p>
        </w:tc>
        <w:tc>
          <w:tcPr>
            <w:tcW w:w="360" w:type="dxa"/>
            <w:vAlign w:val="bottom"/>
            <w:gridSpan w:val="2"/>
          </w:tcPr>
          <w:p>
            <w:pPr>
              <w:spacing w:after="0"/>
              <w:rPr>
                <w:sz w:val="22"/>
                <w:szCs w:val="22"/>
                <w:color w:val="auto"/>
              </w:rPr>
            </w:pPr>
          </w:p>
        </w:tc>
        <w:tc>
          <w:tcPr>
            <w:tcW w:w="1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584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584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584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584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584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5840" w:type="dxa"/>
            <w:vAlign w:val="bottom"/>
            <w:gridSpan w:val="18"/>
          </w:tcPr>
          <w:p>
            <w:pPr>
              <w:spacing w:after="0" w:line="176" w:lineRule="exact"/>
              <w:rPr>
                <w:sz w:val="20"/>
                <w:szCs w:val="20"/>
                <w:color w:val="auto"/>
              </w:rPr>
            </w:pPr>
            <w:r>
              <w:rPr>
                <w:rFonts w:ascii="Arial" w:cs="Arial" w:eastAsia="Arial" w:hAnsi="Arial"/>
                <w:sz w:val="18"/>
                <w:szCs w:val="18"/>
                <w:color w:val="auto"/>
              </w:rPr>
              <w:t>Cover Page Interactive Date File (formatted in iXBRL and contained in</w:t>
            </w: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5840" w:type="dxa"/>
            <w:vAlign w:val="bottom"/>
            <w:gridSpan w:val="18"/>
          </w:tcPr>
          <w:p>
            <w:pPr>
              <w:spacing w:after="0"/>
              <w:rPr>
                <w:sz w:val="20"/>
                <w:szCs w:val="20"/>
                <w:color w:val="auto"/>
              </w:rPr>
            </w:pPr>
            <w:r>
              <w:rPr>
                <w:rFonts w:ascii="Arial" w:cs="Arial" w:eastAsia="Arial" w:hAnsi="Arial"/>
                <w:sz w:val="18"/>
                <w:szCs w:val="18"/>
                <w:color w:val="auto"/>
              </w:rPr>
              <w:t>Exhibit 101)</w:t>
            </w: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3" w:lineRule="exact"/>
        <w:rPr>
          <w:sz w:val="20"/>
          <w:szCs w:val="20"/>
          <w:color w:val="auto"/>
        </w:rPr>
      </w:pPr>
    </w:p>
    <w:p>
      <w:pPr>
        <w:ind w:left="340" w:hanging="332"/>
        <w:spacing w:after="0" w:line="257" w:lineRule="auto"/>
        <w:tabs>
          <w:tab w:leader="none" w:pos="304" w:val="left"/>
        </w:tabs>
        <w:numPr>
          <w:ilvl w:val="0"/>
          <w:numId w:val="41"/>
        </w:numPr>
        <w:rPr>
          <w:rFonts w:ascii="Arial" w:cs="Arial" w:eastAsia="Arial" w:hAnsi="Arial"/>
          <w:sz w:val="14"/>
          <w:szCs w:val="14"/>
          <w:color w:val="auto"/>
        </w:rPr>
      </w:pPr>
      <w:r>
        <w:rPr>
          <w:rFonts w:ascii="Arial" w:cs="Arial" w:eastAsia="Arial" w:hAnsi="Arial"/>
          <w:sz w:val="14"/>
          <w:szCs w:val="14"/>
          <w:color w:val="auto"/>
        </w:rPr>
        <w:t>Certain of the exhibits and schedules to this Exhibit have been omitted in accordance with Regulation S-K Item 601(a)(5). We agree to furnish a copy of all omitted exhibits and schedules to the SEC upon its request.</w:t>
      </w:r>
    </w:p>
    <w:p>
      <w:pPr>
        <w:spacing w:after="0" w:line="1" w:lineRule="exact"/>
        <w:rPr>
          <w:sz w:val="20"/>
          <w:szCs w:val="20"/>
          <w:color w:val="auto"/>
        </w:rPr>
      </w:pPr>
    </w:p>
    <w:p>
      <w:pPr>
        <w:ind w:right="6240" w:firstLine="8"/>
        <w:spacing w:after="0" w:line="261" w:lineRule="auto"/>
        <w:tabs>
          <w:tab w:leader="none" w:pos="297"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contract or arrangement. * Filed herewith.</w:t>
      </w:r>
    </w:p>
    <w:p>
      <w:pPr>
        <w:ind w:left="340" w:right="160" w:hanging="324"/>
        <w:spacing w:after="0" w:line="263" w:lineRule="auto"/>
        <w:rPr>
          <w:rFonts w:ascii="Arial" w:cs="Arial" w:eastAsia="Arial" w:hAnsi="Arial"/>
          <w:sz w:val="14"/>
          <w:szCs w:val="14"/>
          <w:color w:val="auto"/>
        </w:rPr>
      </w:pPr>
      <w:r>
        <w:rPr>
          <w:rFonts w:ascii="Arial" w:cs="Arial" w:eastAsia="Arial" w:hAnsi="Arial"/>
          <w:sz w:val="14"/>
          <w:szCs w:val="14"/>
          <w:color w:val="auto"/>
        </w:rPr>
        <w:t># 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in San Francisco, California.</w:t>
      </w:r>
    </w:p>
    <w:p>
      <w:pPr>
        <w:spacing w:after="0" w:line="153"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6900" w:type="dxa"/>
            <w:vAlign w:val="bottom"/>
            <w:gridSpan w:val="2"/>
          </w:tcPr>
          <w:p>
            <w:pPr>
              <w:ind w:left="2280"/>
              <w:spacing w:after="0"/>
              <w:rPr>
                <w:sz w:val="20"/>
                <w:szCs w:val="20"/>
                <w:color w:val="auto"/>
              </w:rPr>
            </w:pPr>
            <w:r>
              <w:rPr>
                <w:rFonts w:ascii="Arial" w:cs="Arial" w:eastAsia="Arial" w:hAnsi="Arial"/>
                <w:sz w:val="18"/>
                <w:szCs w:val="18"/>
                <w:b w:val="1"/>
                <w:bCs w:val="1"/>
                <w:color w:val="auto"/>
              </w:rPr>
              <w:t>NEXTDOOR HOLDINGS, INC.</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Date:  February 28, 2023</w:t>
            </w:r>
          </w:p>
        </w:tc>
        <w:tc>
          <w:tcPr>
            <w:tcW w:w="2940" w:type="dxa"/>
            <w:vAlign w:val="bottom"/>
          </w:tcPr>
          <w:p>
            <w:pPr>
              <w:ind w:left="228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Friar</w:t>
            </w:r>
          </w:p>
        </w:tc>
      </w:tr>
      <w:tr>
        <w:trPr>
          <w:trHeight w:val="222"/>
        </w:trPr>
        <w:tc>
          <w:tcPr>
            <w:tcW w:w="4180" w:type="dxa"/>
            <w:vAlign w:val="bottom"/>
          </w:tcPr>
          <w:p>
            <w:pPr>
              <w:spacing w:after="0"/>
              <w:rPr>
                <w:sz w:val="19"/>
                <w:szCs w:val="19"/>
                <w:color w:val="auto"/>
              </w:rPr>
            </w:pPr>
          </w:p>
        </w:tc>
        <w:tc>
          <w:tcPr>
            <w:tcW w:w="2940" w:type="dxa"/>
            <w:vAlign w:val="bottom"/>
          </w:tcPr>
          <w:p>
            <w:pPr>
              <w:ind w:left="2280"/>
              <w:spacing w:after="0"/>
              <w:rPr>
                <w:sz w:val="20"/>
                <w:szCs w:val="20"/>
                <w:color w:val="auto"/>
              </w:rPr>
            </w:pPr>
            <w:r>
              <w:rPr>
                <w:rFonts w:ascii="Arial" w:cs="Arial" w:eastAsia="Arial" w:hAnsi="Arial"/>
                <w:sz w:val="18"/>
                <w:szCs w:val="18"/>
                <w:color w:val="auto"/>
              </w:rPr>
              <w:t>Name:</w:t>
            </w:r>
          </w:p>
        </w:tc>
        <w:tc>
          <w:tcPr>
            <w:tcW w:w="3960" w:type="dxa"/>
            <w:vAlign w:val="bottom"/>
          </w:tcPr>
          <w:p>
            <w:pPr>
              <w:spacing w:after="0"/>
              <w:rPr>
                <w:sz w:val="20"/>
                <w:szCs w:val="20"/>
                <w:color w:val="auto"/>
              </w:rPr>
            </w:pPr>
            <w:r>
              <w:rPr>
                <w:rFonts w:ascii="Arial" w:cs="Arial" w:eastAsia="Arial" w:hAnsi="Arial"/>
                <w:sz w:val="18"/>
                <w:szCs w:val="18"/>
                <w:color w:val="auto"/>
              </w:rPr>
              <w:t>Sarah Friar</w:t>
            </w:r>
          </w:p>
        </w:tc>
      </w:tr>
      <w:tr>
        <w:trPr>
          <w:trHeight w:val="176"/>
        </w:trPr>
        <w:tc>
          <w:tcPr>
            <w:tcW w:w="4180" w:type="dxa"/>
            <w:vAlign w:val="bottom"/>
          </w:tcPr>
          <w:p>
            <w:pPr>
              <w:spacing w:after="0"/>
              <w:rPr>
                <w:sz w:val="15"/>
                <w:szCs w:val="15"/>
                <w:color w:val="auto"/>
              </w:rPr>
            </w:pPr>
          </w:p>
        </w:tc>
        <w:tc>
          <w:tcPr>
            <w:tcW w:w="2940" w:type="dxa"/>
            <w:vAlign w:val="bottom"/>
          </w:tcPr>
          <w:p>
            <w:pPr>
              <w:ind w:left="2280"/>
              <w:spacing w:after="0" w:line="176" w:lineRule="exact"/>
              <w:rPr>
                <w:sz w:val="20"/>
                <w:szCs w:val="20"/>
                <w:color w:val="auto"/>
              </w:rPr>
            </w:pPr>
            <w:r>
              <w:rPr>
                <w:rFonts w:ascii="Arial" w:cs="Arial" w:eastAsia="Arial" w:hAnsi="Arial"/>
                <w:sz w:val="18"/>
                <w:szCs w:val="18"/>
                <w:color w:val="auto"/>
              </w:rPr>
              <w:t>Title:</w:t>
            </w:r>
          </w:p>
        </w:tc>
        <w:tc>
          <w:tcPr>
            <w:tcW w:w="3960" w:type="dxa"/>
            <w:vAlign w:val="bottom"/>
          </w:tcPr>
          <w:p>
            <w:pPr>
              <w:spacing w:after="0" w:line="176" w:lineRule="exact"/>
              <w:rPr>
                <w:sz w:val="20"/>
                <w:szCs w:val="20"/>
                <w:color w:val="auto"/>
              </w:rPr>
            </w:pPr>
            <w:r>
              <w:rPr>
                <w:rFonts w:ascii="Arial" w:cs="Arial" w:eastAsia="Arial" w:hAnsi="Arial"/>
                <w:sz w:val="18"/>
                <w:szCs w:val="18"/>
                <w:color w:val="auto"/>
                <w:w w:val="92"/>
              </w:rPr>
              <w:t>Chief Executive Officer, President and Chairperson of</w:t>
            </w:r>
          </w:p>
        </w:tc>
      </w:tr>
      <w:tr>
        <w:trPr>
          <w:trHeight w:val="230"/>
        </w:trPr>
        <w:tc>
          <w:tcPr>
            <w:tcW w:w="41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the Board of Directors</w:t>
            </w: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KNOW ALL PERSONS BY THESE PRESENTS</w:t>
      </w:r>
      <w:r>
        <w:rPr>
          <w:rFonts w:ascii="Arial" w:cs="Arial" w:eastAsia="Arial" w:hAnsi="Arial"/>
          <w:sz w:val="17"/>
          <w:szCs w:val="17"/>
          <w:color w:val="auto"/>
        </w:rPr>
        <w:t>, that each person whose signature appears below constitutes and appoints Sarah Friar and Michael Doyle,</w:t>
      </w:r>
      <w:r>
        <w:rPr>
          <w:rFonts w:ascii="Arial" w:cs="Arial" w:eastAsia="Arial" w:hAnsi="Arial"/>
          <w:sz w:val="17"/>
          <w:szCs w:val="17"/>
          <w:i w:val="1"/>
          <w:iCs w:val="1"/>
          <w:color w:val="auto"/>
        </w:rPr>
        <w:t xml:space="preserve"> </w:t>
      </w:r>
      <w:r>
        <w:rPr>
          <w:rFonts w:ascii="Arial" w:cs="Arial" w:eastAsia="Arial" w:hAnsi="Arial"/>
          <w:sz w:val="17"/>
          <w:szCs w:val="17"/>
          <w:color w:val="auto"/>
        </w:rPr>
        <w:t>and each of them, as his or her true and lawful attorneys-in-fact, proxies and agents, each with full power of substitution and resubstitution, for him or her and in his or her name, place and stead, in any and all capacities, to sign any and all amendments to this report and to file the same, with any exhibits thereto and other documents in connection therewith, with the Securities and Exchange Commission,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or her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in the capacities and on the dates indicated:</w:t>
      </w:r>
    </w:p>
    <w:p>
      <w:pPr>
        <w:sectPr>
          <w:pgSz w:w="11900" w:h="16838" w:orient="portrait"/>
          <w:cols w:equalWidth="0" w:num="1">
            <w:col w:w="11240"/>
          </w:cols>
          <w:pgMar w:left="320" w:top="125" w:right="339" w:bottom="1440" w:gutter="0" w:footer="0" w:header="0"/>
        </w:sectPr>
      </w:pPr>
    </w:p>
    <w:p>
      <w:pPr>
        <w:spacing w:after="0" w:line="148"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3399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399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Sarah Friar</w:t>
      </w:r>
    </w:p>
    <w:p>
      <w:pPr>
        <w:spacing w:after="0" w:line="19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Michael Doyle</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/s/ John Hope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3399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John Hope Bryant</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/s/ J. William Gurley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399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J. William Gurley</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Leslie Kilgore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Leslie Kilgore</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Mary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Mary Meeker</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/s/ Jason Pressman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399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Jason Pressman</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David Sze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David Sze</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Nirav Tolia</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Chris Varelas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Chris Varelas</w:t>
      </w:r>
    </w:p>
    <w:p>
      <w:pPr>
        <w:spacing w:after="0" w:line="11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Andrea Wishom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Andrea Wishom</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78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32385</wp:posOffset>
            </wp:positionV>
            <wp:extent cx="23488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Chief Executive Officer, President and</w:t>
      </w:r>
    </w:p>
    <w:p>
      <w:pPr>
        <w:ind w:left="260"/>
        <w:spacing w:after="0" w:line="232" w:lineRule="auto"/>
        <w:rPr>
          <w:sz w:val="20"/>
          <w:szCs w:val="20"/>
          <w:color w:val="auto"/>
        </w:rPr>
      </w:pPr>
      <w:r>
        <w:rPr>
          <w:rFonts w:ascii="Arial" w:cs="Arial" w:eastAsia="Arial" w:hAnsi="Arial"/>
          <w:sz w:val="17"/>
          <w:szCs w:val="17"/>
          <w:color w:val="auto"/>
        </w:rPr>
        <w:t>Chairperson of the Board of Directors</w:t>
      </w:r>
    </w:p>
    <w:p>
      <w:pPr>
        <w:ind w:left="580"/>
        <w:spacing w:after="0"/>
        <w:rPr>
          <w:sz w:val="20"/>
          <w:szCs w:val="20"/>
          <w:color w:val="auto"/>
        </w:rPr>
      </w:pPr>
      <w:r>
        <w:rPr>
          <w:rFonts w:ascii="Arial" w:cs="Arial" w:eastAsia="Arial" w:hAnsi="Arial"/>
          <w:sz w:val="18"/>
          <w:szCs w:val="18"/>
          <w:color w:val="auto"/>
        </w:rPr>
        <w:t>(Principal Executive Officer)</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Chief Financial Officer and Treasurer</w:t>
      </w:r>
    </w:p>
    <w:p>
      <w:pPr>
        <w:jc w:val="center"/>
        <w:ind w:right="780"/>
        <w:spacing w:after="0"/>
        <w:rPr>
          <w:sz w:val="20"/>
          <w:szCs w:val="20"/>
          <w:color w:val="auto"/>
        </w:rPr>
      </w:pPr>
      <w:r>
        <w:rPr>
          <w:rFonts w:ascii="Arial" w:cs="Arial" w:eastAsia="Arial" w:hAnsi="Arial"/>
          <w:sz w:val="16"/>
          <w:szCs w:val="16"/>
          <w:color w:val="auto"/>
        </w:rPr>
        <w:t>(Principal Financial and Accounting Officer)</w:t>
      </w:r>
    </w:p>
    <w:p>
      <w:pPr>
        <w:spacing w:after="0" w:line="192"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32385</wp:posOffset>
            </wp:positionV>
            <wp:extent cx="23399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357" w:lineRule="exact"/>
        <w:rPr>
          <w:sz w:val="20"/>
          <w:szCs w:val="20"/>
          <w:color w:val="auto"/>
        </w:rPr>
      </w:pPr>
    </w:p>
    <w:p>
      <w:pPr>
        <w:sectPr>
          <w:pgSz w:w="11900" w:h="16838" w:orient="portrait"/>
          <w:cols w:equalWidth="0" w:num="3">
            <w:col w:w="3280" w:space="720"/>
            <w:col w:w="4020" w:space="720"/>
            <w:col w:w="25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40"/>
          </w:cols>
          <w:pgMar w:left="320" w:top="125" w:right="339" w:bottom="1440" w:gutter="0" w:footer="0" w:header="0"/>
          <w:type w:val="continuous"/>
        </w:sectPr>
      </w:pPr>
    </w:p>
    <w:bookmarkStart w:id="97" w:name="page98"/>
    <w:bookmarkEnd w:id="97"/>
    <w:p>
      <w:pPr>
        <w:spacing w:after="0" w:line="117" w:lineRule="exact"/>
        <w:rPr>
          <w:sz w:val="20"/>
          <w:szCs w:val="20"/>
          <w:color w:val="auto"/>
        </w:rPr>
      </w:pPr>
    </w:p>
    <w:p>
      <w:pPr>
        <w:ind w:left="10240"/>
        <w:spacing w:after="0"/>
        <w:rPr>
          <w:sz w:val="20"/>
          <w:szCs w:val="20"/>
          <w:color w:val="auto"/>
        </w:rPr>
      </w:pPr>
      <w:r>
        <w:rPr>
          <w:rFonts w:ascii="Arial" w:cs="Arial" w:eastAsia="Arial" w:hAnsi="Arial"/>
          <w:sz w:val="19"/>
          <w:szCs w:val="19"/>
          <w:b w:val="1"/>
          <w:bCs w:val="1"/>
          <w:color w:val="auto"/>
        </w:rPr>
        <w:t>Exhibit 4.2</w:t>
      </w:r>
    </w:p>
    <w:p>
      <w:pPr>
        <w:spacing w:after="0" w:line="169" w:lineRule="exact"/>
        <w:rPr>
          <w:sz w:val="20"/>
          <w:szCs w:val="20"/>
          <w:color w:val="auto"/>
        </w:rPr>
      </w:pPr>
    </w:p>
    <w:p>
      <w:pPr>
        <w:jc w:val="center"/>
        <w:spacing w:after="0" w:line="237" w:lineRule="auto"/>
        <w:rPr>
          <w:sz w:val="20"/>
          <w:szCs w:val="20"/>
          <w:color w:val="auto"/>
        </w:rPr>
      </w:pPr>
      <w:r>
        <w:rPr>
          <w:rFonts w:ascii="Arial" w:cs="Arial" w:eastAsia="Arial" w:hAnsi="Arial"/>
          <w:sz w:val="18"/>
          <w:szCs w:val="18"/>
          <w:b w:val="1"/>
          <w:bCs w:val="1"/>
          <w:color w:val="auto"/>
        </w:rPr>
        <w:t>DESCRIPTION OF THE REGISTRANT’S CAPITAL STOCK REGISTERED PURSUANT TO SECTION 12 OF THE SECURITIES EXCHANGE ACT OF 1934, AS AMENDED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right="120" w:firstLine="324"/>
        <w:spacing w:after="0" w:line="248" w:lineRule="auto"/>
        <w:rPr>
          <w:sz w:val="20"/>
          <w:szCs w:val="20"/>
          <w:color w:val="auto"/>
        </w:rPr>
      </w:pPr>
      <w:r>
        <w:rPr>
          <w:rFonts w:ascii="Arial" w:cs="Arial" w:eastAsia="Arial" w:hAnsi="Arial"/>
          <w:sz w:val="16"/>
          <w:szCs w:val="16"/>
          <w:color w:val="auto"/>
        </w:rPr>
        <w:t>The following description of the capital stock of Nextdoor Holdings, Inc. (the “</w:t>
      </w:r>
      <w:r>
        <w:rPr>
          <w:rFonts w:ascii="Arial" w:cs="Arial" w:eastAsia="Arial" w:hAnsi="Arial"/>
          <w:sz w:val="16"/>
          <w:szCs w:val="16"/>
          <w:i w:val="1"/>
          <w:iCs w:val="1"/>
          <w:color w:val="auto"/>
        </w:rPr>
        <w:t>Company</w:t>
      </w:r>
      <w:r>
        <w:rPr>
          <w:rFonts w:ascii="Arial" w:cs="Arial" w:eastAsia="Arial" w:hAnsi="Arial"/>
          <w:sz w:val="16"/>
          <w:szCs w:val="16"/>
          <w:color w:val="auto"/>
        </w:rPr>
        <w:t>,”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and of certain provisions of our certificate of incorporation (the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and bylaws (the “</w:t>
      </w:r>
      <w:r>
        <w:rPr>
          <w:rFonts w:ascii="Arial" w:cs="Arial" w:eastAsia="Arial" w:hAnsi="Arial"/>
          <w:sz w:val="16"/>
          <w:szCs w:val="16"/>
          <w:i w:val="1"/>
          <w:iCs w:val="1"/>
          <w:color w:val="auto"/>
        </w:rPr>
        <w:t>Bylaws</w:t>
      </w:r>
      <w:r>
        <w:rPr>
          <w:rFonts w:ascii="Arial" w:cs="Arial" w:eastAsia="Arial" w:hAnsi="Arial"/>
          <w:sz w:val="16"/>
          <w:szCs w:val="16"/>
          <w:color w:val="auto"/>
        </w:rPr>
        <w:t>”) does not purport to be complete and is subject to our Certificate</w:t>
      </w:r>
    </w:p>
    <w:p>
      <w:pPr>
        <w:spacing w:after="0"/>
        <w:rPr>
          <w:sz w:val="20"/>
          <w:szCs w:val="20"/>
          <w:color w:val="auto"/>
        </w:rPr>
      </w:pPr>
      <w:r>
        <w:rPr>
          <w:rFonts w:ascii="Arial" w:cs="Arial" w:eastAsia="Arial" w:hAnsi="Arial"/>
          <w:sz w:val="17"/>
          <w:szCs w:val="17"/>
          <w:color w:val="auto"/>
        </w:rPr>
        <w:t>of Incorporation and our Bylaws, copies of which have been filed with the Securities and Exchange Commission, and the provisions of applicable law.</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2022, we had two classes of securities registered under Section 12 of the Securities Exchange Act of 1934, as amended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Class A common stock, $0.0001 par value per share and Class B common stock, $0.0001 par value per share. Our authorized common</w:t>
      </w:r>
    </w:p>
    <w:p>
      <w:pPr>
        <w:spacing w:after="0" w:line="5"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stock consists of 2,500,000,000 shares of Class A common stock, 500,000,000 shares of Class B common stock, and 50,000,000 shares of undesignated preferred stock, $0.0001 par value per share. All shares of our common stock outstanding are fully paid and non-assessable.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31" w:lineRule="exact"/>
        <w:rPr>
          <w:sz w:val="20"/>
          <w:szCs w:val="20"/>
          <w:color w:val="auto"/>
        </w:rPr>
      </w:pPr>
    </w:p>
    <w:p>
      <w:pPr>
        <w:ind w:right="80" w:firstLine="324"/>
        <w:spacing w:after="0" w:line="248" w:lineRule="auto"/>
        <w:rPr>
          <w:sz w:val="20"/>
          <w:szCs w:val="20"/>
          <w:color w:val="auto"/>
        </w:rPr>
      </w:pPr>
      <w:r>
        <w:rPr>
          <w:rFonts w:ascii="Arial" w:cs="Arial" w:eastAsia="Arial" w:hAnsi="Arial"/>
          <w:sz w:val="16"/>
          <w:szCs w:val="16"/>
          <w:color w:val="auto"/>
        </w:rPr>
        <w:t>Subject to preferences that may apply to any shares of convertible preferred stock outstanding at the time, the holders of shares of our common stock are entitled to receive dividends out of funds legally available if our Board of Directors, in its discretion, determines to issue dividends and then only at the</w:t>
      </w:r>
    </w:p>
    <w:p>
      <w:pPr>
        <w:spacing w:after="0"/>
        <w:rPr>
          <w:sz w:val="20"/>
          <w:szCs w:val="20"/>
          <w:color w:val="auto"/>
        </w:rPr>
      </w:pPr>
      <w:r>
        <w:rPr>
          <w:rFonts w:ascii="Arial" w:cs="Arial" w:eastAsia="Arial" w:hAnsi="Arial"/>
          <w:sz w:val="18"/>
          <w:szCs w:val="18"/>
          <w:color w:val="auto"/>
        </w:rPr>
        <w:t>times and in the amounts that the Board of Directors may determine.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holder of shares of Class A common stock is entitled to one vote for each share of Class A common stock held on all matters submitted to a vote</w:t>
      </w:r>
    </w:p>
    <w:p>
      <w:pPr>
        <w:spacing w:after="0" w:line="21"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of stockholders and each holder of Class B common stock is entitled to 10 votes for each share of Class B common stock held on all matters submitted to a vote of stockholders. Holders of shares of Class A common stock and Class B common stock vote together as a single class on all matters (including the election of directors) submitted to a vote of stockholders, unless, otherwise required by Delaware law or the Certificate of Incorporation. Delaware law</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could require either holders of Class A common stock or Class B common stock to vote separately as a single class in the following circumstances:</w:t>
      </w:r>
    </w:p>
    <w:p>
      <w:pPr>
        <w:spacing w:after="0" w:line="153" w:lineRule="exact"/>
        <w:rPr>
          <w:sz w:val="20"/>
          <w:szCs w:val="20"/>
          <w:color w:val="auto"/>
        </w:rPr>
      </w:pPr>
    </w:p>
    <w:p>
      <w:pPr>
        <w:ind w:left="660" w:right="180" w:hanging="328"/>
        <w:spacing w:after="0" w:line="218" w:lineRule="auto"/>
        <w:tabs>
          <w:tab w:leader="none" w:pos="655" w:val="left"/>
        </w:tabs>
        <w:numPr>
          <w:ilvl w:val="0"/>
          <w:numId w:val="43"/>
        </w:numPr>
        <w:rPr>
          <w:rFonts w:ascii="Arial" w:cs="Arial" w:eastAsia="Arial" w:hAnsi="Arial"/>
          <w:sz w:val="22"/>
          <w:szCs w:val="22"/>
          <w:color w:val="auto"/>
        </w:rPr>
      </w:pPr>
      <w:r>
        <w:rPr>
          <w:rFonts w:ascii="Arial" w:cs="Arial" w:eastAsia="Arial" w:hAnsi="Arial"/>
          <w:sz w:val="18"/>
          <w:szCs w:val="18"/>
          <w:color w:val="auto"/>
        </w:rPr>
        <w:t>if the Company were to seek to amend the Certificate of Incorporation to increase or decrease the par value of a class of our common stock, then that class would be required to vote separately to approve the proposed amendment; and</w:t>
      </w:r>
    </w:p>
    <w:p>
      <w:pPr>
        <w:spacing w:after="0" w:line="135" w:lineRule="exact"/>
        <w:rPr>
          <w:rFonts w:ascii="Arial" w:cs="Arial" w:eastAsia="Arial" w:hAnsi="Arial"/>
          <w:sz w:val="22"/>
          <w:szCs w:val="22"/>
          <w:color w:val="auto"/>
        </w:rPr>
      </w:pPr>
    </w:p>
    <w:p>
      <w:pPr>
        <w:ind w:left="660" w:right="80" w:hanging="328"/>
        <w:spacing w:after="0" w:line="234" w:lineRule="auto"/>
        <w:tabs>
          <w:tab w:leader="none" w:pos="655" w:val="left"/>
        </w:tabs>
        <w:numPr>
          <w:ilvl w:val="0"/>
          <w:numId w:val="43"/>
        </w:numPr>
        <w:rPr>
          <w:rFonts w:ascii="Arial" w:cs="Arial" w:eastAsia="Arial" w:hAnsi="Arial"/>
          <w:sz w:val="19"/>
          <w:szCs w:val="19"/>
          <w:color w:val="auto"/>
        </w:rPr>
      </w:pPr>
      <w:r>
        <w:rPr>
          <w:rFonts w:ascii="Arial" w:cs="Arial" w:eastAsia="Arial" w:hAnsi="Arial"/>
          <w:sz w:val="16"/>
          <w:szCs w:val="16"/>
          <w:color w:val="auto"/>
        </w:rPr>
        <w:t>if the Company were to seek to amend the Certificate of Incorporation in a manner that alters or changes the powers, preferences, or special rights of a class of our common stock in a manner that affected its holders adversely, then that class would be required to vote separately to approve the</w:t>
      </w:r>
    </w:p>
    <w:p>
      <w:pPr>
        <w:ind w:left="660"/>
        <w:spacing w:after="0" w:line="205" w:lineRule="auto"/>
        <w:rPr>
          <w:sz w:val="20"/>
          <w:szCs w:val="20"/>
          <w:color w:val="auto"/>
        </w:rPr>
      </w:pPr>
      <w:r>
        <w:rPr>
          <w:rFonts w:ascii="Arial" w:cs="Arial" w:eastAsia="Arial" w:hAnsi="Arial"/>
          <w:sz w:val="18"/>
          <w:szCs w:val="18"/>
          <w:color w:val="auto"/>
        </w:rPr>
        <w:t>proposed amendment.</w:t>
      </w:r>
    </w:p>
    <w:p>
      <w:pPr>
        <w:ind w:right="640" w:firstLine="324"/>
        <w:spacing w:after="0" w:line="226" w:lineRule="auto"/>
        <w:rPr>
          <w:sz w:val="20"/>
          <w:szCs w:val="20"/>
          <w:color w:val="auto"/>
        </w:rPr>
      </w:pPr>
      <w:r>
        <w:rPr>
          <w:rFonts w:ascii="Arial" w:cs="Arial" w:eastAsia="Arial" w:hAnsi="Arial"/>
          <w:sz w:val="18"/>
          <w:szCs w:val="18"/>
          <w:color w:val="auto"/>
        </w:rPr>
        <w:t>The Company has not provided for cumulative voting for the election of directors in the Certificate of Incorporation. Accordingly, holders of a majority of the shares of our common stock are able to elect all of the Company’s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44" w:lineRule="exact"/>
        <w:rPr>
          <w:sz w:val="20"/>
          <w:szCs w:val="20"/>
          <w:color w:val="auto"/>
        </w:rPr>
      </w:pPr>
    </w:p>
    <w:p>
      <w:pPr>
        <w:jc w:val="center"/>
        <w:ind w:right="160"/>
        <w:spacing w:after="0" w:line="241" w:lineRule="auto"/>
        <w:rPr>
          <w:sz w:val="20"/>
          <w:szCs w:val="20"/>
          <w:color w:val="auto"/>
        </w:rPr>
      </w:pPr>
      <w:r>
        <w:rPr>
          <w:rFonts w:ascii="Arial" w:cs="Arial" w:eastAsia="Arial" w:hAnsi="Arial"/>
          <w:sz w:val="16"/>
          <w:szCs w:val="16"/>
          <w:color w:val="auto"/>
        </w:rPr>
        <w:t>Upon the Company’s liquidation, dissolution or winding-up, the assets legally available for distribution to the Company’s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ectPr>
          <w:pgSz w:w="11900" w:h="16838" w:orient="portrait"/>
          <w:cols w:equalWidth="0" w:num="1">
            <w:col w:w="11240"/>
          </w:cols>
          <w:pgMar w:left="320" w:top="1440" w:right="339" w:bottom="1440" w:gutter="0" w:footer="0" w:header="0"/>
        </w:sectPr>
      </w:pPr>
    </w:p>
    <w:bookmarkStart w:id="98" w:name="page99"/>
    <w:bookmarkEnd w:id="98"/>
    <w:p>
      <w:pPr>
        <w:ind w:right="480" w:firstLine="324"/>
        <w:spacing w:after="0" w:line="248" w:lineRule="auto"/>
        <w:rPr>
          <w:sz w:val="20"/>
          <w:szCs w:val="20"/>
          <w:color w:val="auto"/>
        </w:rPr>
      </w:pPr>
      <w:r>
        <w:rPr>
          <w:rFonts w:ascii="Arial" w:cs="Arial" w:eastAsia="Arial" w:hAnsi="Arial"/>
          <w:sz w:val="16"/>
          <w:szCs w:val="16"/>
          <w:color w:val="auto"/>
        </w:rPr>
        <w:t>Each share of our Class B common stock is convertible into one share of our Class A common stock automatically, without further action by the Company immediately prior to the close of business on the earlier of (i) ten (10) years from the date of the Closing (defined below) and (ii) the date</w:t>
      </w:r>
    </w:p>
    <w:p>
      <w:pPr>
        <w:ind w:right="120"/>
        <w:spacing w:after="0" w:line="226" w:lineRule="auto"/>
        <w:rPr>
          <w:sz w:val="20"/>
          <w:szCs w:val="20"/>
          <w:color w:val="auto"/>
        </w:rPr>
      </w:pPr>
      <w:r>
        <w:rPr>
          <w:rFonts w:ascii="Arial" w:cs="Arial" w:eastAsia="Arial" w:hAnsi="Arial"/>
          <w:sz w:val="18"/>
          <w:szCs w:val="18"/>
          <w:color w:val="auto"/>
        </w:rPr>
        <w:t>specified by an affirmative vote of the holders of Class B common stock representing not less than two-thirds (2/3) of the voting power of the outstanding shares of Class B common stock, voting separately as a single class.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right="60" w:firstLine="324"/>
        <w:spacing w:after="0" w:line="241" w:lineRule="auto"/>
        <w:rPr>
          <w:sz w:val="20"/>
          <w:szCs w:val="20"/>
          <w:color w:val="auto"/>
        </w:rPr>
      </w:pPr>
      <w:r>
        <w:rPr>
          <w:rFonts w:ascii="Arial" w:cs="Arial" w:eastAsia="Arial" w:hAnsi="Arial"/>
          <w:sz w:val="16"/>
          <w:szCs w:val="16"/>
          <w:color w:val="auto"/>
        </w:rPr>
        <w:t>Our Board of Directors is authorized, subject to limitations prescribed by Delaware law, to issue up to 50,000,000 shares of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of Directors can also increase or decrease the number of shares of any series of preferred stock, but not below the number of shares of that series then outstanding, without any further vote or action by our stockholders. The number of authorized shares of our preferred stock may be increased or decreased (but not below the number of shares thereof then outstanding) by the affirmative vote of the holders of a majority of the voting stock, without a separate</w:t>
      </w:r>
    </w:p>
    <w:p>
      <w:pPr>
        <w:spacing w:after="0" w:line="2" w:lineRule="exact"/>
        <w:rPr>
          <w:sz w:val="20"/>
          <w:szCs w:val="20"/>
          <w:color w:val="auto"/>
        </w:rPr>
      </w:pPr>
    </w:p>
    <w:p>
      <w:pPr>
        <w:jc w:val="both"/>
        <w:ind w:right="180"/>
        <w:spacing w:after="0" w:line="234" w:lineRule="auto"/>
        <w:rPr>
          <w:sz w:val="20"/>
          <w:szCs w:val="20"/>
          <w:color w:val="auto"/>
        </w:rPr>
      </w:pPr>
      <w:r>
        <w:rPr>
          <w:rFonts w:ascii="Arial" w:cs="Arial" w:eastAsia="Arial" w:hAnsi="Arial"/>
          <w:sz w:val="16"/>
          <w:szCs w:val="16"/>
          <w:color w:val="auto"/>
        </w:rPr>
        <w:t>vote of the holders of the preferred stock, irrespective of the provisions of Section 242(b)(2) of the DGCL, unless a separate vote of the holders of one or more series is required pursuant to the terms of any applicable certificate of designation. Our Board of Directors may authorize the issuance of preferred stock with voting or conversion rights that could adversely affect the voting power or other rights of the holders of our common stock. The issuance of</w:t>
      </w:r>
    </w:p>
    <w:p>
      <w:pPr>
        <w:spacing w:after="0" w:line="2"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preferred stock, while providing flexibility in connection with possible acquisitions and other corporate purposes, could, among other things, have the effect of delaying, deferring, or preventing a change in the Company’s control and might adversely affect the market price of our Class A common stock and the voting and other rights of the holders of our Class A common stock and Class B common stock. We do not currently plan to issue any shares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provisions of the DGCL, our Certificate of Incorporation, and our Bylaws could have the effect of delaying, deferring or discouraging another</w:t>
      </w:r>
    </w:p>
    <w:p>
      <w:pPr>
        <w:spacing w:after="0" w:line="10"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person from acquiring control of the Company. These provisions, which are summarized below, are expected to discourage certain types of coercive takeover practices and inadequate takeover bids and encourage persons seeking to acquire control of the Company to first negotiate with our Board of Directors. We believe that the benefits of increased protection of our potential ability to negotiate with an unfriendly or unsolicited acquirer outweigh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disadvantages of discouraging a proposal to acquire the Company because negotiation of these proposals could result in an improvement of their terms.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is subject to the provisions of Section 203 of the DGCL regulating corporate takeovers. In general, Section 203 prohibits a publicly held</w:t>
      </w:r>
    </w:p>
    <w:p>
      <w:pPr>
        <w:spacing w:after="0" w:line="21" w:lineRule="exact"/>
        <w:rPr>
          <w:sz w:val="20"/>
          <w:szCs w:val="20"/>
          <w:color w:val="auto"/>
        </w:rPr>
      </w:pPr>
    </w:p>
    <w:p>
      <w:pPr>
        <w:ind w:right="440"/>
        <w:spacing w:after="0" w:line="231" w:lineRule="auto"/>
        <w:rPr>
          <w:sz w:val="20"/>
          <w:szCs w:val="20"/>
          <w:color w:val="auto"/>
        </w:rPr>
      </w:pPr>
      <w:r>
        <w:rPr>
          <w:rFonts w:ascii="Arial" w:cs="Arial" w:eastAsia="Arial" w:hAnsi="Arial"/>
          <w:sz w:val="17"/>
          <w:szCs w:val="17"/>
          <w:color w:val="auto"/>
        </w:rPr>
        <w:t>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49" w:lineRule="exact"/>
        <w:rPr>
          <w:sz w:val="20"/>
          <w:szCs w:val="20"/>
          <w:color w:val="auto"/>
        </w:rPr>
      </w:pPr>
    </w:p>
    <w:p>
      <w:pPr>
        <w:ind w:left="660" w:right="220" w:hanging="328"/>
        <w:spacing w:after="0" w:line="218" w:lineRule="auto"/>
        <w:tabs>
          <w:tab w:leader="none" w:pos="655" w:val="left"/>
        </w:tabs>
        <w:numPr>
          <w:ilvl w:val="0"/>
          <w:numId w:val="44"/>
        </w:numPr>
        <w:rPr>
          <w:rFonts w:ascii="Arial" w:cs="Arial" w:eastAsia="Arial" w:hAnsi="Arial"/>
          <w:sz w:val="22"/>
          <w:szCs w:val="22"/>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35" w:lineRule="exact"/>
        <w:rPr>
          <w:rFonts w:ascii="Arial" w:cs="Arial" w:eastAsia="Arial" w:hAnsi="Arial"/>
          <w:sz w:val="22"/>
          <w:szCs w:val="22"/>
          <w:color w:val="auto"/>
        </w:rPr>
      </w:pPr>
    </w:p>
    <w:p>
      <w:pPr>
        <w:ind w:left="660" w:right="80" w:hanging="328"/>
        <w:spacing w:after="0" w:line="215" w:lineRule="auto"/>
        <w:tabs>
          <w:tab w:leader="none" w:pos="655" w:val="left"/>
        </w:tabs>
        <w:numPr>
          <w:ilvl w:val="0"/>
          <w:numId w:val="44"/>
        </w:numPr>
        <w:rPr>
          <w:rFonts w:ascii="Arial" w:cs="Arial" w:eastAsia="Arial" w:hAnsi="Arial"/>
          <w:sz w:val="22"/>
          <w:szCs w:val="22"/>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216" w:lineRule="exact"/>
        <w:rPr>
          <w:rFonts w:ascii="Arial" w:cs="Arial" w:eastAsia="Arial" w:hAnsi="Arial"/>
          <w:sz w:val="22"/>
          <w:szCs w:val="22"/>
          <w:color w:val="auto"/>
        </w:rPr>
      </w:pPr>
    </w:p>
    <w:p>
      <w:pPr>
        <w:ind w:left="660" w:right="80" w:hanging="328"/>
        <w:spacing w:after="0" w:line="214" w:lineRule="auto"/>
        <w:tabs>
          <w:tab w:leader="none" w:pos="655" w:val="left"/>
        </w:tabs>
        <w:numPr>
          <w:ilvl w:val="0"/>
          <w:numId w:val="44"/>
        </w:numPr>
        <w:rPr>
          <w:rFonts w:ascii="Arial" w:cs="Arial" w:eastAsia="Arial" w:hAnsi="Arial"/>
          <w:sz w:val="22"/>
          <w:szCs w:val="22"/>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203 defines a business combination to include:</w:t>
      </w:r>
    </w:p>
    <w:p>
      <w:pPr>
        <w:ind w:left="660" w:hanging="328"/>
        <w:spacing w:after="0" w:line="233"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18"/>
          <w:szCs w:val="18"/>
          <w:color w:val="auto"/>
        </w:rPr>
        <w:t>any merger or consolidation involving the corporation and the interested stockholder;</w:t>
      </w:r>
    </w:p>
    <w:p>
      <w:pPr>
        <w:sectPr>
          <w:pgSz w:w="11900" w:h="16838" w:orient="portrait"/>
          <w:cols w:equalWidth="0" w:num="1">
            <w:col w:w="11200"/>
          </w:cols>
          <w:pgMar w:left="320" w:top="1408" w:right="379" w:bottom="1440" w:gutter="0" w:footer="0" w:header="0"/>
        </w:sectPr>
      </w:pPr>
    </w:p>
    <w:bookmarkStart w:id="99" w:name="page100"/>
    <w:bookmarkEnd w:id="99"/>
    <w:p>
      <w:pPr>
        <w:spacing w:after="0" w:line="22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21"/>
          <w:szCs w:val="21"/>
          <w:color w:val="auto"/>
        </w:rPr>
      </w:pPr>
      <w:r>
        <w:rPr>
          <w:rFonts w:ascii="Arial" w:cs="Arial" w:eastAsia="Arial" w:hAnsi="Arial"/>
          <w:sz w:val="17"/>
          <w:szCs w:val="17"/>
          <w:color w:val="auto"/>
        </w:rPr>
        <w:t>any sale, transfer, lease, pledge, or other disposition involving the interested stockholder of 10% or more of the assets of the corporation;</w:t>
      </w:r>
    </w:p>
    <w:p>
      <w:pPr>
        <w:spacing w:after="0" w:line="228" w:lineRule="exact"/>
        <w:rPr>
          <w:rFonts w:ascii="Arial" w:cs="Arial" w:eastAsia="Arial" w:hAnsi="Arial"/>
          <w:sz w:val="21"/>
          <w:szCs w:val="21"/>
          <w:color w:val="auto"/>
        </w:rPr>
      </w:pPr>
    </w:p>
    <w:p>
      <w:pPr>
        <w:ind w:left="660" w:right="360" w:hanging="328"/>
        <w:spacing w:after="0" w:line="218" w:lineRule="auto"/>
        <w:tabs>
          <w:tab w:leader="none" w:pos="655" w:val="left"/>
        </w:tabs>
        <w:numPr>
          <w:ilvl w:val="0"/>
          <w:numId w:val="46"/>
        </w:numPr>
        <w:rPr>
          <w:rFonts w:ascii="Arial" w:cs="Arial" w:eastAsia="Arial" w:hAnsi="Arial"/>
          <w:sz w:val="22"/>
          <w:szCs w:val="22"/>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216" w:lineRule="exact"/>
        <w:rPr>
          <w:rFonts w:ascii="Arial" w:cs="Arial" w:eastAsia="Arial" w:hAnsi="Arial"/>
          <w:sz w:val="22"/>
          <w:szCs w:val="22"/>
          <w:color w:val="auto"/>
        </w:rPr>
      </w:pPr>
    </w:p>
    <w:p>
      <w:pPr>
        <w:ind w:left="660" w:right="60" w:hanging="328"/>
        <w:spacing w:after="0" w:line="218" w:lineRule="auto"/>
        <w:tabs>
          <w:tab w:leader="none" w:pos="655" w:val="left"/>
        </w:tabs>
        <w:numPr>
          <w:ilvl w:val="0"/>
          <w:numId w:val="46"/>
        </w:numPr>
        <w:rPr>
          <w:rFonts w:ascii="Arial" w:cs="Arial" w:eastAsia="Arial" w:hAnsi="Arial"/>
          <w:sz w:val="22"/>
          <w:szCs w:val="22"/>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230" w:lineRule="exact"/>
        <w:rPr>
          <w:rFonts w:ascii="Arial" w:cs="Arial" w:eastAsia="Arial" w:hAnsi="Arial"/>
          <w:sz w:val="22"/>
          <w:szCs w:val="22"/>
          <w:color w:val="auto"/>
        </w:rPr>
      </w:pPr>
    </w:p>
    <w:p>
      <w:pPr>
        <w:ind w:left="660" w:right="500" w:hanging="328"/>
        <w:spacing w:after="0" w:line="218" w:lineRule="auto"/>
        <w:tabs>
          <w:tab w:leader="none" w:pos="655" w:val="left"/>
        </w:tabs>
        <w:numPr>
          <w:ilvl w:val="0"/>
          <w:numId w:val="46"/>
        </w:numPr>
        <w:rPr>
          <w:rFonts w:ascii="Arial" w:cs="Arial" w:eastAsia="Arial" w:hAnsi="Arial"/>
          <w:sz w:val="22"/>
          <w:szCs w:val="22"/>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90" w:lineRule="exact"/>
        <w:rPr>
          <w:sz w:val="20"/>
          <w:szCs w:val="20"/>
          <w:color w:val="auto"/>
        </w:rPr>
      </w:pPr>
    </w:p>
    <w:p>
      <w:pPr>
        <w:ind w:right="220" w:firstLine="324"/>
        <w:spacing w:after="0" w:line="235"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131" w:lineRule="exact"/>
        <w:rPr>
          <w:sz w:val="20"/>
          <w:szCs w:val="20"/>
          <w:color w:val="auto"/>
        </w:rPr>
      </w:pPr>
    </w:p>
    <w:p>
      <w:pPr>
        <w:ind w:right="80" w:firstLine="324"/>
        <w:spacing w:after="0" w:line="248" w:lineRule="auto"/>
        <w:rPr>
          <w:sz w:val="20"/>
          <w:szCs w:val="20"/>
          <w:color w:val="auto"/>
        </w:rPr>
      </w:pPr>
      <w:r>
        <w:rPr>
          <w:rFonts w:ascii="Arial" w:cs="Arial" w:eastAsia="Arial" w:hAnsi="Arial"/>
          <w:sz w:val="16"/>
          <w:szCs w:val="16"/>
          <w:color w:val="auto"/>
        </w:rPr>
        <w:t>The Certificate of Incorporation and the Bylaws include a number of provisions that may have the effect of deterring hostile takeovers, or delaying or preventing changes in control of the Company’s management team or changes in our Board of Directors or the Company’s governance or policy, including</w:t>
      </w:r>
    </w:p>
    <w:p>
      <w:pPr>
        <w:spacing w:after="0"/>
        <w:rPr>
          <w:sz w:val="20"/>
          <w:szCs w:val="20"/>
          <w:color w:val="auto"/>
        </w:rPr>
      </w:pPr>
      <w:r>
        <w:rPr>
          <w:rFonts w:ascii="Arial" w:cs="Arial" w:eastAsia="Arial" w:hAnsi="Arial"/>
          <w:sz w:val="18"/>
          <w:szCs w:val="18"/>
          <w:color w:val="auto"/>
        </w:rPr>
        <w:t>the following:</w:t>
      </w:r>
    </w:p>
    <w:p>
      <w:pPr>
        <w:spacing w:after="0" w:line="142" w:lineRule="exact"/>
        <w:rPr>
          <w:sz w:val="20"/>
          <w:szCs w:val="20"/>
          <w:color w:val="auto"/>
        </w:rPr>
      </w:pPr>
    </w:p>
    <w:p>
      <w:pPr>
        <w:ind w:left="660" w:right="40" w:hanging="328"/>
        <w:spacing w:after="0" w:line="211" w:lineRule="auto"/>
        <w:tabs>
          <w:tab w:leader="none" w:pos="655" w:val="left"/>
        </w:tabs>
        <w:numPr>
          <w:ilvl w:val="0"/>
          <w:numId w:val="47"/>
        </w:numPr>
        <w:rPr>
          <w:rFonts w:ascii="Arial" w:cs="Arial" w:eastAsia="Arial" w:hAnsi="Arial"/>
          <w:sz w:val="22"/>
          <w:szCs w:val="22"/>
          <w:color w:val="auto"/>
        </w:rPr>
      </w:pPr>
      <w:r>
        <w:rPr>
          <w:rFonts w:ascii="Arial" w:cs="Arial" w:eastAsia="Arial" w:hAnsi="Arial"/>
          <w:sz w:val="18"/>
          <w:szCs w:val="18"/>
          <w:b w:val="1"/>
          <w:bCs w:val="1"/>
          <w:i w:val="1"/>
          <w:iCs w:val="1"/>
          <w:color w:val="auto"/>
        </w:rPr>
        <w:t>Dual Class Common Stock</w:t>
      </w:r>
      <w:r>
        <w:rPr>
          <w:rFonts w:ascii="Arial" w:cs="Arial" w:eastAsia="Arial" w:hAnsi="Arial"/>
          <w:sz w:val="18"/>
          <w:szCs w:val="18"/>
          <w:color w:val="auto"/>
        </w:rPr>
        <w:t>. As described above in the section entitled “</w:t>
      </w:r>
      <w:r>
        <w:rPr>
          <w:rFonts w:ascii="Arial" w:cs="Arial" w:eastAsia="Arial" w:hAnsi="Arial"/>
          <w:sz w:val="18"/>
          <w:szCs w:val="18"/>
          <w:i w:val="1"/>
          <w:iCs w:val="1"/>
          <w:color w:val="auto"/>
        </w:rPr>
        <w:t>- Class A Common Stock and Class B Common Stock - Voting Rights</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of Incorporation provides for a dual class common stock structure pursuant to which holders of Class B common stock have the ability to control the outcome of matters requiring stockholder approval, even if they own significantly less than a majority of the shares of outstanding Class A common stock and Class B common stock, including the election of directors and significant corporate transactions, such as a merger or other sale of the Company or its assets. The Company’s investors, executives, and employees will have the ability to exercise significant influence over those matters.</w:t>
      </w:r>
    </w:p>
    <w:p>
      <w:pPr>
        <w:spacing w:after="0" w:line="150" w:lineRule="exact"/>
        <w:rPr>
          <w:rFonts w:ascii="Arial" w:cs="Arial" w:eastAsia="Arial" w:hAnsi="Arial"/>
          <w:sz w:val="22"/>
          <w:szCs w:val="22"/>
          <w:color w:val="auto"/>
        </w:rPr>
      </w:pPr>
    </w:p>
    <w:p>
      <w:pPr>
        <w:ind w:left="660" w:right="40" w:hanging="328"/>
        <w:spacing w:after="0" w:line="210" w:lineRule="auto"/>
        <w:tabs>
          <w:tab w:leader="none" w:pos="655" w:val="left"/>
        </w:tabs>
        <w:numPr>
          <w:ilvl w:val="0"/>
          <w:numId w:val="47"/>
        </w:numPr>
        <w:rPr>
          <w:rFonts w:ascii="Arial" w:cs="Arial" w:eastAsia="Arial" w:hAnsi="Arial"/>
          <w:sz w:val="22"/>
          <w:szCs w:val="22"/>
          <w:color w:val="auto"/>
        </w:rPr>
      </w:pPr>
      <w:r>
        <w:rPr>
          <w:rFonts w:ascii="Arial" w:cs="Arial" w:eastAsia="Arial" w:hAnsi="Arial"/>
          <w:sz w:val="18"/>
          <w:szCs w:val="18"/>
          <w:b w:val="1"/>
          <w:bCs w:val="1"/>
          <w:i w:val="1"/>
          <w:iCs w:val="1"/>
          <w:color w:val="auto"/>
        </w:rPr>
        <w:t>Board of Directors Vacancies</w:t>
      </w:r>
      <w:r>
        <w:rPr>
          <w:rFonts w:ascii="Arial" w:cs="Arial" w:eastAsia="Arial" w:hAnsi="Arial"/>
          <w:sz w:val="18"/>
          <w:szCs w:val="18"/>
          <w:color w:val="auto"/>
        </w:rPr>
        <w:t>. The Certificate of Incorporation and the Bylaws authorize generally only our Board of Directors to fill vacant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directorships resulting from any cause or created by the expansion of the Board of Directors. In addition, the number of directors constituting our Board of Directors may be set only by resolution adopted by a majority vote of the entire Board of Directors. These provisions prevent a stockholder from increasing the size of the Board of Directors and gaining control of our Board of Directors by filling the resulting vacancies with its own nominees.</w:t>
      </w:r>
    </w:p>
    <w:p>
      <w:pPr>
        <w:spacing w:after="0" w:line="1" w:lineRule="exact"/>
        <w:rPr>
          <w:rFonts w:ascii="Arial" w:cs="Arial" w:eastAsia="Arial" w:hAnsi="Arial"/>
          <w:sz w:val="22"/>
          <w:szCs w:val="22"/>
          <w:color w:val="auto"/>
        </w:rPr>
      </w:pPr>
    </w:p>
    <w:p>
      <w:pPr>
        <w:ind w:left="660" w:hanging="328"/>
        <w:spacing w:after="0" w:line="207" w:lineRule="auto"/>
        <w:tabs>
          <w:tab w:leader="none" w:pos="655" w:val="left"/>
        </w:tabs>
        <w:numPr>
          <w:ilvl w:val="0"/>
          <w:numId w:val="47"/>
        </w:numPr>
        <w:rPr>
          <w:rFonts w:ascii="Arial" w:cs="Arial" w:eastAsia="Arial" w:hAnsi="Arial"/>
          <w:sz w:val="22"/>
          <w:szCs w:val="22"/>
          <w:color w:val="auto"/>
        </w:rPr>
      </w:pPr>
      <w:r>
        <w:rPr>
          <w:rFonts w:ascii="Arial" w:cs="Arial" w:eastAsia="Arial" w:hAnsi="Arial"/>
          <w:sz w:val="18"/>
          <w:szCs w:val="18"/>
          <w:b w:val="1"/>
          <w:bCs w:val="1"/>
          <w:i w:val="1"/>
          <w:iCs w:val="1"/>
          <w:color w:val="auto"/>
        </w:rPr>
        <w:t>Classified Board</w:t>
      </w:r>
      <w:r>
        <w:rPr>
          <w:rFonts w:ascii="Arial" w:cs="Arial" w:eastAsia="Arial" w:hAnsi="Arial"/>
          <w:sz w:val="18"/>
          <w:szCs w:val="18"/>
          <w:color w:val="auto"/>
        </w:rPr>
        <w:t>. The Certificate of Incorporation and the Bylaws provide that the Board of Directors is classified into three classes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existence of a classified board of directors could delay a successful tender offeror from obtaining majority control of the Board of Directors, and the prospect of that delay might deter a potential offeror. For additional information, see the section entitled “</w:t>
      </w:r>
      <w:r>
        <w:rPr>
          <w:rFonts w:ascii="Arial" w:cs="Arial" w:eastAsia="Arial" w:hAnsi="Arial"/>
          <w:sz w:val="18"/>
          <w:szCs w:val="18"/>
          <w:i w:val="1"/>
          <w:iCs w:val="1"/>
          <w:color w:val="auto"/>
        </w:rPr>
        <w:t>Management - Executive Officers</w:t>
      </w:r>
      <w:r>
        <w:rPr>
          <w:rFonts w:ascii="Arial" w:cs="Arial" w:eastAsia="Arial" w:hAnsi="Arial"/>
          <w:sz w:val="18"/>
          <w:szCs w:val="18"/>
          <w:color w:val="auto"/>
        </w:rPr>
        <w:t xml:space="preserve"> </w:t>
      </w:r>
      <w:r>
        <w:rPr>
          <w:rFonts w:ascii="Arial" w:cs="Arial" w:eastAsia="Arial" w:hAnsi="Arial"/>
          <w:sz w:val="18"/>
          <w:szCs w:val="18"/>
          <w:i w:val="1"/>
          <w:iCs w:val="1"/>
          <w:color w:val="auto"/>
        </w:rPr>
        <w:t>and Directors - Classified Board of Directors</w:t>
      </w:r>
      <w:r>
        <w:rPr>
          <w:rFonts w:ascii="Arial" w:cs="Arial" w:eastAsia="Arial" w:hAnsi="Arial"/>
          <w:sz w:val="18"/>
          <w:szCs w:val="18"/>
          <w:color w:val="auto"/>
        </w:rPr>
        <w:t>.”</w:t>
      </w:r>
    </w:p>
    <w:p>
      <w:pPr>
        <w:spacing w:after="0" w:line="2" w:lineRule="exact"/>
        <w:rPr>
          <w:rFonts w:ascii="Arial" w:cs="Arial" w:eastAsia="Arial" w:hAnsi="Arial"/>
          <w:sz w:val="22"/>
          <w:szCs w:val="22"/>
          <w:color w:val="auto"/>
        </w:rPr>
      </w:pPr>
    </w:p>
    <w:p>
      <w:pPr>
        <w:ind w:left="660" w:right="100" w:hanging="328"/>
        <w:spacing w:after="0" w:line="215" w:lineRule="auto"/>
        <w:tabs>
          <w:tab w:leader="none" w:pos="655" w:val="left"/>
        </w:tabs>
        <w:numPr>
          <w:ilvl w:val="0"/>
          <w:numId w:val="47"/>
        </w:numPr>
        <w:rPr>
          <w:rFonts w:ascii="Arial" w:cs="Arial" w:eastAsia="Arial" w:hAnsi="Arial"/>
          <w:sz w:val="21"/>
          <w:szCs w:val="21"/>
          <w:color w:val="auto"/>
        </w:rPr>
      </w:pPr>
      <w:r>
        <w:rPr>
          <w:rFonts w:ascii="Arial" w:cs="Arial" w:eastAsia="Arial" w:hAnsi="Arial"/>
          <w:sz w:val="17"/>
          <w:szCs w:val="17"/>
          <w:b w:val="1"/>
          <w:bCs w:val="1"/>
          <w:i w:val="1"/>
          <w:iCs w:val="1"/>
          <w:color w:val="auto"/>
        </w:rPr>
        <w:t>Directors Removed Only for Cause</w:t>
      </w:r>
      <w:r>
        <w:rPr>
          <w:rFonts w:ascii="Arial" w:cs="Arial" w:eastAsia="Arial" w:hAnsi="Arial"/>
          <w:sz w:val="17"/>
          <w:szCs w:val="17"/>
          <w:color w:val="auto"/>
        </w:rPr>
        <w:t>. The Certificate of Incorporation provides that stockholders may remove directors only for cause and only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affirmative vote of the holders of at least two-thirds of the voting power of the then-outstanding common stock.</w:t>
      </w:r>
    </w:p>
    <w:p>
      <w:pPr>
        <w:ind w:left="660" w:right="100" w:hanging="328"/>
        <w:spacing w:after="0" w:line="209" w:lineRule="auto"/>
        <w:tabs>
          <w:tab w:leader="none" w:pos="655" w:val="left"/>
        </w:tabs>
        <w:numPr>
          <w:ilvl w:val="0"/>
          <w:numId w:val="47"/>
        </w:numPr>
        <w:rPr>
          <w:rFonts w:ascii="Arial" w:cs="Arial" w:eastAsia="Arial" w:hAnsi="Arial"/>
          <w:sz w:val="22"/>
          <w:szCs w:val="22"/>
          <w:color w:val="auto"/>
        </w:rPr>
      </w:pPr>
      <w:r>
        <w:rPr>
          <w:rFonts w:ascii="Arial" w:cs="Arial" w:eastAsia="Arial" w:hAnsi="Arial"/>
          <w:sz w:val="18"/>
          <w:szCs w:val="18"/>
          <w:b w:val="1"/>
          <w:bCs w:val="1"/>
          <w:i w:val="1"/>
          <w:iCs w:val="1"/>
          <w:color w:val="auto"/>
        </w:rPr>
        <w:t>Supermajority Requirements for Amendments of the Certificate of Incorporation and Bylaws</w:t>
      </w:r>
      <w:r>
        <w:rPr>
          <w:rFonts w:ascii="Arial" w:cs="Arial" w:eastAsia="Arial" w:hAnsi="Arial"/>
          <w:sz w:val="18"/>
          <w:szCs w:val="18"/>
          <w:color w:val="auto"/>
        </w:rPr>
        <w:t>. The Certificate of Incorporation further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affirmative vote of holders of at least two-thirds (2/3) of the voting power of all of the then outstanding shares of capital stock will be required to amend certain provisions of the Certificate of Incorporation, including provisions relating to the classified board, the size of the Board of Directors, removal of directors, special meetings, actions by written consent and designation of our preferred stock, provided that if two-thirds of the Board of Directors has approved such</w:t>
      </w:r>
    </w:p>
    <w:p>
      <w:pPr>
        <w:sectPr>
          <w:pgSz w:w="11900" w:h="16838" w:orient="portrait"/>
          <w:cols w:equalWidth="0" w:num="1">
            <w:col w:w="11240"/>
          </w:cols>
          <w:pgMar w:left="320" w:top="1440" w:right="339" w:bottom="1440" w:gutter="0" w:footer="0" w:header="0"/>
        </w:sectPr>
      </w:pPr>
    </w:p>
    <w:bookmarkStart w:id="100" w:name="page101"/>
    <w:bookmarkEnd w:id="100"/>
    <w:p>
      <w:pPr>
        <w:ind w:left="328" w:right="280"/>
        <w:spacing w:after="0" w:line="248" w:lineRule="auto"/>
        <w:rPr>
          <w:sz w:val="20"/>
          <w:szCs w:val="20"/>
          <w:color w:val="auto"/>
        </w:rPr>
      </w:pPr>
      <w:r>
        <w:rPr>
          <w:rFonts w:ascii="Arial" w:cs="Arial" w:eastAsia="Arial" w:hAnsi="Arial"/>
          <w:sz w:val="16"/>
          <w:szCs w:val="16"/>
          <w:color w:val="auto"/>
        </w:rPr>
        <w:t>amendment only the affirmative vote of a majority of the voting power of all of the then outstanding shares of capital stock shall be required to amend the Certificate of Incorporation. The affirmative vote of holders of at least two-thirds (2/3) of the voting power of all of the then</w:t>
      </w:r>
    </w:p>
    <w:p>
      <w:pPr>
        <w:jc w:val="both"/>
        <w:ind w:left="328" w:right="160"/>
        <w:spacing w:after="0" w:line="234" w:lineRule="auto"/>
        <w:rPr>
          <w:sz w:val="20"/>
          <w:szCs w:val="20"/>
          <w:color w:val="auto"/>
        </w:rPr>
      </w:pPr>
      <w:r>
        <w:rPr>
          <w:rFonts w:ascii="Arial" w:cs="Arial" w:eastAsia="Arial" w:hAnsi="Arial"/>
          <w:sz w:val="16"/>
          <w:szCs w:val="16"/>
          <w:color w:val="auto"/>
        </w:rPr>
        <w:t>outstanding shares of common stock will be required to amend or repeal the Bylaws, although the Bylaws may be amended by a simple majority vote of the Board of Directors. Additionally, in the case of any proposed adoption, amendment, or repeal of any provisions of the Bylaws that is approved by the Board of Directors and submitted to the stockholders for adoption, if two-thirds of the Board of Directors has approved such</w:t>
      </w:r>
    </w:p>
    <w:p>
      <w:pPr>
        <w:spacing w:after="0" w:line="2" w:lineRule="exact"/>
        <w:rPr>
          <w:sz w:val="20"/>
          <w:szCs w:val="20"/>
          <w:color w:val="auto"/>
        </w:rPr>
      </w:pPr>
    </w:p>
    <w:p>
      <w:pPr>
        <w:ind w:left="328" w:right="40"/>
        <w:spacing w:after="0" w:line="200" w:lineRule="auto"/>
        <w:rPr>
          <w:sz w:val="20"/>
          <w:szCs w:val="20"/>
          <w:color w:val="auto"/>
        </w:rPr>
      </w:pPr>
      <w:r>
        <w:rPr>
          <w:rFonts w:ascii="Arial" w:cs="Arial" w:eastAsia="Arial" w:hAnsi="Arial"/>
          <w:sz w:val="18"/>
          <w:szCs w:val="18"/>
          <w:color w:val="auto"/>
        </w:rPr>
        <w:t>adoption, amendment, or repeal of any provisions of the Bylaws, then only the affirmative vote of a majority of the voting power of all of the then outstanding shares of common stock shall be required to adopt, amend, or repeal any provision of the Bylaws.</w:t>
      </w:r>
    </w:p>
    <w:p>
      <w:pPr>
        <w:spacing w:after="0" w:line="17" w:lineRule="exact"/>
        <w:rPr>
          <w:sz w:val="20"/>
          <w:szCs w:val="20"/>
          <w:color w:val="auto"/>
        </w:rPr>
      </w:pPr>
    </w:p>
    <w:p>
      <w:pPr>
        <w:ind w:left="328" w:hanging="328"/>
        <w:spacing w:after="0" w:line="222" w:lineRule="auto"/>
        <w:tabs>
          <w:tab w:leader="none" w:pos="323" w:val="left"/>
        </w:tabs>
        <w:numPr>
          <w:ilvl w:val="0"/>
          <w:numId w:val="48"/>
        </w:numPr>
        <w:rPr>
          <w:rFonts w:ascii="Arial" w:cs="Arial" w:eastAsia="Arial" w:hAnsi="Arial"/>
          <w:sz w:val="21"/>
          <w:szCs w:val="21"/>
          <w:color w:val="auto"/>
        </w:rPr>
      </w:pPr>
      <w:r>
        <w:rPr>
          <w:rFonts w:ascii="Arial" w:cs="Arial" w:eastAsia="Arial" w:hAnsi="Arial"/>
          <w:sz w:val="17"/>
          <w:szCs w:val="17"/>
          <w:b w:val="1"/>
          <w:bCs w:val="1"/>
          <w:i w:val="1"/>
          <w:iCs w:val="1"/>
          <w:color w:val="auto"/>
        </w:rPr>
        <w:t>Stockholder Action; Special Meetings of Stockholders</w:t>
      </w:r>
      <w:r>
        <w:rPr>
          <w:rFonts w:ascii="Arial" w:cs="Arial" w:eastAsia="Arial" w:hAnsi="Arial"/>
          <w:sz w:val="17"/>
          <w:szCs w:val="17"/>
          <w:color w:val="auto"/>
        </w:rPr>
        <w:t>. The Certificate of Incorporation provides that the Company’s stockholders may not take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action by written consent, but may only take action at annual or special meetings of the Company’s stockholders. As a result, holders of our common stock would not be able to amend the Bylaws or remove directors without holding a meeting of the Company’s stockholders called in accordance with the Bylaws. The Certificate of Incorporation and the Bylaws provide that special meetings of the Company’s stockholders may be called only by a majority of the Board of Directors, the chairman of the Board of Directors or the Company’s chief executive officer, thus prohibiting a stockholder from calling a special meeting. These provisions might delay the ability of the Company’s stockholders to force consideration of a proposal or for stockholders to take any action, including the removal of directors.</w:t>
      </w:r>
    </w:p>
    <w:p>
      <w:pPr>
        <w:spacing w:after="0" w:line="3" w:lineRule="exact"/>
        <w:rPr>
          <w:rFonts w:ascii="Arial" w:cs="Arial" w:eastAsia="Arial" w:hAnsi="Arial"/>
          <w:sz w:val="21"/>
          <w:szCs w:val="21"/>
          <w:color w:val="auto"/>
        </w:rPr>
      </w:pPr>
    </w:p>
    <w:p>
      <w:pPr>
        <w:ind w:left="328" w:right="60" w:hanging="328"/>
        <w:spacing w:after="0" w:line="208" w:lineRule="auto"/>
        <w:tabs>
          <w:tab w:leader="none" w:pos="323" w:val="left"/>
        </w:tabs>
        <w:numPr>
          <w:ilvl w:val="0"/>
          <w:numId w:val="48"/>
        </w:numPr>
        <w:rPr>
          <w:rFonts w:ascii="Arial" w:cs="Arial" w:eastAsia="Arial" w:hAnsi="Arial"/>
          <w:sz w:val="22"/>
          <w:szCs w:val="22"/>
          <w:color w:val="auto"/>
        </w:rPr>
      </w:pPr>
      <w:r>
        <w:rPr>
          <w:rFonts w:ascii="Arial" w:cs="Arial" w:eastAsia="Arial" w:hAnsi="Arial"/>
          <w:sz w:val="18"/>
          <w:szCs w:val="18"/>
          <w:b w:val="1"/>
          <w:bCs w:val="1"/>
          <w:i w:val="1"/>
          <w:iCs w:val="1"/>
          <w:color w:val="auto"/>
        </w:rPr>
        <w:t>Advance Notice Requirements for Stockholder Proposals and Director Nominations</w:t>
      </w:r>
      <w:r>
        <w:rPr>
          <w:rFonts w:ascii="Arial" w:cs="Arial" w:eastAsia="Arial" w:hAnsi="Arial"/>
          <w:sz w:val="18"/>
          <w:szCs w:val="18"/>
          <w:color w:val="auto"/>
        </w:rPr>
        <w:t>. The Bylaws provide advance notice procedures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seeking to bring business before the Company’s annual meeting of stockholders or to nominate candidates for election as directors at the Company’s annual meeting of stockholders. The Bylaws also specify certain requirements regarding the form and content of a stockholder’s notice. These provisions may preclude the Company’s stockholders from bringing matters before the Company’s annual meeting of stockholders or from making nominations for directors at the Company annual meeting of stockholders. We expect that these provisions might also discourage or deter a potential acquirer from conducting a solicitation of proxies to elect the acquirer’s own slate of directors or otherwise attempting to obtain control of the Company.</w:t>
      </w:r>
    </w:p>
    <w:p>
      <w:pPr>
        <w:ind w:left="328" w:right="100" w:hanging="328"/>
        <w:spacing w:after="0"/>
        <w:tabs>
          <w:tab w:leader="none" w:pos="323" w:val="left"/>
        </w:tabs>
        <w:numPr>
          <w:ilvl w:val="0"/>
          <w:numId w:val="48"/>
        </w:numPr>
        <w:rPr>
          <w:rFonts w:ascii="Arial" w:cs="Arial" w:eastAsia="Arial" w:hAnsi="Arial"/>
          <w:sz w:val="19"/>
          <w:szCs w:val="19"/>
          <w:color w:val="auto"/>
        </w:rPr>
      </w:pPr>
      <w:r>
        <w:rPr>
          <w:rFonts w:ascii="Arial" w:cs="Arial" w:eastAsia="Arial" w:hAnsi="Arial"/>
          <w:sz w:val="16"/>
          <w:szCs w:val="16"/>
          <w:b w:val="1"/>
          <w:bCs w:val="1"/>
          <w:i w:val="1"/>
          <w:iCs w:val="1"/>
          <w:color w:val="auto"/>
        </w:rPr>
        <w:t>No Cumulative Voting</w:t>
      </w:r>
      <w:r>
        <w:rPr>
          <w:rFonts w:ascii="Arial" w:cs="Arial" w:eastAsia="Arial" w:hAnsi="Arial"/>
          <w:sz w:val="16"/>
          <w:szCs w:val="16"/>
          <w:color w:val="auto"/>
        </w:rPr>
        <w:t>. The DGCL provides that stockholders are not entitled to the right to cumulate votes in the election of directors unless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corporation’s certificate of incorporation provides otherwise. The Certificate of Incorporation and Bylaws will not provide for cumulative voting.</w:t>
      </w:r>
    </w:p>
    <w:p>
      <w:pPr>
        <w:ind w:left="328" w:right="80" w:hanging="328"/>
        <w:spacing w:after="0" w:line="219" w:lineRule="auto"/>
        <w:tabs>
          <w:tab w:leader="none" w:pos="323" w:val="left"/>
        </w:tabs>
        <w:numPr>
          <w:ilvl w:val="0"/>
          <w:numId w:val="48"/>
        </w:numPr>
        <w:rPr>
          <w:rFonts w:ascii="Arial" w:cs="Arial" w:eastAsia="Arial" w:hAnsi="Arial"/>
          <w:sz w:val="21"/>
          <w:szCs w:val="21"/>
          <w:color w:val="auto"/>
        </w:rPr>
      </w:pPr>
      <w:r>
        <w:rPr>
          <w:rFonts w:ascii="Arial" w:cs="Arial" w:eastAsia="Arial" w:hAnsi="Arial"/>
          <w:sz w:val="17"/>
          <w:szCs w:val="17"/>
          <w:b w:val="1"/>
          <w:bCs w:val="1"/>
          <w:i w:val="1"/>
          <w:iCs w:val="1"/>
          <w:color w:val="auto"/>
        </w:rPr>
        <w:t>Issuance of Undesignated Preferred Stock</w:t>
      </w:r>
      <w:r>
        <w:rPr>
          <w:rFonts w:ascii="Arial" w:cs="Arial" w:eastAsia="Arial" w:hAnsi="Arial"/>
          <w:sz w:val="17"/>
          <w:szCs w:val="17"/>
          <w:color w:val="auto"/>
        </w:rPr>
        <w:t>. The Board of Directors has the authority, without further action by the stockholders, to issue up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50,000,000 shares of undesignated preferred stock with rights and preferences, including voting rights, designated from time to time by the Board of Directors. The existence of authorized but unissued shares of preferred stock enables the Board of Directors to render more difficult or to discourage an attempt to obtain control of the Company by means of a merger, tender offer, proxy contest or otherwise.</w:t>
      </w:r>
    </w:p>
    <w:p>
      <w:pPr>
        <w:ind w:left="328" w:right="100" w:hanging="328"/>
        <w:spacing w:after="0" w:line="235" w:lineRule="auto"/>
        <w:tabs>
          <w:tab w:leader="none" w:pos="323" w:val="left"/>
        </w:tabs>
        <w:numPr>
          <w:ilvl w:val="0"/>
          <w:numId w:val="48"/>
        </w:numPr>
        <w:rPr>
          <w:rFonts w:ascii="Arial" w:cs="Arial" w:eastAsia="Arial" w:hAnsi="Arial"/>
          <w:sz w:val="19"/>
          <w:szCs w:val="19"/>
          <w:color w:val="auto"/>
        </w:rPr>
      </w:pPr>
      <w:r>
        <w:rPr>
          <w:rFonts w:ascii="Arial" w:cs="Arial" w:eastAsia="Arial" w:hAnsi="Arial"/>
          <w:sz w:val="16"/>
          <w:szCs w:val="16"/>
          <w:b w:val="1"/>
          <w:bCs w:val="1"/>
          <w:i w:val="1"/>
          <w:iCs w:val="1"/>
          <w:color w:val="auto"/>
        </w:rPr>
        <w:t>Choice of Forum</w:t>
      </w:r>
      <w:r>
        <w:rPr>
          <w:rFonts w:ascii="Arial" w:cs="Arial" w:eastAsia="Arial" w:hAnsi="Arial"/>
          <w:sz w:val="16"/>
          <w:szCs w:val="16"/>
          <w:color w:val="auto"/>
        </w:rPr>
        <w:t>. In addition, the Certificate of Incorporation provides that, to the fullest extent permitted by law, the Court of Chancery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 of Delaware will be the exclusive forum for any derivative action or proceeding brought on the Company’s behalf; any action asserting a breach of fiduciary duty; any action asserting a claim against the Company arising pursuant to the DGCL, the Certificate of Incorporation or the Bylaws; any action asserting a claim against the Company that is governed by the internal affairs doctrine; or any to interpret, apply, enforce, or determine the validity of the Certificate of Incorporation or Bylaws. The enforceability of similar choice of forum provisions in other companies’ certificates of incorporation has been challenged in legal proceedings, and it is possible that a court could find these types of provisions to be inapplicable or unenforceable. The Certificate of Incorporation will also provide that the federal district courts of the United States will, to the fullest extent permitted by law, be the exclusive forum for resolving any complaint asserting a cause of action arising under the Securities Act, or the Federal Forum Provision. While there can be no assurance that federal or state courts will follow the</w:t>
      </w:r>
    </w:p>
    <w:p>
      <w:pPr>
        <w:sectPr>
          <w:pgSz w:w="11900" w:h="16838" w:orient="portrait"/>
          <w:cols w:equalWidth="0" w:num="1">
            <w:col w:w="10888"/>
          </w:cols>
          <w:pgMar w:left="652" w:top="1408" w:right="359" w:bottom="1440" w:gutter="0" w:footer="0" w:header="0"/>
        </w:sectPr>
      </w:pPr>
    </w:p>
    <w:bookmarkStart w:id="101" w:name="page102"/>
    <w:bookmarkEnd w:id="101"/>
    <w:p>
      <w:pPr>
        <w:ind w:left="660" w:right="300"/>
        <w:spacing w:after="0" w:line="248" w:lineRule="auto"/>
        <w:rPr>
          <w:sz w:val="20"/>
          <w:szCs w:val="20"/>
          <w:color w:val="auto"/>
        </w:rPr>
      </w:pPr>
      <w:r>
        <w:rPr>
          <w:rFonts w:ascii="Arial" w:cs="Arial" w:eastAsia="Arial" w:hAnsi="Arial"/>
          <w:sz w:val="16"/>
          <w:szCs w:val="16"/>
          <w:color w:val="auto"/>
        </w:rPr>
        <w:t>holding of the Delaware Supreme Court which recently found that such provisions are facially valid under Delaware law or determine that the Federal Forum Provision should be enforced in a particular case, application of the Federal Forum Provision means that suits brought by the</w:t>
      </w:r>
    </w:p>
    <w:p>
      <w:pPr>
        <w:ind w:left="660"/>
        <w:spacing w:after="0" w:line="234" w:lineRule="auto"/>
        <w:rPr>
          <w:sz w:val="20"/>
          <w:szCs w:val="20"/>
          <w:color w:val="auto"/>
        </w:rPr>
      </w:pPr>
      <w:r>
        <w:rPr>
          <w:rFonts w:ascii="Arial" w:cs="Arial" w:eastAsia="Arial" w:hAnsi="Arial"/>
          <w:sz w:val="16"/>
          <w:szCs w:val="16"/>
          <w:color w:val="auto"/>
        </w:rPr>
        <w:t>Company’s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In addition, the Federal Forum Provision applies, to the fullest extent permitted by law,</w:t>
      </w:r>
    </w:p>
    <w:p>
      <w:pPr>
        <w:spacing w:after="0" w:line="2" w:lineRule="exact"/>
        <w:rPr>
          <w:sz w:val="20"/>
          <w:szCs w:val="20"/>
          <w:color w:val="auto"/>
        </w:rPr>
      </w:pPr>
    </w:p>
    <w:p>
      <w:pPr>
        <w:ind w:left="660" w:right="100"/>
        <w:spacing w:after="0" w:line="234" w:lineRule="auto"/>
        <w:rPr>
          <w:sz w:val="20"/>
          <w:szCs w:val="20"/>
          <w:color w:val="auto"/>
        </w:rPr>
      </w:pPr>
      <w:r>
        <w:rPr>
          <w:rFonts w:ascii="Arial" w:cs="Arial" w:eastAsia="Arial" w:hAnsi="Arial"/>
          <w:sz w:val="16"/>
          <w:szCs w:val="16"/>
          <w:color w:val="auto"/>
        </w:rPr>
        <w:t>to suits brought to enforce any duty or liability created by the Exchange Act. Accordingly, actions by the Company’s stockholders to enforce any duty or liability created by the Exchange Act or the rules and regulations thereunder must be brought in federal court. The Company’s stockholders will not be deemed to have waived the Company’s compliance with the federal securities laws and the regulations promulgated</w:t>
      </w:r>
    </w:p>
    <w:p>
      <w:pPr>
        <w:spacing w:after="0" w:line="2" w:lineRule="exact"/>
        <w:rPr>
          <w:sz w:val="20"/>
          <w:szCs w:val="20"/>
          <w:color w:val="auto"/>
        </w:rPr>
      </w:pPr>
    </w:p>
    <w:p>
      <w:pPr>
        <w:jc w:val="both"/>
        <w:ind w:left="660" w:right="60"/>
        <w:spacing w:after="0" w:line="234" w:lineRule="auto"/>
        <w:rPr>
          <w:sz w:val="20"/>
          <w:szCs w:val="20"/>
          <w:color w:val="auto"/>
        </w:rPr>
      </w:pPr>
      <w:r>
        <w:rPr>
          <w:rFonts w:ascii="Arial" w:cs="Arial" w:eastAsia="Arial" w:hAnsi="Arial"/>
          <w:sz w:val="16"/>
          <w:szCs w:val="16"/>
          <w:color w:val="auto"/>
        </w:rPr>
        <w:t>thereunder. Any person or entity purchasing or otherwise acquiring or holding any interest in any of the Company’s securities shall be deemed to have notice of and consented to the Company’s exclusive forum provisions, including the Federal Forum Provision. These provisions may limit a stockholder’s ability to bring a claim in a judicial forum of their choosing for disputes with the Company or the Company’s directors, officers, or</w:t>
      </w:r>
    </w:p>
    <w:p>
      <w:pPr>
        <w:spacing w:after="0" w:line="2" w:lineRule="exact"/>
        <w:rPr>
          <w:sz w:val="20"/>
          <w:szCs w:val="20"/>
          <w:color w:val="auto"/>
        </w:rPr>
      </w:pPr>
    </w:p>
    <w:p>
      <w:pPr>
        <w:ind w:right="1060" w:firstLine="648"/>
        <w:spacing w:after="0" w:line="226" w:lineRule="auto"/>
        <w:rPr>
          <w:sz w:val="20"/>
          <w:szCs w:val="20"/>
          <w:color w:val="auto"/>
        </w:rPr>
      </w:pPr>
      <w:r>
        <w:rPr>
          <w:rFonts w:ascii="Arial" w:cs="Arial" w:eastAsia="Arial" w:hAnsi="Arial"/>
          <w:sz w:val="18"/>
          <w:szCs w:val="18"/>
          <w:color w:val="auto"/>
        </w:rPr>
        <w:t xml:space="preserve">other employees, which may discourage lawsuits against the Company and the Company’s directors, officers, and other employees. </w:t>
      </w:r>
      <w:r>
        <w:rPr>
          <w:rFonts w:ascii="Arial" w:cs="Arial" w:eastAsia="Arial" w:hAnsi="Arial"/>
          <w:sz w:val="18"/>
          <w:szCs w:val="18"/>
          <w:b w:val="1"/>
          <w:bCs w:val="1"/>
          <w:color w:val="auto"/>
        </w:rPr>
        <w:t>Transfer Agent and Registrar</w:t>
      </w:r>
    </w:p>
    <w:p>
      <w:pPr>
        <w:spacing w:after="0" w:line="107" w:lineRule="exact"/>
        <w:rPr>
          <w:sz w:val="20"/>
          <w:szCs w:val="20"/>
          <w:color w:val="auto"/>
        </w:rPr>
      </w:pPr>
    </w:p>
    <w:p>
      <w:pPr>
        <w:ind w:right="180" w:firstLine="324"/>
        <w:spacing w:after="0" w:line="246" w:lineRule="auto"/>
        <w:rPr>
          <w:sz w:val="20"/>
          <w:szCs w:val="20"/>
          <w:color w:val="auto"/>
        </w:rPr>
      </w:pPr>
      <w:r>
        <w:rPr>
          <w:rFonts w:ascii="Arial" w:cs="Arial" w:eastAsia="Arial" w:hAnsi="Arial"/>
          <w:sz w:val="18"/>
          <w:szCs w:val="18"/>
          <w:color w:val="auto"/>
        </w:rPr>
        <w:t>The transfer agent and registrar for our Class A common stock and Class B common stock is American Stock Transfer &amp; Trust Company, LLC. The transfer agent’s address is 6201 15th Avenue, Brooklyn, New York 11219.</w:t>
      </w:r>
    </w:p>
    <w:p>
      <w:pPr>
        <w:sectPr>
          <w:pgSz w:w="11900" w:h="16838" w:orient="portrait"/>
          <w:cols w:equalWidth="0" w:num="1">
            <w:col w:w="11180"/>
          </w:cols>
          <w:pgMar w:left="320" w:top="1408" w:right="3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711835</wp:posOffset>
            </wp:positionV>
            <wp:extent cx="1585595" cy="291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158559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NEXTDOOR, INC.</w:t>
      </w:r>
    </w:p>
    <w:p>
      <w:pPr>
        <w:jc w:val="center"/>
        <w:spacing w:after="0"/>
        <w:rPr>
          <w:sz w:val="20"/>
          <w:szCs w:val="20"/>
          <w:color w:val="auto"/>
        </w:rPr>
      </w:pPr>
      <w:r>
        <w:rPr>
          <w:rFonts w:ascii="Arial" w:cs="Arial" w:eastAsia="Arial" w:hAnsi="Arial"/>
          <w:sz w:val="20"/>
          <w:szCs w:val="20"/>
          <w:b w:val="1"/>
          <w:bCs w:val="1"/>
          <w:color w:val="auto"/>
        </w:rPr>
        <w:t>2023 INCENTIVE COMPENSATION PLAN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This Nextdoor, Inc. (“</w:t>
      </w:r>
      <w:r>
        <w:rPr>
          <w:rFonts w:ascii="Arial" w:cs="Arial" w:eastAsia="Arial" w:hAnsi="Arial"/>
          <w:sz w:val="19"/>
          <w:szCs w:val="19"/>
          <w:b w:val="1"/>
          <w:bCs w:val="1"/>
          <w:i w:val="1"/>
          <w:iCs w:val="1"/>
          <w:color w:val="auto"/>
        </w:rPr>
        <w:t>Nextdoor” or the “Company</w:t>
      </w:r>
      <w:r>
        <w:rPr>
          <w:rFonts w:ascii="Arial" w:cs="Arial" w:eastAsia="Arial" w:hAnsi="Arial"/>
          <w:sz w:val="19"/>
          <w:szCs w:val="19"/>
          <w:color w:val="auto"/>
        </w:rPr>
        <w:t>”) 2023 Incentive Compensation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has been established as part of</w:t>
      </w:r>
    </w:p>
    <w:p>
      <w:pPr>
        <w:spacing w:after="0" w:line="220" w:lineRule="auto"/>
        <w:rPr>
          <w:sz w:val="20"/>
          <w:szCs w:val="20"/>
          <w:color w:val="auto"/>
        </w:rPr>
      </w:pPr>
      <w:r>
        <w:rPr>
          <w:rFonts w:ascii="Arial" w:cs="Arial" w:eastAsia="Arial" w:hAnsi="Arial"/>
          <w:sz w:val="20"/>
          <w:szCs w:val="20"/>
          <w:color w:val="auto"/>
        </w:rPr>
        <w:t>Nextdoor’s overall effort to attract and retain high quality sales people and to reward those employees for meeting and exceeding the sales-related goals and objectives set by Nextdoor.</w:t>
      </w:r>
    </w:p>
    <w:p>
      <w:pPr>
        <w:spacing w:after="0" w:line="191" w:lineRule="exact"/>
        <w:rPr>
          <w:sz w:val="20"/>
          <w:szCs w:val="20"/>
          <w:color w:val="auto"/>
        </w:rPr>
      </w:pPr>
    </w:p>
    <w:p>
      <w:pPr>
        <w:ind w:left="660" w:hanging="328"/>
        <w:spacing w:after="0" w:line="239"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Term</w:t>
      </w:r>
      <w:r>
        <w:rPr>
          <w:rFonts w:ascii="Arial" w:cs="Arial" w:eastAsia="Arial" w:hAnsi="Arial"/>
          <w:sz w:val="20"/>
          <w:szCs w:val="20"/>
          <w:color w:val="auto"/>
        </w:rPr>
        <w:t>. The Plan shall be effective as of January 1, 2023 and shall continue until it is amended or terminated by Nextdoor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9 below (the “</w:t>
      </w:r>
      <w:r>
        <w:rPr>
          <w:rFonts w:ascii="Arial" w:cs="Arial" w:eastAsia="Arial" w:hAnsi="Arial"/>
          <w:sz w:val="20"/>
          <w:szCs w:val="20"/>
          <w:b w:val="1"/>
          <w:bCs w:val="1"/>
          <w:i w:val="1"/>
          <w:iCs w:val="1"/>
          <w:color w:val="auto"/>
        </w:rPr>
        <w:t>Plan Period</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660" w:hanging="328"/>
        <w:spacing w:after="0" w:line="231" w:lineRule="auto"/>
        <w:tabs>
          <w:tab w:leader="none" w:pos="660" w:val="left"/>
        </w:tabs>
        <w:numPr>
          <w:ilvl w:val="0"/>
          <w:numId w:val="49"/>
        </w:numPr>
        <w:rPr>
          <w:rFonts w:ascii="Arial" w:cs="Arial" w:eastAsia="Arial" w:hAnsi="Arial"/>
          <w:sz w:val="19"/>
          <w:szCs w:val="19"/>
          <w:color w:val="auto"/>
        </w:rPr>
      </w:pPr>
      <w:r>
        <w:rPr>
          <w:rFonts w:ascii="Arial" w:cs="Arial" w:eastAsia="Arial" w:hAnsi="Arial"/>
          <w:sz w:val="19"/>
          <w:szCs w:val="19"/>
          <w:b w:val="1"/>
          <w:bCs w:val="1"/>
          <w:u w:val="single" w:color="auto"/>
          <w:color w:val="auto"/>
        </w:rPr>
        <w:t>Compensation Plan Overview</w:t>
      </w:r>
      <w:r>
        <w:rPr>
          <w:rFonts w:ascii="Arial" w:cs="Arial" w:eastAsia="Arial" w:hAnsi="Arial"/>
          <w:sz w:val="19"/>
          <w:szCs w:val="19"/>
          <w:color w:val="auto"/>
        </w:rPr>
        <w:t>. Employees who are eligible to earn incentive compensation under this Plan are “</w:t>
      </w:r>
      <w:r>
        <w:rPr>
          <w:rFonts w:ascii="Arial" w:cs="Arial" w:eastAsia="Arial" w:hAnsi="Arial"/>
          <w:sz w:val="19"/>
          <w:szCs w:val="19"/>
          <w:b w:val="1"/>
          <w:bCs w:val="1"/>
          <w:i w:val="1"/>
          <w:iCs w:val="1"/>
          <w:color w:val="auto"/>
        </w:rPr>
        <w:t>Participants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will be informed of their eligibility to earn incentive compensation under this Plan in Participant’s offer letter, or through written confirmation of their transfer into a Plan-eligible role, and upon receipt of this Plan and an individualized quarterly compensation Schedule (“</w:t>
      </w:r>
      <w:r>
        <w:rPr>
          <w:rFonts w:ascii="Arial" w:cs="Arial" w:eastAsia="Arial" w:hAnsi="Arial"/>
          <w:sz w:val="19"/>
          <w:szCs w:val="19"/>
          <w:b w:val="1"/>
          <w:bCs w:val="1"/>
          <w:i w:val="1"/>
          <w:iCs w:val="1"/>
          <w:color w:val="auto"/>
        </w:rPr>
        <w:t>Schedule</w:t>
      </w:r>
      <w:r>
        <w:rPr>
          <w:rFonts w:ascii="Arial" w:cs="Arial" w:eastAsia="Arial" w:hAnsi="Arial"/>
          <w:sz w:val="19"/>
          <w:szCs w:val="19"/>
          <w:color w:val="auto"/>
        </w:rPr>
        <w:t>”) setting forth the specific details of the Participant’s potential incentive compensation. Participant’s total potential quarterly compensation may consist of the following components:</w:t>
      </w:r>
    </w:p>
    <w:p>
      <w:pPr>
        <w:spacing w:after="0" w:line="191" w:lineRule="exact"/>
        <w:rPr>
          <w:sz w:val="20"/>
          <w:szCs w:val="20"/>
          <w:color w:val="auto"/>
        </w:rPr>
      </w:pPr>
    </w:p>
    <w:p>
      <w:pPr>
        <w:jc w:val="both"/>
        <w:ind w:left="1300" w:right="20" w:hanging="323"/>
        <w:spacing w:after="0" w:line="232"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b w:val="1"/>
          <w:bCs w:val="1"/>
          <w:u w:val="single" w:color="auto"/>
          <w:color w:val="auto"/>
        </w:rPr>
        <w:t>Base Salary</w:t>
      </w:r>
      <w:r>
        <w:rPr>
          <w:rFonts w:ascii="Arial" w:cs="Arial" w:eastAsia="Arial" w:hAnsi="Arial"/>
          <w:sz w:val="20"/>
          <w:szCs w:val="20"/>
          <w:color w:val="auto"/>
        </w:rPr>
        <w:t>. Base salary is Participant’s regular monthly salary, paid in accordance with Nextdoor’s established local payroll policies and practices, and is not considered incentive compensation.</w:t>
      </w:r>
    </w:p>
    <w:p>
      <w:pPr>
        <w:spacing w:after="0" w:line="190" w:lineRule="exact"/>
        <w:rPr>
          <w:sz w:val="20"/>
          <w:szCs w:val="20"/>
          <w:color w:val="auto"/>
        </w:rPr>
      </w:pPr>
    </w:p>
    <w:p>
      <w:pPr>
        <w:jc w:val="both"/>
        <w:ind w:left="1300" w:right="20" w:hanging="323"/>
        <w:spacing w:after="0" w:line="239"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b w:val="1"/>
          <w:bCs w:val="1"/>
          <w:u w:val="single" w:color="auto"/>
          <w:color w:val="auto"/>
        </w:rPr>
        <w:t>Commission</w:t>
      </w:r>
      <w:r>
        <w:rPr>
          <w:rFonts w:ascii="Arial" w:cs="Arial" w:eastAsia="Arial" w:hAnsi="Arial"/>
          <w:sz w:val="20"/>
          <w:szCs w:val="20"/>
          <w:color w:val="auto"/>
        </w:rPr>
        <w:t>. Participants may be eligible to earn commissions on sales activity (“</w:t>
      </w:r>
      <w:r>
        <w:rPr>
          <w:rFonts w:ascii="Arial" w:cs="Arial" w:eastAsia="Arial" w:hAnsi="Arial"/>
          <w:sz w:val="20"/>
          <w:szCs w:val="20"/>
          <w:b w:val="1"/>
          <w:bCs w:val="1"/>
          <w:i w:val="1"/>
          <w:iCs w:val="1"/>
          <w:color w:val="auto"/>
        </w:rPr>
        <w:t>Commissions</w:t>
      </w:r>
      <w:r>
        <w:rPr>
          <w:rFonts w:ascii="Arial" w:cs="Arial" w:eastAsia="Arial" w:hAnsi="Arial"/>
          <w:sz w:val="20"/>
          <w:szCs w:val="20"/>
          <w:color w:val="auto"/>
        </w:rPr>
        <w:t>”) at the rates set forth in the Participant’s Schedule and under the terms outlined below and in the Schedule.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b w:val="1"/>
          <w:bCs w:val="1"/>
          <w:u w:val="single" w:color="auto"/>
          <w:color w:val="auto"/>
        </w:rPr>
        <w:t>MBO Bonus</w:t>
      </w:r>
      <w:r>
        <w:rPr>
          <w:rFonts w:ascii="Arial" w:cs="Arial" w:eastAsia="Arial" w:hAnsi="Arial"/>
          <w:sz w:val="19"/>
          <w:szCs w:val="19"/>
          <w:color w:val="auto"/>
        </w:rPr>
        <w:t>. Participants may be eligible to earn a quarterly performance-based reward known as a Management by</w:t>
      </w:r>
    </w:p>
    <w:p>
      <w:pPr>
        <w:spacing w:after="0" w:line="6"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Objective Bonus (a “</w:t>
      </w:r>
      <w:r>
        <w:rPr>
          <w:rFonts w:ascii="Arial" w:cs="Arial" w:eastAsia="Arial" w:hAnsi="Arial"/>
          <w:sz w:val="18"/>
          <w:szCs w:val="18"/>
          <w:b w:val="1"/>
          <w:bCs w:val="1"/>
          <w:i w:val="1"/>
          <w:iCs w:val="1"/>
          <w:color w:val="auto"/>
        </w:rPr>
        <w:t>MBO Bonus</w:t>
      </w:r>
      <w:r>
        <w:rPr>
          <w:rFonts w:ascii="Arial" w:cs="Arial" w:eastAsia="Arial" w:hAnsi="Arial"/>
          <w:sz w:val="18"/>
          <w:szCs w:val="18"/>
          <w:color w:val="auto"/>
        </w:rPr>
        <w:t>”) at the rates set forth in the Participant’s Schedule and under the terms outlined below and in the Schedule. An MBO Bonus is designed to incentivize behaviors that will drive the long-term health of Nextdoor’s</w:t>
      </w:r>
    </w:p>
    <w:p>
      <w:pPr>
        <w:ind w:left="1300"/>
        <w:spacing w:after="0" w:line="236" w:lineRule="auto"/>
        <w:rPr>
          <w:sz w:val="20"/>
          <w:szCs w:val="20"/>
          <w:color w:val="auto"/>
        </w:rPr>
      </w:pPr>
      <w:r>
        <w:rPr>
          <w:rFonts w:ascii="Arial" w:cs="Arial" w:eastAsia="Arial" w:hAnsi="Arial"/>
          <w:sz w:val="18"/>
          <w:szCs w:val="18"/>
          <w:color w:val="auto"/>
        </w:rPr>
        <w:t>business. The target and potential payout amount of the MBO Bonus, if any, will be outlined in the Participant’s Schedule.</w:t>
      </w:r>
    </w:p>
    <w:p>
      <w:pPr>
        <w:spacing w:after="0" w:line="1" w:lineRule="exact"/>
        <w:rPr>
          <w:sz w:val="20"/>
          <w:szCs w:val="20"/>
          <w:color w:val="auto"/>
        </w:rPr>
      </w:pPr>
    </w:p>
    <w:p>
      <w:pPr>
        <w:ind w:left="1300"/>
        <w:spacing w:after="0" w:line="215" w:lineRule="auto"/>
        <w:rPr>
          <w:sz w:val="20"/>
          <w:szCs w:val="20"/>
          <w:color w:val="auto"/>
        </w:rPr>
      </w:pPr>
      <w:r>
        <w:rPr>
          <w:rFonts w:ascii="Arial" w:cs="Arial" w:eastAsia="Arial" w:hAnsi="Arial"/>
          <w:sz w:val="19"/>
          <w:szCs w:val="19"/>
          <w:color w:val="auto"/>
        </w:rPr>
        <w:t>The management objectives for the quarter will be set forth in the Participant’s Schedule, and such objectives will be evaluated by Participant’s assigned manager at the end of each quarter to determine whether and to what extent the</w:t>
      </w:r>
    </w:p>
    <w:p>
      <w:pPr>
        <w:ind w:left="1300"/>
        <w:spacing w:after="0" w:line="227" w:lineRule="auto"/>
        <w:rPr>
          <w:sz w:val="20"/>
          <w:szCs w:val="20"/>
          <w:color w:val="auto"/>
        </w:rPr>
      </w:pPr>
      <w:r>
        <w:rPr>
          <w:rFonts w:ascii="Arial" w:cs="Arial" w:eastAsia="Arial" w:hAnsi="Arial"/>
          <w:sz w:val="20"/>
          <w:szCs w:val="20"/>
          <w:color w:val="auto"/>
        </w:rPr>
        <w:t>objectives were achieved. A condition of earning any quarterly MBO Bonus is that the Participant must also be employed on the applicable quarterly payout date of any MBO Bonus.</w:t>
      </w:r>
    </w:p>
    <w:p>
      <w:pPr>
        <w:spacing w:after="0" w:line="177" w:lineRule="exact"/>
        <w:rPr>
          <w:sz w:val="20"/>
          <w:szCs w:val="20"/>
          <w:color w:val="auto"/>
        </w:rPr>
      </w:pPr>
    </w:p>
    <w:p>
      <w:pPr>
        <w:jc w:val="both"/>
        <w:ind w:left="1300" w:hanging="323"/>
        <w:spacing w:after="0" w:line="230"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b w:val="1"/>
          <w:bCs w:val="1"/>
          <w:u w:val="single" w:color="auto"/>
          <w:color w:val="auto"/>
        </w:rPr>
        <w:t>SPIFFs</w:t>
      </w:r>
      <w:r>
        <w:rPr>
          <w:rFonts w:ascii="Arial" w:cs="Arial" w:eastAsia="Arial" w:hAnsi="Arial"/>
          <w:sz w:val="20"/>
          <w:szCs w:val="20"/>
          <w:color w:val="auto"/>
        </w:rPr>
        <w:t>. Short-term or one-time bonus opportunities may be offered in connection with contests or similar short-term incentive effort (each, a “</w:t>
      </w:r>
      <w:r>
        <w:rPr>
          <w:rFonts w:ascii="Arial" w:cs="Arial" w:eastAsia="Arial" w:hAnsi="Arial"/>
          <w:sz w:val="20"/>
          <w:szCs w:val="20"/>
          <w:b w:val="1"/>
          <w:bCs w:val="1"/>
          <w:i w:val="1"/>
          <w:iCs w:val="1"/>
          <w:color w:val="auto"/>
        </w:rPr>
        <w:t>SPIFF</w:t>
      </w:r>
      <w:r>
        <w:rPr>
          <w:rFonts w:ascii="Arial" w:cs="Arial" w:eastAsia="Arial" w:hAnsi="Arial"/>
          <w:sz w:val="20"/>
          <w:szCs w:val="20"/>
          <w:color w:val="auto"/>
        </w:rPr>
        <w:t>”). SPIFFs may be announced from time to time, at Nextdoor’s discretion, and the terms will be communicated to Participants via email or similar written announcement.</w:t>
      </w:r>
    </w:p>
    <w:p>
      <w:pPr>
        <w:spacing w:after="0" w:line="18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Plan, the Participant’s Schedule, and any SPIFF announcements govern the potential incentive compensation for the Participant, and constitute the entire agreement between the Company and the Participant regarding incentive compensation. In the event of any conflict</w:t>
      </w:r>
    </w:p>
    <w:p>
      <w:pPr>
        <w:ind w:right="20"/>
        <w:spacing w:after="0" w:line="220" w:lineRule="auto"/>
        <w:rPr>
          <w:sz w:val="20"/>
          <w:szCs w:val="20"/>
          <w:color w:val="auto"/>
        </w:rPr>
      </w:pPr>
      <w:r>
        <w:rPr>
          <w:rFonts w:ascii="Arial" w:cs="Arial" w:eastAsia="Arial" w:hAnsi="Arial"/>
          <w:sz w:val="20"/>
          <w:szCs w:val="20"/>
          <w:color w:val="auto"/>
        </w:rPr>
        <w:t>between the Plan (on the one hand), and a Participant’s Schedule and/or SPIFF announcement (on the other hand), the terms of this Plan will govern.</w:t>
      </w:r>
    </w:p>
    <w:p>
      <w:pPr>
        <w:spacing w:after="0" w:line="19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Eligibility Criteria for Incentive Compensation</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3.1. To be eligible to earn any Commissions under this Plan and the Schedule, Participant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2023 Incentive Compensation Plan</w:t>
      </w:r>
    </w:p>
    <w:p>
      <w:pPr>
        <w:sectPr>
          <w:pgSz w:w="11900" w:h="16838" w:orient="portrait"/>
          <w:cols w:equalWidth="0" w:num="1">
            <w:col w:w="11240"/>
          </w:cols>
          <w:pgMar w:left="320" w:top="10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620"/>
        <w:spacing w:after="0"/>
        <w:tabs>
          <w:tab w:leader="none" w:pos="258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6"/>
          <w:szCs w:val="16"/>
          <w:color w:val="auto"/>
        </w:rPr>
        <w:t xml:space="preserve">Within </w:t>
      </w:r>
      <w:r>
        <w:rPr>
          <w:rFonts w:ascii="Arial" w:cs="Arial" w:eastAsia="Arial" w:hAnsi="Arial"/>
          <w:sz w:val="16"/>
          <w:szCs w:val="16"/>
          <w:b w:val="1"/>
          <w:bCs w:val="1"/>
          <w:color w:val="auto"/>
        </w:rPr>
        <w:t>fifteen (15)</w:t>
      </w:r>
      <w:r>
        <w:rPr>
          <w:rFonts w:ascii="Arial" w:cs="Arial" w:eastAsia="Arial" w:hAnsi="Arial"/>
          <w:sz w:val="16"/>
          <w:szCs w:val="16"/>
          <w:color w:val="auto"/>
        </w:rPr>
        <w:t xml:space="preserve"> days of receipt of the Plan and Schedule sign and return the Plan and Schedule; and</w:t>
      </w:r>
    </w:p>
    <w:p>
      <w:pPr>
        <w:spacing w:after="0" w:line="222" w:lineRule="exact"/>
        <w:rPr>
          <w:sz w:val="20"/>
          <w:szCs w:val="20"/>
          <w:color w:val="auto"/>
        </w:rPr>
      </w:pPr>
    </w:p>
    <w:p>
      <w:pPr>
        <w:ind w:left="1620"/>
        <w:spacing w:after="0"/>
        <w:tabs>
          <w:tab w:leader="none" w:pos="258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6"/>
          <w:szCs w:val="16"/>
          <w:color w:val="auto"/>
        </w:rPr>
        <w:t>Otherwise adhere to and meet the terms and conditions of the Plan and Schedule.</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3.2. In order to be eligible to earn any MBO Bonus under this Plan and the Schedule, Participant must:</w:t>
      </w:r>
    </w:p>
    <w:p>
      <w:pPr>
        <w:spacing w:after="0" w:line="210" w:lineRule="exact"/>
        <w:rPr>
          <w:sz w:val="20"/>
          <w:szCs w:val="20"/>
          <w:color w:val="auto"/>
        </w:rPr>
      </w:pPr>
    </w:p>
    <w:p>
      <w:pPr>
        <w:ind w:left="1620"/>
        <w:spacing w:after="0"/>
        <w:tabs>
          <w:tab w:leader="none" w:pos="258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6"/>
          <w:szCs w:val="16"/>
          <w:color w:val="auto"/>
        </w:rPr>
        <w:t xml:space="preserve">Within </w:t>
      </w:r>
      <w:r>
        <w:rPr>
          <w:rFonts w:ascii="Arial" w:cs="Arial" w:eastAsia="Arial" w:hAnsi="Arial"/>
          <w:sz w:val="16"/>
          <w:szCs w:val="16"/>
          <w:b w:val="1"/>
          <w:bCs w:val="1"/>
          <w:color w:val="auto"/>
        </w:rPr>
        <w:t>fifteen (15)</w:t>
      </w:r>
      <w:r>
        <w:rPr>
          <w:rFonts w:ascii="Arial" w:cs="Arial" w:eastAsia="Arial" w:hAnsi="Arial"/>
          <w:sz w:val="16"/>
          <w:szCs w:val="16"/>
          <w:color w:val="auto"/>
        </w:rPr>
        <w:t xml:space="preserve"> days of receipt of the Plan and Schedule, sign and return the Plan and Schedule;</w:t>
      </w:r>
    </w:p>
    <w:p>
      <w:pPr>
        <w:spacing w:after="0" w:line="222" w:lineRule="exact"/>
        <w:rPr>
          <w:sz w:val="20"/>
          <w:szCs w:val="20"/>
          <w:color w:val="auto"/>
        </w:rPr>
      </w:pPr>
    </w:p>
    <w:p>
      <w:pPr>
        <w:ind w:left="1620"/>
        <w:spacing w:after="0"/>
        <w:tabs>
          <w:tab w:leader="none" w:pos="258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18"/>
          <w:szCs w:val="18"/>
          <w:color w:val="auto"/>
        </w:rPr>
        <w:t>Be an employee of Nextdoor on the day on which the MBO Bonus is paid to Participants; and</w:t>
      </w:r>
    </w:p>
    <w:p>
      <w:pPr>
        <w:spacing w:after="0" w:line="202" w:lineRule="exact"/>
        <w:rPr>
          <w:sz w:val="20"/>
          <w:szCs w:val="20"/>
          <w:color w:val="auto"/>
        </w:rPr>
      </w:pPr>
    </w:p>
    <w:p>
      <w:pPr>
        <w:ind w:left="1620"/>
        <w:spacing w:after="0"/>
        <w:tabs>
          <w:tab w:leader="none" w:pos="2580" w:val="left"/>
        </w:tabs>
        <w:rPr>
          <w:sz w:val="20"/>
          <w:szCs w:val="20"/>
          <w:color w:val="auto"/>
        </w:rPr>
      </w:pPr>
      <w:r>
        <w:rPr>
          <w:rFonts w:ascii="Arial" w:cs="Arial" w:eastAsia="Arial" w:hAnsi="Arial"/>
          <w:sz w:val="20"/>
          <w:szCs w:val="20"/>
          <w:color w:val="auto"/>
        </w:rPr>
        <w:t>3.2.3.</w:t>
      </w:r>
      <w:r>
        <w:rPr>
          <w:sz w:val="20"/>
          <w:szCs w:val="20"/>
          <w:color w:val="auto"/>
        </w:rPr>
        <w:tab/>
      </w:r>
      <w:r>
        <w:rPr>
          <w:rFonts w:ascii="Arial" w:cs="Arial" w:eastAsia="Arial" w:hAnsi="Arial"/>
          <w:sz w:val="16"/>
          <w:szCs w:val="16"/>
          <w:color w:val="auto"/>
        </w:rPr>
        <w:t>Otherwise adhere to and meet the terms and conditions of the Plan and Schedule.</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3.3. In order to be eligible to earn a SPIFF, Participant need only accomplish the criteria set forth in the SPIFF announcement and</w:t>
      </w:r>
    </w:p>
    <w:p>
      <w:pPr>
        <w:spacing w:after="0" w:line="35"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be an employee of Nextdoor on the day on which the SPIFF is paid to Participants. No signature will be required to participate or be eligible to receive a SPIFF, though Participant may be required to utilize a record-keeping mechanism</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determined by Nextdoor in order to track completion of the SPIFF criteria.</w:t>
      </w:r>
    </w:p>
    <w:p>
      <w:pPr>
        <w:spacing w:after="0" w:line="200"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Employees who do not sign the Plan and Schedule will not be Participants, and therefore, are not eligible to earn or be paid any incentive compensation under the Plan.</w:t>
      </w:r>
    </w:p>
    <w:p>
      <w:pPr>
        <w:spacing w:after="0" w:line="190" w:lineRule="exact"/>
        <w:rPr>
          <w:sz w:val="20"/>
          <w:szCs w:val="20"/>
          <w:color w:val="auto"/>
        </w:rPr>
      </w:pPr>
    </w:p>
    <w:p>
      <w:pPr>
        <w:ind w:left="660" w:hanging="328"/>
        <w:spacing w:after="0" w:line="239" w:lineRule="auto"/>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b w:val="1"/>
          <w:bCs w:val="1"/>
          <w:u w:val="single" w:color="auto"/>
          <w:color w:val="auto"/>
        </w:rPr>
        <w:t>Commissions and Quotas</w:t>
      </w:r>
      <w:r>
        <w:rPr>
          <w:rFonts w:ascii="Arial" w:cs="Arial" w:eastAsia="Arial" w:hAnsi="Arial"/>
          <w:sz w:val="20"/>
          <w:szCs w:val="20"/>
          <w:color w:val="auto"/>
        </w:rPr>
        <w:t>. Commissions are incentive compensation paid based on Participant’s achievement of an individually</w:t>
      </w:r>
      <w:r>
        <w:rPr>
          <w:rFonts w:ascii="Arial" w:cs="Arial" w:eastAsia="Arial" w:hAnsi="Arial"/>
          <w:sz w:val="20"/>
          <w:szCs w:val="20"/>
          <w:b w:val="1"/>
          <w:bCs w:val="1"/>
          <w:color w:val="auto"/>
        </w:rPr>
        <w:t xml:space="preserve"> </w:t>
      </w:r>
      <w:r>
        <w:rPr>
          <w:rFonts w:ascii="Arial" w:cs="Arial" w:eastAsia="Arial" w:hAnsi="Arial"/>
          <w:sz w:val="20"/>
          <w:szCs w:val="20"/>
          <w:color w:val="auto"/>
        </w:rPr>
        <w:t>assigned quarterly sales quota (“</w:t>
      </w:r>
      <w:r>
        <w:rPr>
          <w:rFonts w:ascii="Arial" w:cs="Arial" w:eastAsia="Arial" w:hAnsi="Arial"/>
          <w:sz w:val="20"/>
          <w:szCs w:val="20"/>
          <w:b w:val="1"/>
          <w:bCs w:val="1"/>
          <w:i w:val="1"/>
          <w:iCs w:val="1"/>
          <w:color w:val="auto"/>
        </w:rPr>
        <w:t>Sales Quota</w:t>
      </w:r>
      <w:r>
        <w:rPr>
          <w:rFonts w:ascii="Arial" w:cs="Arial" w:eastAsia="Arial" w:hAnsi="Arial"/>
          <w:sz w:val="20"/>
          <w:szCs w:val="20"/>
          <w:color w:val="auto"/>
        </w:rPr>
        <w:t>”).</w:t>
      </w:r>
    </w:p>
    <w:p>
      <w:pPr>
        <w:spacing w:after="0" w:line="176" w:lineRule="exact"/>
        <w:rPr>
          <w:sz w:val="20"/>
          <w:szCs w:val="20"/>
          <w:color w:val="auto"/>
        </w:rPr>
      </w:pPr>
    </w:p>
    <w:p>
      <w:pPr>
        <w:jc w:val="right"/>
        <w:ind w:left="980"/>
        <w:spacing w:after="0" w:line="24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Earned Commissions</w:t>
      </w:r>
      <w:r>
        <w:rPr>
          <w:rFonts w:ascii="Arial" w:cs="Arial" w:eastAsia="Arial" w:hAnsi="Arial"/>
          <w:sz w:val="18"/>
          <w:szCs w:val="18"/>
          <w:color w:val="auto"/>
        </w:rPr>
        <w:t>. To earn Commissions, Participants must fulfill all conditions to earning set forth in this Plan and in accordance with the Participant’s Schedule. Commissions are earned (“</w:t>
      </w:r>
      <w:r>
        <w:rPr>
          <w:rFonts w:ascii="Arial" w:cs="Arial" w:eastAsia="Arial" w:hAnsi="Arial"/>
          <w:sz w:val="18"/>
          <w:szCs w:val="18"/>
          <w:b w:val="1"/>
          <w:bCs w:val="1"/>
          <w:i w:val="1"/>
          <w:iCs w:val="1"/>
          <w:color w:val="auto"/>
        </w:rPr>
        <w:t>Earned Commissions</w:t>
      </w:r>
      <w:r>
        <w:rPr>
          <w:rFonts w:ascii="Arial" w:cs="Arial" w:eastAsia="Arial" w:hAnsi="Arial"/>
          <w:sz w:val="18"/>
          <w:szCs w:val="18"/>
          <w:color w:val="auto"/>
        </w:rPr>
        <w:t>”) by the Participant when the</w:t>
      </w:r>
    </w:p>
    <w:p>
      <w:pPr>
        <w:ind w:left="1300"/>
        <w:spacing w:after="0" w:line="198" w:lineRule="auto"/>
        <w:rPr>
          <w:sz w:val="20"/>
          <w:szCs w:val="20"/>
          <w:color w:val="auto"/>
        </w:rPr>
      </w:pPr>
      <w:r>
        <w:rPr>
          <w:rFonts w:ascii="Arial" w:cs="Arial" w:eastAsia="Arial" w:hAnsi="Arial"/>
          <w:sz w:val="20"/>
          <w:szCs w:val="20"/>
          <w:color w:val="auto"/>
        </w:rPr>
        <w:t>following conditions are met:</w:t>
      </w:r>
    </w:p>
    <w:p>
      <w:pPr>
        <w:ind w:left="1960" w:hanging="323"/>
        <w:spacing w:after="0" w:line="227" w:lineRule="auto"/>
        <w:rPr>
          <w:sz w:val="20"/>
          <w:szCs w:val="20"/>
          <w:color w:val="auto"/>
        </w:rPr>
      </w:pPr>
      <w:r>
        <w:rPr>
          <w:rFonts w:ascii="Arial" w:cs="Arial" w:eastAsia="Arial" w:hAnsi="Arial"/>
          <w:sz w:val="20"/>
          <w:szCs w:val="20"/>
          <w:color w:val="auto"/>
        </w:rPr>
        <w:t>4.1.1.</w:t>
      </w:r>
      <w:r>
        <w:rPr>
          <w:sz w:val="20"/>
          <w:szCs w:val="20"/>
          <w:color w:val="auto"/>
        </w:rPr>
        <w:t xml:space="preserve"> </w:t>
      </w:r>
      <w:r>
        <w:rPr>
          <w:rFonts w:ascii="Arial" w:cs="Arial" w:eastAsia="Arial" w:hAnsi="Arial"/>
          <w:sz w:val="20"/>
          <w:szCs w:val="20"/>
          <w:color w:val="auto"/>
        </w:rPr>
        <w:t>The Participant completes an Order Form (as defined below) for a customer of Nextdoor, which is signed by the customer and the Company;</w:t>
      </w:r>
    </w:p>
    <w:p>
      <w:pPr>
        <w:spacing w:after="0" w:line="183" w:lineRule="exact"/>
        <w:rPr>
          <w:sz w:val="20"/>
          <w:szCs w:val="20"/>
          <w:color w:val="auto"/>
        </w:rPr>
      </w:pPr>
    </w:p>
    <w:p>
      <w:pPr>
        <w:ind w:left="1620"/>
        <w:spacing w:after="0"/>
        <w:tabs>
          <w:tab w:leader="none" w:pos="258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6"/>
          <w:szCs w:val="16"/>
          <w:color w:val="auto"/>
        </w:rPr>
        <w:t>There are no outstanding obligations under the Order Form;</w:t>
      </w:r>
    </w:p>
    <w:p>
      <w:pPr>
        <w:spacing w:after="0" w:line="216" w:lineRule="exact"/>
        <w:rPr>
          <w:sz w:val="20"/>
          <w:szCs w:val="20"/>
          <w:color w:val="auto"/>
        </w:rPr>
      </w:pPr>
    </w:p>
    <w:p>
      <w:pPr>
        <w:ind w:left="1620"/>
        <w:spacing w:after="0"/>
        <w:tabs>
          <w:tab w:leader="none" w:pos="258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6"/>
          <w:szCs w:val="16"/>
          <w:color w:val="auto"/>
        </w:rPr>
        <w:t>The Company issues an Invoice (as defined below) to the customer related to the Order Form;</w:t>
      </w:r>
    </w:p>
    <w:p>
      <w:pPr>
        <w:spacing w:after="0" w:line="216" w:lineRule="exact"/>
        <w:rPr>
          <w:sz w:val="20"/>
          <w:szCs w:val="20"/>
          <w:color w:val="auto"/>
        </w:rPr>
      </w:pPr>
    </w:p>
    <w:p>
      <w:pPr>
        <w:ind w:left="1960" w:right="20" w:hanging="323"/>
        <w:spacing w:after="0" w:line="229" w:lineRule="auto"/>
        <w:rPr>
          <w:sz w:val="20"/>
          <w:szCs w:val="20"/>
          <w:color w:val="auto"/>
        </w:rPr>
      </w:pPr>
      <w:r>
        <w:rPr>
          <w:rFonts w:ascii="Arial" w:cs="Arial" w:eastAsia="Arial" w:hAnsi="Arial"/>
          <w:sz w:val="20"/>
          <w:szCs w:val="20"/>
          <w:color w:val="auto"/>
        </w:rPr>
        <w:t>4.1.4.</w:t>
      </w:r>
      <w:r>
        <w:rPr>
          <w:sz w:val="20"/>
          <w:szCs w:val="20"/>
          <w:color w:val="auto"/>
        </w:rPr>
        <w:t xml:space="preserve"> </w:t>
      </w:r>
      <w:r>
        <w:rPr>
          <w:rFonts w:ascii="Arial" w:cs="Arial" w:eastAsia="Arial" w:hAnsi="Arial"/>
          <w:sz w:val="20"/>
          <w:szCs w:val="20"/>
          <w:color w:val="auto"/>
        </w:rPr>
        <w:t>The Company has received full payment from the customer in accordance with the terms set forth in the applicable Order Form and Invoice, and all related contingencies are extinguished; and</w:t>
      </w:r>
    </w:p>
    <w:p>
      <w:pPr>
        <w:spacing w:after="0" w:line="196" w:lineRule="exact"/>
        <w:rPr>
          <w:sz w:val="20"/>
          <w:szCs w:val="20"/>
          <w:color w:val="auto"/>
        </w:rPr>
      </w:pPr>
    </w:p>
    <w:p>
      <w:pPr>
        <w:ind w:left="1960" w:hanging="323"/>
        <w:spacing w:after="0" w:line="236" w:lineRule="auto"/>
        <w:rPr>
          <w:sz w:val="20"/>
          <w:szCs w:val="20"/>
          <w:color w:val="auto"/>
        </w:rPr>
      </w:pPr>
      <w:r>
        <w:rPr>
          <w:rFonts w:ascii="Arial" w:cs="Arial" w:eastAsia="Arial" w:hAnsi="Arial"/>
          <w:sz w:val="20"/>
          <w:szCs w:val="20"/>
          <w:color w:val="auto"/>
        </w:rPr>
        <w:t>4.1.5.</w:t>
      </w:r>
      <w:r>
        <w:rPr>
          <w:sz w:val="20"/>
          <w:szCs w:val="20"/>
          <w:color w:val="auto"/>
        </w:rPr>
        <w:t xml:space="preserve"> </w:t>
      </w:r>
      <w:r>
        <w:rPr>
          <w:rFonts w:ascii="Arial" w:cs="Arial" w:eastAsia="Arial" w:hAnsi="Arial"/>
          <w:sz w:val="20"/>
          <w:szCs w:val="20"/>
          <w:color w:val="auto"/>
        </w:rPr>
        <w:t>The Company has recognized the revenue related to the Order Form and Invoice under Generally Accepted Accounting Principles (GAAP) (as applied by the Company).</w:t>
      </w:r>
    </w:p>
    <w:p>
      <w:pPr>
        <w:spacing w:after="0" w:line="18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Nextdoor reserves the right to pay Commissions in advance of the date upon which the Commissions are earned (see Section 5.1 below). Commission Advances (defined below) do not constitute Earned Commissions and are subject to adjustments and Clawbacks if the Commission is not earned (see Section 5.2 below).</w:t>
      </w:r>
    </w:p>
    <w:p>
      <w:pPr>
        <w:spacing w:after="0" w:line="17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For the purposes of this Plan, the term “</w:t>
      </w:r>
      <w:r>
        <w:rPr>
          <w:rFonts w:ascii="Arial" w:cs="Arial" w:eastAsia="Arial" w:hAnsi="Arial"/>
          <w:sz w:val="20"/>
          <w:szCs w:val="20"/>
          <w:b w:val="1"/>
          <w:bCs w:val="1"/>
          <w:color w:val="auto"/>
        </w:rPr>
        <w:t>Order Form</w:t>
      </w:r>
      <w:r>
        <w:rPr>
          <w:rFonts w:ascii="Arial" w:cs="Arial" w:eastAsia="Arial" w:hAnsi="Arial"/>
          <w:sz w:val="20"/>
          <w:szCs w:val="20"/>
          <w:color w:val="auto"/>
        </w:rPr>
        <w:t>” shall be defined as an insertion order, a credit card payment record, a sales agreement between Nextdoor and customer, or any other mechanism by which a sale is made by Nextdoor. For the purposes of this Plan, the term “</w:t>
      </w:r>
      <w:r>
        <w:rPr>
          <w:rFonts w:ascii="Arial" w:cs="Arial" w:eastAsia="Arial" w:hAnsi="Arial"/>
          <w:sz w:val="20"/>
          <w:szCs w:val="20"/>
          <w:b w:val="1"/>
          <w:bCs w:val="1"/>
          <w:color w:val="auto"/>
        </w:rPr>
        <w:t>Invoice</w:t>
      </w:r>
      <w:r>
        <w:rPr>
          <w:rFonts w:ascii="Arial" w:cs="Arial" w:eastAsia="Arial" w:hAnsi="Arial"/>
          <w:sz w:val="20"/>
          <w:szCs w:val="20"/>
          <w:color w:val="auto"/>
        </w:rPr>
        <w:t>” shall be defined as a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2023 Incentive Compensation Plan</w:t>
      </w:r>
    </w:p>
    <w:p>
      <w:pPr>
        <w:sectPr>
          <w:pgSz w:w="11900" w:h="16838" w:orient="portrait"/>
          <w:cols w:equalWidth="0" w:num="1">
            <w:col w:w="11240"/>
          </w:cols>
          <w:pgMar w:left="320" w:top="108"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 payment sent by Nextdoor or by a partner on behalf of Nextdoor, to a customer. For the purposes of this Plan, the term “</w:t>
      </w:r>
      <w:r>
        <w:rPr>
          <w:rFonts w:ascii="Arial" w:cs="Arial" w:eastAsia="Arial" w:hAnsi="Arial"/>
          <w:sz w:val="18"/>
          <w:szCs w:val="18"/>
          <w:b w:val="1"/>
          <w:bCs w:val="1"/>
          <w:color w:val="auto"/>
        </w:rPr>
        <w:t>customer</w:t>
      </w:r>
      <w:r>
        <w:rPr>
          <w:rFonts w:ascii="Arial" w:cs="Arial" w:eastAsia="Arial" w:hAnsi="Arial"/>
          <w:sz w:val="18"/>
          <w:szCs w:val="18"/>
          <w:color w:val="auto"/>
        </w:rPr>
        <w:t>” describes a prospective or existing Nextdoor paying customer, which may include advertisers, agencies, or other businesses.</w:t>
      </w:r>
    </w:p>
    <w:p>
      <w:pPr>
        <w:spacing w:after="0" w:line="131" w:lineRule="exact"/>
        <w:rPr>
          <w:sz w:val="20"/>
          <w:szCs w:val="20"/>
          <w:color w:val="auto"/>
        </w:rPr>
      </w:pPr>
    </w:p>
    <w:p>
      <w:pPr>
        <w:jc w:val="right"/>
        <w:ind w:left="980"/>
        <w:spacing w:after="0" w:line="24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Sales Quotas</w:t>
      </w:r>
      <w:r>
        <w:rPr>
          <w:rFonts w:ascii="Arial" w:cs="Arial" w:eastAsia="Arial" w:hAnsi="Arial"/>
          <w:sz w:val="18"/>
          <w:szCs w:val="18"/>
          <w:color w:val="auto"/>
        </w:rPr>
        <w:t>. A Participant who is eligible to earn Commissions will be assigned a Sales Quota in the Participant’s Schedule. A Sales Quota is an individual or team target, as applicable, and is determined for a Participant in the Company’s</w:t>
      </w:r>
    </w:p>
    <w:p>
      <w:pPr>
        <w:spacing w:after="0" w:line="1"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sole discretion based on a variety of factors, which may include past performance. The Participant’s Schedule will outline the type and amount of a Participant’s Sales Quota along with any terms, conditions, rules, designations, and provisions that</w:t>
      </w:r>
    </w:p>
    <w:p>
      <w:pPr>
        <w:ind w:left="1300"/>
        <w:spacing w:after="0" w:line="224" w:lineRule="auto"/>
        <w:rPr>
          <w:sz w:val="20"/>
          <w:szCs w:val="20"/>
          <w:color w:val="auto"/>
        </w:rPr>
      </w:pPr>
      <w:r>
        <w:rPr>
          <w:rFonts w:ascii="Arial" w:cs="Arial" w:eastAsia="Arial" w:hAnsi="Arial"/>
          <w:sz w:val="19"/>
          <w:szCs w:val="19"/>
          <w:color w:val="auto"/>
        </w:rPr>
        <w:t>apply to that Participant. Participants receive credit towards their Sales Quota for each executed Order Form that the</w:t>
      </w:r>
    </w:p>
    <w:p>
      <w:pPr>
        <w:ind w:left="1300"/>
        <w:spacing w:after="0" w:line="226" w:lineRule="auto"/>
        <w:rPr>
          <w:sz w:val="20"/>
          <w:szCs w:val="20"/>
          <w:color w:val="auto"/>
        </w:rPr>
      </w:pPr>
      <w:r>
        <w:rPr>
          <w:rFonts w:ascii="Arial" w:cs="Arial" w:eastAsia="Arial" w:hAnsi="Arial"/>
          <w:sz w:val="18"/>
          <w:szCs w:val="18"/>
          <w:color w:val="auto"/>
        </w:rPr>
        <w:t>Participant or Participant’s team (as applicable) is directly responsible for leading and obtaining as set forth in Participants' schedules, and for which an Invoice has been generated, as determined in good faith by the Company. Sale Quotas are</w:t>
      </w:r>
    </w:p>
    <w:p>
      <w:pPr>
        <w:ind w:left="1300"/>
        <w:spacing w:after="0" w:line="236" w:lineRule="auto"/>
        <w:rPr>
          <w:sz w:val="20"/>
          <w:szCs w:val="20"/>
          <w:color w:val="auto"/>
        </w:rPr>
      </w:pPr>
      <w:r>
        <w:rPr>
          <w:rFonts w:ascii="Arial" w:cs="Arial" w:eastAsia="Arial" w:hAnsi="Arial"/>
          <w:sz w:val="18"/>
          <w:szCs w:val="18"/>
          <w:color w:val="auto"/>
        </w:rPr>
        <w:t>individualized and may vary at the Company’s discretion. The Company reserves the right to adjust, amend or modify Sales</w:t>
      </w:r>
    </w:p>
    <w:p>
      <w:pPr>
        <w:spacing w:after="0" w:line="1" w:lineRule="exact"/>
        <w:rPr>
          <w:sz w:val="20"/>
          <w:szCs w:val="20"/>
          <w:color w:val="auto"/>
        </w:rPr>
      </w:pPr>
    </w:p>
    <w:p>
      <w:pPr>
        <w:ind w:left="1300" w:right="20"/>
        <w:spacing w:after="0" w:line="220" w:lineRule="auto"/>
        <w:rPr>
          <w:sz w:val="20"/>
          <w:szCs w:val="20"/>
          <w:color w:val="auto"/>
        </w:rPr>
      </w:pPr>
      <w:r>
        <w:rPr>
          <w:rFonts w:ascii="Arial" w:cs="Arial" w:eastAsia="Arial" w:hAnsi="Arial"/>
          <w:sz w:val="20"/>
          <w:szCs w:val="20"/>
          <w:color w:val="auto"/>
        </w:rPr>
        <w:t>Quotas at any time at the Company’s sole discretion. Any such adjustments will be prospective in nature, and will not cause or result in a forfeiture of Earned Commissions.</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Commission Rates</w:t>
      </w:r>
      <w:r>
        <w:rPr>
          <w:rFonts w:ascii="Arial" w:cs="Arial" w:eastAsia="Arial" w:hAnsi="Arial"/>
          <w:sz w:val="16"/>
          <w:szCs w:val="16"/>
          <w:color w:val="auto"/>
        </w:rPr>
        <w:t>. A Participant’s specific Commission rate is set forth in the Schedule. The Company reserves the right to</w:t>
      </w:r>
    </w:p>
    <w:p>
      <w:pPr>
        <w:spacing w:after="0" w:line="41" w:lineRule="exact"/>
        <w:rPr>
          <w:sz w:val="20"/>
          <w:szCs w:val="20"/>
          <w:color w:val="auto"/>
        </w:rPr>
      </w:pPr>
    </w:p>
    <w:p>
      <w:pPr>
        <w:ind w:left="1300"/>
        <w:spacing w:after="0" w:line="220" w:lineRule="auto"/>
        <w:rPr>
          <w:sz w:val="20"/>
          <w:szCs w:val="20"/>
          <w:color w:val="auto"/>
        </w:rPr>
      </w:pPr>
      <w:r>
        <w:rPr>
          <w:rFonts w:ascii="Arial" w:cs="Arial" w:eastAsia="Arial" w:hAnsi="Arial"/>
          <w:sz w:val="20"/>
          <w:szCs w:val="20"/>
          <w:color w:val="auto"/>
        </w:rPr>
        <w:t>adjust the Commission rate at any time in its sole discretion, with or without advance notice. Any such adjustment will be prospective in nature, and will not cause or result in a forfeiture of Earned Commissions.</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b w:val="1"/>
          <w:bCs w:val="1"/>
          <w:u w:val="single" w:color="auto"/>
          <w:color w:val="auto"/>
        </w:rPr>
        <w:t>Payment of Commissions</w:t>
      </w:r>
      <w:r>
        <w:rPr>
          <w:rFonts w:ascii="Arial" w:cs="Arial" w:eastAsia="Arial" w:hAnsi="Arial"/>
          <w:sz w:val="16"/>
          <w:szCs w:val="16"/>
          <w:color w:val="auto"/>
        </w:rPr>
        <w:t>. A Participant’s Sales Quota achievement and achievement toward Participant’s MBO Bonus are</w:t>
      </w:r>
    </w:p>
    <w:p>
      <w:pPr>
        <w:spacing w:after="0" w:line="41"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measured on a quarterly basis. Quarterly Commission payments are typically calculated within sixty (60) days following the end of each calendar quarter. As a general rule, payments of Commissions are made to Participants as either a Commission</w:t>
      </w:r>
    </w:p>
    <w:p>
      <w:pPr>
        <w:spacing w:after="0" w:line="2"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Advance or Earned Commission within sixty (60) days following the end of each calendar quarter, so long as Commissions can be reasonably calculated as of that date. The timing of payment may depend on the jurisdiction, or as otherwise required</w:t>
      </w:r>
    </w:p>
    <w:p>
      <w:pPr>
        <w:ind w:left="1300"/>
        <w:spacing w:after="0" w:line="236" w:lineRule="auto"/>
        <w:rPr>
          <w:sz w:val="20"/>
          <w:szCs w:val="20"/>
          <w:color w:val="auto"/>
        </w:rPr>
      </w:pPr>
      <w:r>
        <w:rPr>
          <w:rFonts w:ascii="Arial" w:cs="Arial" w:eastAsia="Arial" w:hAnsi="Arial"/>
          <w:sz w:val="18"/>
          <w:szCs w:val="18"/>
          <w:color w:val="auto"/>
        </w:rPr>
        <w:t>by law. To ensure timely payments, Participants must enter all appropriate information fully and accurately in accordance</w:t>
      </w:r>
    </w:p>
    <w:p>
      <w:pPr>
        <w:spacing w:after="0" w:line="1" w:lineRule="exact"/>
        <w:rPr>
          <w:sz w:val="20"/>
          <w:szCs w:val="20"/>
          <w:color w:val="auto"/>
        </w:rPr>
      </w:pPr>
    </w:p>
    <w:p>
      <w:pPr>
        <w:ind w:left="1300"/>
        <w:spacing w:after="0" w:line="220" w:lineRule="auto"/>
        <w:rPr>
          <w:sz w:val="20"/>
          <w:szCs w:val="20"/>
          <w:color w:val="auto"/>
        </w:rPr>
      </w:pPr>
      <w:r>
        <w:rPr>
          <w:rFonts w:ascii="Arial" w:cs="Arial" w:eastAsia="Arial" w:hAnsi="Arial"/>
          <w:sz w:val="20"/>
          <w:szCs w:val="20"/>
          <w:color w:val="auto"/>
        </w:rPr>
        <w:t>with procedures established by Nextdoor. All amounts paid pursuant to this Plan are subject to deduction for all applicable taxes and other required or authorized withholdings.</w:t>
      </w:r>
    </w:p>
    <w:p>
      <w:pPr>
        <w:spacing w:after="0" w:line="19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b w:val="1"/>
          <w:bCs w:val="1"/>
          <w:u w:val="single" w:color="auto"/>
          <w:color w:val="auto"/>
        </w:rPr>
        <w:t>Commission Advances and Clawback</w:t>
      </w:r>
      <w:r>
        <w:rPr>
          <w:rFonts w:ascii="Arial" w:cs="Arial" w:eastAsia="Arial" w:hAnsi="Arial"/>
          <w:sz w:val="20"/>
          <w:szCs w:val="20"/>
          <w:color w:val="auto"/>
        </w:rPr>
        <w:t>.</w:t>
      </w:r>
    </w:p>
    <w:p>
      <w:pPr>
        <w:spacing w:after="0" w:line="216" w:lineRule="exact"/>
        <w:rPr>
          <w:sz w:val="20"/>
          <w:szCs w:val="20"/>
          <w:color w:val="auto"/>
        </w:rPr>
      </w:pPr>
    </w:p>
    <w:p>
      <w:pPr>
        <w:jc w:val="right"/>
        <w:ind w:left="980"/>
        <w:spacing w:after="0" w:line="26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Commission Advances</w:t>
      </w:r>
      <w:r>
        <w:rPr>
          <w:rFonts w:ascii="Arial" w:cs="Arial" w:eastAsia="Arial" w:hAnsi="Arial"/>
          <w:sz w:val="16"/>
          <w:szCs w:val="16"/>
          <w:color w:val="auto"/>
        </w:rPr>
        <w:t>. Commissions paid as an unearned advance following the end of each calendar quarter are generally made on the assumption that revenue will be collected by Nextdoor. Any payment of Commissions made to a Participant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prior to the date that all requirements of Section 4.1 have been met (e.g., the Company has not yet received payment from the</w:t>
      </w:r>
    </w:p>
    <w:p>
      <w:pPr>
        <w:spacing w:after="0" w:line="19"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customer) is an advance (each, a “</w:t>
      </w:r>
      <w:r>
        <w:rPr>
          <w:rFonts w:ascii="Arial" w:cs="Arial" w:eastAsia="Arial" w:hAnsi="Arial"/>
          <w:sz w:val="18"/>
          <w:szCs w:val="18"/>
          <w:b w:val="1"/>
          <w:bCs w:val="1"/>
          <w:i w:val="1"/>
          <w:iCs w:val="1"/>
          <w:color w:val="auto"/>
        </w:rPr>
        <w:t>Commission Advance</w:t>
      </w:r>
      <w:r>
        <w:rPr>
          <w:rFonts w:ascii="Arial" w:cs="Arial" w:eastAsia="Arial" w:hAnsi="Arial"/>
          <w:sz w:val="18"/>
          <w:szCs w:val="18"/>
          <w:color w:val="auto"/>
        </w:rPr>
        <w:t>”) against expected Commissions earnings. Any Commission Advance will be paid in accordance with Section 4.4 above, unless the Participant’s employment with the Company has</w:t>
      </w:r>
    </w:p>
    <w:p>
      <w:pPr>
        <w:spacing w:after="0" w:line="2" w:lineRule="exact"/>
        <w:rPr>
          <w:sz w:val="20"/>
          <w:szCs w:val="20"/>
          <w:color w:val="auto"/>
        </w:rPr>
      </w:pPr>
    </w:p>
    <w:p>
      <w:pPr>
        <w:ind w:left="1300" w:right="20"/>
        <w:spacing w:after="0" w:line="227" w:lineRule="auto"/>
        <w:rPr>
          <w:sz w:val="20"/>
          <w:szCs w:val="20"/>
          <w:color w:val="auto"/>
        </w:rPr>
      </w:pPr>
      <w:r>
        <w:rPr>
          <w:rFonts w:ascii="Arial" w:cs="Arial" w:eastAsia="Arial" w:hAnsi="Arial"/>
          <w:sz w:val="20"/>
          <w:szCs w:val="20"/>
          <w:color w:val="auto"/>
        </w:rPr>
        <w:t>terminated for any reason (or the Participant has notified the Company of the Participant’s intention to resign) on or before that date, in which case no Commission Advance will be paid.</w:t>
      </w:r>
    </w:p>
    <w:p>
      <w:pPr>
        <w:spacing w:after="0" w:line="177" w:lineRule="exact"/>
        <w:rPr>
          <w:sz w:val="20"/>
          <w:szCs w:val="20"/>
          <w:color w:val="auto"/>
        </w:rPr>
      </w:pPr>
    </w:p>
    <w:p>
      <w:pPr>
        <w:jc w:val="right"/>
        <w:ind w:left="980"/>
        <w:spacing w:after="0" w:line="24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Adjustments/Clawbacks for Advanced but Unearned Commissions</w:t>
      </w:r>
      <w:r>
        <w:rPr>
          <w:rFonts w:ascii="Arial" w:cs="Arial" w:eastAsia="Arial" w:hAnsi="Arial"/>
          <w:sz w:val="18"/>
          <w:szCs w:val="18"/>
          <w:color w:val="auto"/>
        </w:rPr>
        <w:t>. If an Order Form is subsequently canceled, full payment is not received from the customer and the Company deems the amount to be uncollectible in accordance with its</w:t>
      </w:r>
    </w:p>
    <w:p>
      <w:pPr>
        <w:spacing w:after="0" w:line="1" w:lineRule="exact"/>
        <w:rPr>
          <w:sz w:val="20"/>
          <w:szCs w:val="20"/>
          <w:color w:val="auto"/>
        </w:rPr>
      </w:pPr>
    </w:p>
    <w:p>
      <w:pPr>
        <w:ind w:left="1300" w:right="20"/>
        <w:spacing w:after="0" w:line="255" w:lineRule="auto"/>
        <w:rPr>
          <w:sz w:val="20"/>
          <w:szCs w:val="20"/>
          <w:color w:val="auto"/>
        </w:rPr>
      </w:pPr>
      <w:r>
        <w:rPr>
          <w:rFonts w:ascii="Arial" w:cs="Arial" w:eastAsia="Arial" w:hAnsi="Arial"/>
          <w:sz w:val="16"/>
          <w:szCs w:val="16"/>
          <w:color w:val="auto"/>
        </w:rPr>
        <w:t>internal policies and procedures and writes such amount off the books as bad debt, or if any other condition in Section 4.1 above is not achieved, any unearned Commission Advances shall be deducted from future Commission Advances or Earned</w:t>
      </w:r>
    </w:p>
    <w:p>
      <w:pPr>
        <w:ind w:left="1300"/>
        <w:spacing w:after="0" w:line="223" w:lineRule="auto"/>
        <w:rPr>
          <w:sz w:val="20"/>
          <w:szCs w:val="20"/>
          <w:color w:val="auto"/>
        </w:rPr>
      </w:pPr>
      <w:r>
        <w:rPr>
          <w:rFonts w:ascii="Arial" w:cs="Arial" w:eastAsia="Arial" w:hAnsi="Arial"/>
          <w:sz w:val="19"/>
          <w:szCs w:val="19"/>
          <w:color w:val="auto"/>
        </w:rPr>
        <w:t>Commissions of the Participant, to the fullest extent permitted by applicable law (“</w:t>
      </w:r>
      <w:r>
        <w:rPr>
          <w:rFonts w:ascii="Arial" w:cs="Arial" w:eastAsia="Arial" w:hAnsi="Arial"/>
          <w:sz w:val="19"/>
          <w:szCs w:val="19"/>
          <w:b w:val="1"/>
          <w:bCs w:val="1"/>
          <w:i w:val="1"/>
          <w:iCs w:val="1"/>
          <w:color w:val="auto"/>
        </w:rPr>
        <w:t>Clawbacks</w:t>
      </w:r>
      <w:r>
        <w:rPr>
          <w:rFonts w:ascii="Arial" w:cs="Arial" w:eastAsia="Arial" w:hAnsi="Arial"/>
          <w:sz w:val="19"/>
          <w:szCs w:val="19"/>
          <w:color w:val="auto"/>
        </w:rPr>
        <w:t>”), at the Company’s sole</w:t>
      </w:r>
    </w:p>
    <w:p>
      <w:pPr>
        <w:ind w:left="1300"/>
        <w:spacing w:after="0" w:line="250" w:lineRule="auto"/>
        <w:rPr>
          <w:sz w:val="20"/>
          <w:szCs w:val="20"/>
          <w:color w:val="auto"/>
        </w:rPr>
      </w:pPr>
      <w:r>
        <w:rPr>
          <w:rFonts w:ascii="Arial" w:cs="Arial" w:eastAsia="Arial" w:hAnsi="Arial"/>
          <w:sz w:val="18"/>
          <w:szCs w:val="18"/>
          <w:color w:val="auto"/>
        </w:rPr>
        <w:t>discretion. In no event will any Clawback be made against a Participant’s base salary. Upon termination of employment, the Participant agrees (i) to return any Commission Advances for which no offset is possible to the Company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2023 Incentive Compensation Plan</w:t>
      </w:r>
    </w:p>
    <w:p>
      <w:pPr>
        <w:sectPr>
          <w:pgSz w:w="11900" w:h="16838" w:orient="portrait"/>
          <w:cols w:equalWidth="0" w:num="1">
            <w:col w:w="11240"/>
          </w:cols>
          <w:pgMar w:left="320" w:top="10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ten (10) days of such termination of employment; and (ii) to sign any documents necessary to deduct Commission Advances</w:t>
      </w:r>
    </w:p>
    <w:p>
      <w:pPr>
        <w:spacing w:after="0" w:line="12"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or other advances of unearned wages from the employee’s final paycheck as may be requested by the Company, to the maximum extent permitted by law. Clawbacks can be applied in the Company's discretion to any unearned payments to</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Participants.</w:t>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8"/>
          <w:szCs w:val="18"/>
          <w:i w:val="1"/>
          <w:iCs w:val="1"/>
          <w:color w:val="auto"/>
        </w:rPr>
        <w:t>For example, in Q1 a Participant has a Sales Quota of $1M, and makes sales during Q1 of $1M. Participant’s Q1 sales include Customer X, whose Invoice totaled $500,000. At the end of Q1, Nextdoor received payments equal to $500,000 from sales made by Participant, but the</w:t>
      </w:r>
    </w:p>
    <w:p>
      <w:pPr>
        <w:spacing w:after="0" w:line="222" w:lineRule="auto"/>
        <w:rPr>
          <w:sz w:val="20"/>
          <w:szCs w:val="20"/>
          <w:color w:val="auto"/>
        </w:rPr>
      </w:pPr>
      <w:r>
        <w:rPr>
          <w:rFonts w:ascii="Arial" w:cs="Arial" w:eastAsia="Arial" w:hAnsi="Arial"/>
          <w:sz w:val="19"/>
          <w:szCs w:val="19"/>
          <w:i w:val="1"/>
          <w:iCs w:val="1"/>
          <w:color w:val="auto"/>
        </w:rPr>
        <w:t>amount attributable to Customer X ($500,000) had not yet been collected by Nextdoor. Therefore, Participant received a Commission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color w:val="auto"/>
        </w:rPr>
        <w:t>Advance based on the Company X’s Invoice of $500,000 and Earned Commission based on the remaining $500,000 of sales made and collected during Q1. After the Commission Advance is paid to Participant, Customer X fails to pay $350,000 of the $500,000 due to the</w:t>
      </w:r>
    </w:p>
    <w:p>
      <w:pPr>
        <w:spacing w:after="0" w:line="236" w:lineRule="auto"/>
        <w:rPr>
          <w:sz w:val="20"/>
          <w:szCs w:val="20"/>
          <w:color w:val="auto"/>
        </w:rPr>
      </w:pPr>
      <w:r>
        <w:rPr>
          <w:rFonts w:ascii="Arial" w:cs="Arial" w:eastAsia="Arial" w:hAnsi="Arial"/>
          <w:sz w:val="18"/>
          <w:szCs w:val="18"/>
          <w:i w:val="1"/>
          <w:iCs w:val="1"/>
          <w:color w:val="auto"/>
        </w:rPr>
        <w:t>Company and Company writes the amount off the books as bad debt. Therefore, in Q3, the Company will deduct the Commission Advance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i w:val="1"/>
          <w:iCs w:val="1"/>
          <w:color w:val="auto"/>
        </w:rPr>
        <w:t>based on $350,000 attributable to the Company’s X’s Invoice from Participant’s Commissions for Q3. The deduction will result in a reduced Commission to the Participant in Q3, when the Clawback is applied.</w:t>
      </w:r>
    </w:p>
    <w:p>
      <w:pPr>
        <w:spacing w:after="0" w:line="191" w:lineRule="exact"/>
        <w:rPr>
          <w:sz w:val="20"/>
          <w:szCs w:val="20"/>
          <w:color w:val="auto"/>
        </w:rPr>
      </w:pPr>
    </w:p>
    <w:p>
      <w:pPr>
        <w:jc w:val="both"/>
        <w:ind w:left="660" w:hanging="328"/>
        <w:spacing w:after="0" w:line="215"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b w:val="1"/>
          <w:bCs w:val="1"/>
          <w:u w:val="single" w:color="auto"/>
          <w:color w:val="auto"/>
        </w:rPr>
        <w:t>Disqualification; Business Ethics; No Side Letters</w:t>
      </w:r>
      <w:r>
        <w:rPr>
          <w:rFonts w:ascii="Arial" w:cs="Arial" w:eastAsia="Arial" w:hAnsi="Arial"/>
          <w:sz w:val="20"/>
          <w:szCs w:val="20"/>
          <w:color w:val="auto"/>
        </w:rPr>
        <w:t>. Nextdoor is committed to maintaining the highest ethical and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standards. Any fraud, misrepresentation or other malfeasance committed or aided by a Participant in connection with an Order Form or otherwise in connection with this Plan will be considered a serious violation of the Participant’s professional duties, and may render the Participant disqualified from eligibility for participation in the Plan and/or ineligible to earn any or all Commissions, MBO Bonus or SPIFF bonus that the Participant would otherwise have been eligible for with respect to such Order Form and may be considered grounds for immediate termination of employment, to the fullest extent allowed by law. Such unethical acts include but are not limited to the following:</w:t>
      </w:r>
    </w:p>
    <w:p>
      <w:pPr>
        <w:spacing w:after="0" w:line="184" w:lineRule="exact"/>
        <w:rPr>
          <w:sz w:val="20"/>
          <w:szCs w:val="20"/>
          <w:color w:val="auto"/>
        </w:rPr>
      </w:pPr>
    </w:p>
    <w:p>
      <w:pPr>
        <w:ind w:left="1300" w:hanging="323"/>
        <w:spacing w:after="0" w:line="285" w:lineRule="auto"/>
        <w:rPr>
          <w:sz w:val="20"/>
          <w:szCs w:val="20"/>
          <w:color w:val="auto"/>
        </w:rPr>
      </w:pPr>
      <w:r>
        <w:rPr>
          <w:rFonts w:ascii="Arial" w:cs="Arial" w:eastAsia="Arial" w:hAnsi="Arial"/>
          <w:sz w:val="18"/>
          <w:szCs w:val="18"/>
          <w:color w:val="auto"/>
        </w:rPr>
        <w:t>6.1. Proposing or entering into any unauthorized “side letter” or into any other understanding with a customer that is not reflected in a written contract signed by an authorized representative of Nextdoor and delivered to Nextdoor’s legal department;</w:t>
      </w:r>
    </w:p>
    <w:p>
      <w:pPr>
        <w:spacing w:after="0" w:line="156" w:lineRule="exact"/>
        <w:rPr>
          <w:sz w:val="20"/>
          <w:szCs w:val="20"/>
          <w:color w:val="auto"/>
        </w:rPr>
      </w:pPr>
    </w:p>
    <w:p>
      <w:pPr>
        <w:ind w:left="1300" w:hanging="323"/>
        <w:spacing w:after="0" w:line="229" w:lineRule="auto"/>
        <w:rPr>
          <w:sz w:val="20"/>
          <w:szCs w:val="20"/>
          <w:color w:val="auto"/>
        </w:rPr>
      </w:pPr>
      <w:r>
        <w:rPr>
          <w:rFonts w:ascii="Arial" w:cs="Arial" w:eastAsia="Arial" w:hAnsi="Arial"/>
          <w:sz w:val="20"/>
          <w:szCs w:val="20"/>
          <w:color w:val="auto"/>
        </w:rPr>
        <w:t>6.2. Making false statements or claims (e.g., knowingly misrepresenting facts to Nextdoor personnel, customers, or third parties with the intent to induce action or inaction, or reliance on the deception);</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6.3. Offering or providing bribes or kickbacks;</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6.4. Misusing Nextdoor’s, a customer’s, or partner’s confidential information;</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6.5. Falsifying records or documents; or</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20"/>
          <w:szCs w:val="20"/>
          <w:color w:val="auto"/>
        </w:rPr>
        <w:t>6.6. Failure to follow established Nextdoor policies, including sales policies and procedures set forth in this Plan or</w:t>
      </w:r>
    </w:p>
    <w:p>
      <w:pPr>
        <w:ind w:left="1300"/>
        <w:spacing w:after="0" w:line="220" w:lineRule="auto"/>
        <w:rPr>
          <w:sz w:val="20"/>
          <w:szCs w:val="20"/>
          <w:color w:val="auto"/>
        </w:rPr>
      </w:pPr>
      <w:r>
        <w:rPr>
          <w:rFonts w:ascii="Arial" w:cs="Arial" w:eastAsia="Arial" w:hAnsi="Arial"/>
          <w:sz w:val="20"/>
          <w:szCs w:val="20"/>
          <w:color w:val="auto"/>
        </w:rPr>
        <w:t>communicated to you in writing by Nextdoor legal, human resources, sales operations, or finance departments, any approval matrix issued in writing by Nextdoor.</w:t>
      </w:r>
    </w:p>
    <w:p>
      <w:pPr>
        <w:spacing w:after="0" w:line="191" w:lineRule="exact"/>
        <w:rPr>
          <w:sz w:val="20"/>
          <w:szCs w:val="20"/>
          <w:color w:val="auto"/>
        </w:rPr>
      </w:pPr>
    </w:p>
    <w:p>
      <w:pPr>
        <w:jc w:val="both"/>
        <w:ind w:left="660" w:hanging="328"/>
        <w:spacing w:after="0" w:line="23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Leaves of Absences and Transfers</w:t>
      </w:r>
      <w:r>
        <w:rPr>
          <w:rFonts w:ascii="Arial" w:cs="Arial" w:eastAsia="Arial" w:hAnsi="Arial"/>
          <w:sz w:val="18"/>
          <w:szCs w:val="18"/>
          <w:color w:val="auto"/>
        </w:rPr>
        <w:t>. A Participant on an approved leave of absence who performed work for the Company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Period will be eligible to receive Commissions attributable to Participant’s sales activity prior to the date the leave commences, which will be paid pursuant to the timing set forth in Section 4. A Participant’s Sales Quota may be adjusted at the Company's discretion to reflect a leave of absence, subject to any legal requirements. Participants who are promoted or transferred into another Company position in which they are no longer a Participant under this Plan will be eligible to receive Commissions attributable to sales activity by that Participant as of the effective transfer date. An employee who remains a Participant but receives a new Schedule will be eligible to receive Commissions based on the old Schedule through the effective date of the new Schedule and will be eligible to receive Commissions based on the new Schedule from the effective date of the new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2023 Incentive Compensation Plan</w:t>
      </w:r>
    </w:p>
    <w:p>
      <w:pPr>
        <w:sectPr>
          <w:pgSz w:w="11900" w:h="16838" w:orient="portrait"/>
          <w:cols w:equalWidth="0" w:num="1">
            <w:col w:w="11240"/>
          </w:cols>
          <w:pgMar w:left="320" w:top="10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Employment Relationship; Termination of Employment</w:t>
      </w:r>
      <w:r>
        <w:rPr>
          <w:rFonts w:ascii="Arial" w:cs="Arial" w:eastAsia="Arial" w:hAnsi="Arial"/>
          <w:sz w:val="20"/>
          <w:szCs w:val="20"/>
          <w:color w:val="auto"/>
        </w:rPr>
        <w:t>.</w:t>
      </w:r>
    </w:p>
    <w:p>
      <w:pPr>
        <w:spacing w:after="0" w:line="216" w:lineRule="exact"/>
        <w:rPr>
          <w:sz w:val="20"/>
          <w:szCs w:val="20"/>
          <w:color w:val="auto"/>
        </w:rPr>
      </w:pPr>
    </w:p>
    <w:p>
      <w:pPr>
        <w:ind w:left="1300" w:right="20" w:hanging="323"/>
        <w:spacing w:after="0" w:line="232"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b w:val="1"/>
          <w:bCs w:val="1"/>
          <w:u w:val="single" w:color="auto"/>
          <w:color w:val="auto"/>
        </w:rPr>
        <w:t>No Guarantee of Employment</w:t>
      </w:r>
      <w:r>
        <w:rPr>
          <w:rFonts w:ascii="Arial" w:cs="Arial" w:eastAsia="Arial" w:hAnsi="Arial"/>
          <w:sz w:val="20"/>
          <w:szCs w:val="20"/>
          <w:color w:val="auto"/>
        </w:rPr>
        <w:t>. Participant acknowledges and understands that this Plan does not establish employment for any definite term and does not alter the at-will nature of Participant’s employment relationship.</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 A Participant whose employment with the Company terminates (for any reason) shall only be</w:t>
      </w:r>
    </w:p>
    <w:p>
      <w:pPr>
        <w:spacing w:after="0" w:line="18" w:lineRule="exact"/>
        <w:rPr>
          <w:sz w:val="20"/>
          <w:szCs w:val="20"/>
          <w:color w:val="auto"/>
        </w:rPr>
      </w:pPr>
    </w:p>
    <w:p>
      <w:pPr>
        <w:ind w:left="1300"/>
        <w:spacing w:after="0" w:line="255" w:lineRule="auto"/>
        <w:rPr>
          <w:sz w:val="20"/>
          <w:szCs w:val="20"/>
          <w:color w:val="auto"/>
        </w:rPr>
      </w:pPr>
      <w:r>
        <w:rPr>
          <w:rFonts w:ascii="Arial" w:cs="Arial" w:eastAsia="Arial" w:hAnsi="Arial"/>
          <w:sz w:val="16"/>
          <w:szCs w:val="16"/>
          <w:color w:val="auto"/>
        </w:rPr>
        <w:t>entitled to payment of Earned Commissions that are earned per Section 4.1 above as of the date of termination. Such Earned Commissions shall be paid in accordance with Section 4.4 unless otherwise required by applicable law. Because continued</w:t>
      </w:r>
    </w:p>
    <w:p>
      <w:pPr>
        <w:spacing w:after="0" w:line="1" w:lineRule="exact"/>
        <w:rPr>
          <w:sz w:val="20"/>
          <w:szCs w:val="20"/>
          <w:color w:val="auto"/>
        </w:rPr>
      </w:pPr>
    </w:p>
    <w:p>
      <w:pPr>
        <w:ind w:left="1300"/>
        <w:spacing w:after="0" w:line="227" w:lineRule="auto"/>
        <w:rPr>
          <w:sz w:val="20"/>
          <w:szCs w:val="20"/>
          <w:color w:val="auto"/>
        </w:rPr>
      </w:pPr>
      <w:r>
        <w:rPr>
          <w:rFonts w:ascii="Arial" w:cs="Arial" w:eastAsia="Arial" w:hAnsi="Arial"/>
          <w:sz w:val="20"/>
          <w:szCs w:val="20"/>
          <w:color w:val="auto"/>
        </w:rPr>
        <w:t>employment is a condition of earning a MBO Bonus or SPIFF award, a Participant will not be eligible to earn either if their employment ends before the payout date.</w:t>
      </w:r>
    </w:p>
    <w:p>
      <w:pPr>
        <w:spacing w:after="0" w:line="177" w:lineRule="exact"/>
        <w:rPr>
          <w:sz w:val="20"/>
          <w:szCs w:val="20"/>
          <w:color w:val="auto"/>
        </w:rPr>
      </w:pPr>
    </w:p>
    <w:p>
      <w:pPr>
        <w:ind w:left="1300" w:hanging="323"/>
        <w:spacing w:after="0" w:line="239"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b w:val="1"/>
          <w:bCs w:val="1"/>
          <w:u w:val="single" w:color="auto"/>
          <w:color w:val="auto"/>
        </w:rPr>
        <w:t>No Additional Commissions</w:t>
      </w:r>
      <w:r>
        <w:rPr>
          <w:rFonts w:ascii="Arial" w:cs="Arial" w:eastAsia="Arial" w:hAnsi="Arial"/>
          <w:sz w:val="20"/>
          <w:szCs w:val="20"/>
          <w:color w:val="auto"/>
        </w:rPr>
        <w:t>. Except for Participant’s Base Salary, Participant shall not be entitled to any compensation of any kind relating to sales or potential sales not specifically provided for in this Plan.</w:t>
      </w:r>
    </w:p>
    <w:p>
      <w:pPr>
        <w:spacing w:after="0" w:line="190" w:lineRule="exact"/>
        <w:rPr>
          <w:sz w:val="20"/>
          <w:szCs w:val="20"/>
          <w:color w:val="auto"/>
        </w:rPr>
      </w:pPr>
    </w:p>
    <w:p>
      <w:pPr>
        <w:jc w:val="both"/>
        <w:ind w:left="660" w:hanging="328"/>
        <w:spacing w:after="0" w:line="216" w:lineRule="auto"/>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 or Termination of Plan</w:t>
      </w:r>
      <w:r>
        <w:rPr>
          <w:rFonts w:ascii="Arial" w:cs="Arial" w:eastAsia="Arial" w:hAnsi="Arial"/>
          <w:sz w:val="20"/>
          <w:szCs w:val="20"/>
          <w:color w:val="auto"/>
        </w:rPr>
        <w:t>. Nextdoor reserves and retains the right to modify, rescind or terminate this Plan, in whole or</w:t>
      </w:r>
      <w:r>
        <w:rPr>
          <w:rFonts w:ascii="Arial" w:cs="Arial" w:eastAsia="Arial" w:hAnsi="Arial"/>
          <w:sz w:val="20"/>
          <w:szCs w:val="20"/>
          <w:b w:val="1"/>
          <w:bCs w:val="1"/>
          <w:color w:val="auto"/>
        </w:rPr>
        <w:t xml:space="preserve"> </w:t>
      </w:r>
      <w:r>
        <w:rPr>
          <w:rFonts w:ascii="Arial" w:cs="Arial" w:eastAsia="Arial" w:hAnsi="Arial"/>
          <w:sz w:val="20"/>
          <w:szCs w:val="20"/>
          <w:color w:val="auto"/>
        </w:rPr>
        <w:t>in part, at its sole discretion upon not less than ten (10) days prior written notice to Participants. Further, Nextdoor does not have any obligation under this Plan or otherwise to adopt this or any other compensation plan in the future. In the event of any amendments or modifications to the Plan, and if requested by Nextdoor, a Participant must execute an additional acknowledgment of such modifications or amendments to remain a Participant.</w:t>
      </w:r>
    </w:p>
    <w:p>
      <w:pPr>
        <w:spacing w:after="0" w:line="193" w:lineRule="exact"/>
        <w:rPr>
          <w:rFonts w:ascii="Arial" w:cs="Arial" w:eastAsia="Arial" w:hAnsi="Arial"/>
          <w:sz w:val="20"/>
          <w:szCs w:val="20"/>
          <w:color w:val="auto"/>
        </w:rPr>
      </w:pPr>
    </w:p>
    <w:p>
      <w:pPr>
        <w:jc w:val="both"/>
        <w:ind w:left="660" w:hanging="328"/>
        <w:spacing w:after="0" w:line="216" w:lineRule="auto"/>
        <w:tabs>
          <w:tab w:leader="none" w:pos="651" w:val="left"/>
        </w:tabs>
        <w:numPr>
          <w:ilvl w:val="0"/>
          <w:numId w:val="56"/>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Plan, the Schedule and any SPIFF announcements together contain the entire understanding between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and Nextdoor concerning the terms and conditions described herein and therein. Any prior understanding, representations, plans or agreements (including the 2019 Incentive Compensation Plan), whether oral or written, are superseded and replaced by this Plan. If any of the terms of this Plan expressly conflict with mandatory provisions of applicable law, such applicable law shall supersede the conflicting terms of this Plan.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Please sign below to acknowledge your receipt, review and acceptance of this Plan document.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Acknowledged and Agreed to by Participant: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Signature: _______________________________________</w:t>
      </w:r>
    </w:p>
    <w:p>
      <w:pPr>
        <w:spacing w:after="0" w:line="211" w:lineRule="auto"/>
        <w:rPr>
          <w:sz w:val="20"/>
          <w:szCs w:val="20"/>
          <w:color w:val="auto"/>
        </w:rPr>
      </w:pPr>
      <w:r>
        <w:rPr>
          <w:rFonts w:ascii="Arial" w:cs="Arial" w:eastAsia="Arial" w:hAnsi="Arial"/>
          <w:sz w:val="20"/>
          <w:szCs w:val="20"/>
          <w:color w:val="auto"/>
        </w:rPr>
        <w:t>Print Name: _____________________________________</w:t>
      </w:r>
    </w:p>
    <w:p>
      <w:pPr>
        <w:spacing w:after="0"/>
        <w:rPr>
          <w:sz w:val="20"/>
          <w:szCs w:val="20"/>
          <w:color w:val="auto"/>
        </w:rPr>
      </w:pPr>
      <w:r>
        <w:rPr>
          <w:rFonts w:ascii="Arial" w:cs="Arial" w:eastAsia="Arial" w:hAnsi="Arial"/>
          <w:sz w:val="20"/>
          <w:szCs w:val="20"/>
          <w:color w:val="auto"/>
        </w:rPr>
        <w:t>Date: 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2023 Incentive Compensation Plan</w:t>
      </w:r>
    </w:p>
    <w:p>
      <w:pPr>
        <w:sectPr>
          <w:pgSz w:w="11900" w:h="16838" w:orient="portrait"/>
          <w:cols w:equalWidth="0" w:num="1">
            <w:col w:w="11240"/>
          </w:cols>
          <w:pgMar w:left="320" w:top="10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320" w:firstLine="3318"/>
        <w:spacing w:after="0" w:line="507"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2" w:lineRule="exact"/>
        <w:rPr>
          <w:sz w:val="20"/>
          <w:szCs w:val="20"/>
          <w:color w:val="auto"/>
        </w:rPr>
      </w:pPr>
    </w:p>
    <w:p>
      <w:pPr>
        <w:ind w:right="440" w:firstLine="8"/>
        <w:spacing w:after="0" w:line="342"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Registration Statement (Form S-8 No. 333-262102) pertaining to the Nextdoor Holdings, Inc. 2021 Equity Incentive Plan, the Nextdoor, Inc. 2008 Equity Incentive Plan, the Nextdoor, Inc. 2018 Equity Incentive Plan and the Nextdoor Holdings, Inc. 2021 Employee Stock Purchase Plan, and</w:t>
      </w:r>
    </w:p>
    <w:p>
      <w:pPr>
        <w:spacing w:after="0" w:line="150" w:lineRule="exact"/>
        <w:rPr>
          <w:rFonts w:ascii="Arial" w:cs="Arial" w:eastAsia="Arial" w:hAnsi="Arial"/>
          <w:sz w:val="16"/>
          <w:szCs w:val="16"/>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S-3 No. 333-261252) of Nextdoor Holdings, Inc.</w:t>
      </w:r>
    </w:p>
    <w:p>
      <w:pPr>
        <w:spacing w:after="0" w:line="2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of our reports dated February 28, 2023, with respect to the consolidated financial statements of Nextdoor Holdings, Inc., and the effectiveness of internal control over financial reporting of Nextdoor Holdings, Inc., included in this Annual Report (Form 10-K) of Nextdoor Holdings, Inc. for the year ended December 31,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5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Sarah Friar, certify that:</w:t>
      </w:r>
    </w:p>
    <w:p>
      <w:pPr>
        <w:spacing w:after="0" w:line="279"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2022 of Nextdoor Holdings, Inc. (the “registrant”);</w:t>
      </w:r>
    </w:p>
    <w:p>
      <w:pPr>
        <w:spacing w:after="0" w:line="211" w:lineRule="exact"/>
        <w:rPr>
          <w:rFonts w:ascii="Arial" w:cs="Arial" w:eastAsia="Arial" w:hAnsi="Arial"/>
          <w:sz w:val="18"/>
          <w:szCs w:val="18"/>
          <w:color w:val="auto"/>
        </w:rPr>
      </w:pPr>
    </w:p>
    <w:p>
      <w:pPr>
        <w:jc w:val="both"/>
        <w:ind w:left="340" w:right="440" w:hanging="332"/>
        <w:spacing w:after="0" w:line="30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340" w:right="400" w:hanging="332"/>
        <w:spacing w:after="0" w:line="357"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79" w:lineRule="exact"/>
        <w:rPr>
          <w:rFonts w:ascii="Arial" w:cs="Arial" w:eastAsia="Arial" w:hAnsi="Arial"/>
          <w:sz w:val="17"/>
          <w:szCs w:val="17"/>
          <w:color w:val="auto"/>
        </w:rPr>
      </w:pPr>
    </w:p>
    <w:p>
      <w:pPr>
        <w:ind w:left="340" w:hanging="332"/>
        <w:spacing w:after="0"/>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rFonts w:ascii="Arial" w:cs="Arial" w:eastAsia="Arial" w:hAnsi="Arial"/>
          <w:sz w:val="17"/>
          <w:szCs w:val="17"/>
          <w:color w:val="auto"/>
        </w:rPr>
      </w:pPr>
    </w:p>
    <w:p>
      <w:pPr>
        <w:ind w:left="340" w:right="20"/>
        <w:spacing w:after="0" w:line="308"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7"/>
          <w:szCs w:val="17"/>
          <w:color w:val="auto"/>
        </w:rPr>
      </w:pPr>
    </w:p>
    <w:p>
      <w:pPr>
        <w:ind w:left="660" w:right="380" w:hanging="328"/>
        <w:spacing w:after="0" w:line="303" w:lineRule="auto"/>
        <w:tabs>
          <w:tab w:leader="none" w:pos="6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660" w:right="60" w:hanging="328"/>
        <w:spacing w:after="0" w:line="30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660" w:right="860" w:hanging="328"/>
        <w:spacing w:after="0" w:line="289" w:lineRule="auto"/>
        <w:tabs>
          <w:tab w:leader="none" w:pos="65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660" w:right="80" w:hanging="328"/>
        <w:spacing w:after="0" w:line="224"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Arial" w:cs="Arial" w:eastAsia="Arial" w:hAnsi="Arial"/>
          <w:sz w:val="18"/>
          <w:szCs w:val="18"/>
          <w:color w:val="auto"/>
        </w:rPr>
      </w:pPr>
    </w:p>
    <w:p>
      <w:pPr>
        <w:ind w:left="340" w:right="260" w:hanging="332"/>
        <w:spacing w:after="0" w:line="341"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660" w:right="280" w:hanging="328"/>
        <w:spacing w:after="0" w:line="308" w:lineRule="auto"/>
        <w:tabs>
          <w:tab w:leader="none" w:pos="6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8"/>
          <w:szCs w:val="18"/>
          <w:color w:val="auto"/>
        </w:rPr>
      </w:pPr>
    </w:p>
    <w:p>
      <w:pPr>
        <w:ind w:left="660" w:right="160" w:hanging="328"/>
        <w:spacing w:after="0" w:line="308"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ectPr>
          <w:pgSz w:w="11900" w:h="16838" w:orient="portrait"/>
          <w:cols w:equalWidth="0" w:num="1">
            <w:col w:w="11240"/>
          </w:cols>
          <w:pgMar w:left="320" w:top="37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5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2023</w:t>
      </w:r>
    </w:p>
    <w:p>
      <w:pPr>
        <w:spacing w:after="0" w:line="77" w:lineRule="exact"/>
        <w:rPr>
          <w:sz w:val="20"/>
          <w:szCs w:val="20"/>
          <w:color w:val="auto"/>
        </w:rPr>
      </w:pPr>
    </w:p>
    <w:p>
      <w:pPr>
        <w:ind w:left="7980"/>
        <w:spacing w:after="0"/>
        <w:tabs>
          <w:tab w:leader="none" w:pos="842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5349875</wp:posOffset>
            </wp:positionH>
            <wp:positionV relativeFrom="paragraph">
              <wp:posOffset>31750</wp:posOffset>
            </wp:positionV>
            <wp:extent cx="17741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0"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Sarah Friar</w:t>
      </w:r>
    </w:p>
    <w:p>
      <w:pPr>
        <w:spacing w:after="0" w:line="6"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Chief Executive Officer, President and</w:t>
      </w:r>
    </w:p>
    <w:p>
      <w:pPr>
        <w:ind w:left="7980"/>
        <w:spacing w:after="0"/>
        <w:rPr>
          <w:sz w:val="20"/>
          <w:szCs w:val="20"/>
          <w:color w:val="auto"/>
        </w:rPr>
      </w:pPr>
      <w:r>
        <w:rPr>
          <w:rFonts w:ascii="Arial" w:cs="Arial" w:eastAsia="Arial" w:hAnsi="Arial"/>
          <w:sz w:val="18"/>
          <w:szCs w:val="18"/>
          <w:color w:val="auto"/>
        </w:rPr>
        <w:t>Chairperson of the Board of Directors</w:t>
      </w:r>
    </w:p>
    <w:p>
      <w:pPr>
        <w:sectPr>
          <w:pgSz w:w="11900" w:h="16838" w:orient="portrait"/>
          <w:cols w:equalWidth="0" w:num="1">
            <w:col w:w="11220"/>
          </w:cols>
          <w:pgMar w:left="340" w:top="378"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color w:val="201F1E"/>
        </w:rPr>
        <w:t>Michael Doyle</w:t>
      </w:r>
      <w:r>
        <w:rPr>
          <w:rFonts w:ascii="Arial" w:cs="Arial" w:eastAsia="Arial" w:hAnsi="Arial"/>
          <w:sz w:val="18"/>
          <w:szCs w:val="18"/>
          <w:color w:val="auto"/>
        </w:rPr>
        <w:t>, certify that:</w:t>
      </w:r>
    </w:p>
    <w:p>
      <w:pPr>
        <w:spacing w:after="0" w:line="266"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2022 of Nextdoor Holdings, Inc. (the “registrant”);</w:t>
      </w:r>
    </w:p>
    <w:p>
      <w:pPr>
        <w:spacing w:after="0" w:line="198" w:lineRule="exact"/>
        <w:rPr>
          <w:rFonts w:ascii="Arial" w:cs="Arial" w:eastAsia="Arial" w:hAnsi="Arial"/>
          <w:sz w:val="18"/>
          <w:szCs w:val="18"/>
          <w:color w:val="auto"/>
        </w:rPr>
      </w:pPr>
    </w:p>
    <w:p>
      <w:pPr>
        <w:jc w:val="both"/>
        <w:ind w:left="340" w:right="440" w:hanging="332"/>
        <w:spacing w:after="0" w:line="310"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8"/>
          <w:szCs w:val="18"/>
          <w:color w:val="auto"/>
        </w:rPr>
      </w:pPr>
    </w:p>
    <w:p>
      <w:pPr>
        <w:ind w:left="340" w:right="400" w:hanging="332"/>
        <w:spacing w:after="0" w:line="357"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79" w:lineRule="exact"/>
        <w:rPr>
          <w:rFonts w:ascii="Arial" w:cs="Arial" w:eastAsia="Arial" w:hAnsi="Arial"/>
          <w:sz w:val="17"/>
          <w:szCs w:val="17"/>
          <w:color w:val="auto"/>
        </w:rPr>
      </w:pPr>
    </w:p>
    <w:p>
      <w:pPr>
        <w:ind w:left="340" w:hanging="332"/>
        <w:spacing w:after="0"/>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rFonts w:ascii="Arial" w:cs="Arial" w:eastAsia="Arial" w:hAnsi="Arial"/>
          <w:sz w:val="17"/>
          <w:szCs w:val="17"/>
          <w:color w:val="auto"/>
        </w:rPr>
      </w:pPr>
    </w:p>
    <w:p>
      <w:pPr>
        <w:ind w:left="340" w:right="20"/>
        <w:spacing w:after="0" w:line="308"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7"/>
          <w:szCs w:val="17"/>
          <w:color w:val="auto"/>
        </w:rPr>
      </w:pPr>
    </w:p>
    <w:p>
      <w:pPr>
        <w:ind w:left="660" w:right="380" w:hanging="328"/>
        <w:spacing w:after="0" w:line="303" w:lineRule="auto"/>
        <w:tabs>
          <w:tab w:leader="none" w:pos="65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rFonts w:ascii="Arial" w:cs="Arial" w:eastAsia="Arial" w:hAnsi="Arial"/>
          <w:sz w:val="17"/>
          <w:szCs w:val="17"/>
          <w:color w:val="auto"/>
        </w:rPr>
      </w:pPr>
    </w:p>
    <w:p>
      <w:pPr>
        <w:ind w:left="660" w:right="60"/>
        <w:spacing w:after="0" w:line="308"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660" w:right="860" w:hanging="328"/>
        <w:spacing w:after="0" w:line="262" w:lineRule="auto"/>
        <w:tabs>
          <w:tab w:leader="none" w:pos="648" w:val="left"/>
        </w:tabs>
        <w:numPr>
          <w:ilvl w:val="1"/>
          <w:numId w:val="59"/>
        </w:numPr>
        <w:rPr>
          <w:rFonts w:ascii="Arial" w:cs="Arial" w:eastAsia="Arial" w:hAnsi="Arial"/>
          <w:sz w:val="19"/>
          <w:szCs w:val="19"/>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9"/>
          <w:szCs w:val="19"/>
          <w:color w:val="auto"/>
        </w:rPr>
      </w:pPr>
    </w:p>
    <w:p>
      <w:pPr>
        <w:ind w:left="660" w:right="80" w:hanging="328"/>
        <w:spacing w:after="0" w:line="218" w:lineRule="auto"/>
        <w:tabs>
          <w:tab w:leader="none" w:pos="660" w:val="left"/>
        </w:tabs>
        <w:numPr>
          <w:ilvl w:val="1"/>
          <w:numId w:val="59"/>
        </w:numPr>
        <w:rPr>
          <w:rFonts w:ascii="Arial" w:cs="Arial" w:eastAsia="Arial" w:hAnsi="Arial"/>
          <w:sz w:val="22"/>
          <w:szCs w:val="22"/>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22"/>
          <w:szCs w:val="22"/>
          <w:color w:val="auto"/>
        </w:rPr>
      </w:pPr>
    </w:p>
    <w:p>
      <w:pPr>
        <w:ind w:left="340" w:right="260" w:hanging="332"/>
        <w:spacing w:after="0" w:line="341"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660" w:right="280" w:hanging="328"/>
        <w:spacing w:after="0" w:line="308" w:lineRule="auto"/>
        <w:tabs>
          <w:tab w:leader="none" w:pos="65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8"/>
          <w:szCs w:val="18"/>
          <w:color w:val="auto"/>
        </w:rPr>
      </w:pPr>
    </w:p>
    <w:p>
      <w:pPr>
        <w:ind w:left="660" w:right="160" w:hanging="328"/>
        <w:spacing w:after="0" w:line="324"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ectPr>
          <w:pgSz w:w="11900" w:h="16838" w:orient="portrait"/>
          <w:cols w:equalWidth="0" w:num="1">
            <w:col w:w="11240"/>
          </w:cols>
          <w:pgMar w:left="320" w:top="40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2023</w:t>
      </w:r>
    </w:p>
    <w:p>
      <w:pPr>
        <w:ind w:left="7300"/>
        <w:spacing w:after="0" w:line="189" w:lineRule="auto"/>
        <w:tabs>
          <w:tab w:leader="none" w:pos="7740" w:val="left"/>
        </w:tabs>
        <w:rPr>
          <w:sz w:val="20"/>
          <w:szCs w:val="20"/>
          <w:color w:val="auto"/>
        </w:rPr>
      </w:pPr>
      <w:r>
        <w:rPr>
          <w:rFonts w:ascii="Arial" w:cs="Arial" w:eastAsia="Arial" w:hAnsi="Arial"/>
          <w:sz w:val="28"/>
          <w:szCs w:val="28"/>
          <w:color w:val="auto"/>
          <w:vertAlign w:val="subscript"/>
        </w:rPr>
        <w:t>By:</w:t>
      </w:r>
      <w:r>
        <w:rPr>
          <w:sz w:val="20"/>
          <w:szCs w:val="20"/>
          <w:color w:val="auto"/>
        </w:rPr>
        <w:tab/>
      </w:r>
      <w:r>
        <w:rPr>
          <w:rFonts w:ascii="Arial" w:cs="Arial" w:eastAsia="Arial" w:hAnsi="Arial"/>
          <w:sz w:val="15"/>
          <w:szCs w:val="15"/>
          <w:i w:val="1"/>
          <w:iCs w:val="1"/>
          <w:color w:val="auto"/>
        </w:rPr>
        <w:t xml:space="preserve">/s/ </w:t>
      </w:r>
      <w:r>
        <w:rPr>
          <w:rFonts w:ascii="Arial" w:cs="Arial" w:eastAsia="Arial" w:hAnsi="Arial"/>
          <w:sz w:val="15"/>
          <w:szCs w:val="15"/>
          <w:i w:val="1"/>
          <w:iCs w:val="1"/>
          <w:color w:val="201F1E"/>
        </w:rPr>
        <w:t>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4912995</wp:posOffset>
            </wp:positionH>
            <wp:positionV relativeFrom="paragraph">
              <wp:posOffset>93980</wp:posOffset>
            </wp:positionV>
            <wp:extent cx="22117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28" w:lineRule="exact"/>
        <w:rPr>
          <w:sz w:val="20"/>
          <w:szCs w:val="20"/>
          <w:color w:val="auto"/>
        </w:rPr>
      </w:pPr>
    </w:p>
    <w:p>
      <w:pPr>
        <w:ind w:left="7300"/>
        <w:spacing w:after="0"/>
        <w:rPr>
          <w:sz w:val="20"/>
          <w:szCs w:val="20"/>
          <w:color w:val="auto"/>
        </w:rPr>
      </w:pPr>
      <w:r>
        <w:rPr>
          <w:rFonts w:ascii="Arial" w:cs="Arial" w:eastAsia="Arial" w:hAnsi="Arial"/>
          <w:sz w:val="18"/>
          <w:szCs w:val="18"/>
          <w:color w:val="201F1E"/>
        </w:rPr>
        <w:t>Michael Doyle</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20"/>
          </w:cols>
          <w:pgMar w:left="340" w:top="405"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ind w:right="40"/>
        <w:spacing w:after="0" w:line="313"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color w:val="auto"/>
        </w:rPr>
        <w:t>In connection with the Annual Report of Nextdoor Holdings, Inc. (the “Company”) on Form 10-K for the year ended December 31, 2022,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94"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2023</w:t>
      </w:r>
    </w:p>
    <w:p>
      <w:pPr>
        <w:spacing w:after="0" w:line="115" w:lineRule="exact"/>
        <w:rPr>
          <w:sz w:val="20"/>
          <w:szCs w:val="20"/>
          <w:color w:val="auto"/>
        </w:rPr>
      </w:pPr>
    </w:p>
    <w:p>
      <w:pPr>
        <w:ind w:left="8200"/>
        <w:spacing w:after="0"/>
        <w:tabs>
          <w:tab w:leader="none" w:pos="8640" w:val="left"/>
        </w:tabs>
        <w:rPr>
          <w:sz w:val="20"/>
          <w:szCs w:val="20"/>
          <w:color w:val="auto"/>
        </w:rPr>
      </w:pPr>
      <w:r>
        <w:rPr>
          <w:rFonts w:ascii="Arial" w:cs="Arial" w:eastAsia="Arial" w:hAnsi="Arial"/>
          <w:sz w:val="36"/>
          <w:szCs w:val="36"/>
          <w:color w:val="auto"/>
          <w:vertAlign w:val="subscript"/>
        </w:rPr>
        <w:t>By:</w:t>
      </w:r>
      <w:r>
        <w:rPr>
          <w:sz w:val="20"/>
          <w:szCs w:val="20"/>
          <w:color w:val="auto"/>
        </w:rPr>
        <w:tab/>
      </w:r>
      <w:r>
        <w:rPr>
          <w:rFonts w:ascii="Arial" w:cs="Arial" w:eastAsia="Arial" w:hAnsi="Arial"/>
          <w:sz w:val="22"/>
          <w:szCs w:val="22"/>
          <w:color w:val="auto"/>
        </w:rPr>
        <w:t xml:space="preserve">/s/ </w:t>
      </w:r>
      <w:r>
        <w:rPr>
          <w:rFonts w:ascii="Arial" w:cs="Arial" w:eastAsia="Arial" w:hAnsi="Arial"/>
          <w:sz w:val="17"/>
          <w:szCs w:val="17"/>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124460</wp:posOffset>
            </wp:positionV>
            <wp:extent cx="16459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6"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Sarah Friar</w:t>
      </w:r>
    </w:p>
    <w:p>
      <w:pPr>
        <w:spacing w:after="0" w:line="18" w:lineRule="exact"/>
        <w:rPr>
          <w:sz w:val="20"/>
          <w:szCs w:val="20"/>
          <w:color w:val="auto"/>
        </w:rPr>
      </w:pPr>
    </w:p>
    <w:p>
      <w:pPr>
        <w:ind w:left="8200"/>
        <w:spacing w:after="0"/>
        <w:rPr>
          <w:sz w:val="20"/>
          <w:szCs w:val="20"/>
          <w:color w:val="auto"/>
        </w:rPr>
      </w:pPr>
      <w:r>
        <w:rPr>
          <w:rFonts w:ascii="Arial" w:cs="Arial" w:eastAsia="Arial" w:hAnsi="Arial"/>
          <w:sz w:val="17"/>
          <w:szCs w:val="17"/>
          <w:color w:val="auto"/>
        </w:rPr>
        <w:t>Chief Executive Officer, President and</w:t>
      </w:r>
    </w:p>
    <w:p>
      <w:pPr>
        <w:ind w:left="8200"/>
        <w:spacing w:after="0"/>
        <w:rPr>
          <w:sz w:val="20"/>
          <w:szCs w:val="20"/>
          <w:color w:val="auto"/>
        </w:rPr>
      </w:pPr>
      <w:r>
        <w:rPr>
          <w:rFonts w:ascii="Arial" w:cs="Arial" w:eastAsia="Arial" w:hAnsi="Arial"/>
          <w:sz w:val="18"/>
          <w:szCs w:val="18"/>
          <w:color w:val="auto"/>
        </w:rPr>
        <w:t>Chairperson of the Board of Directors</w:t>
      </w:r>
    </w:p>
    <w:p>
      <w:pPr>
        <w:sectPr>
          <w:pgSz w:w="11900" w:h="16838" w:orient="portrait"/>
          <w:cols w:equalWidth="0" w:num="1">
            <w:col w:w="11240"/>
          </w:cols>
          <w:pgMar w:left="320" w:top="405"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line="313"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60"/>
        <w:spacing w:after="0" w:line="348" w:lineRule="auto"/>
        <w:rPr>
          <w:sz w:val="20"/>
          <w:szCs w:val="20"/>
          <w:color w:val="auto"/>
        </w:rPr>
      </w:pPr>
      <w:r>
        <w:rPr>
          <w:rFonts w:ascii="Arial" w:cs="Arial" w:eastAsia="Arial" w:hAnsi="Arial"/>
          <w:sz w:val="18"/>
          <w:szCs w:val="18"/>
          <w:color w:val="auto"/>
        </w:rPr>
        <w:t>In connection with the Annual Report of Nextdoor Holdings, Inc. (the “Company”) on Form 10-K for the year ended December 31, 2022,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76"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306" w:lineRule="exact"/>
        <w:rPr>
          <w:rFonts w:ascii="Arial" w:cs="Arial" w:eastAsia="Arial" w:hAnsi="Arial"/>
          <w:sz w:val="18"/>
          <w:szCs w:val="18"/>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2023</w:t>
      </w:r>
    </w:p>
    <w:p>
      <w:pPr>
        <w:spacing w:after="0" w:line="293" w:lineRule="exact"/>
        <w:rPr>
          <w:sz w:val="20"/>
          <w:szCs w:val="20"/>
          <w:color w:val="auto"/>
        </w:rPr>
      </w:pPr>
    </w:p>
    <w:p>
      <w:pPr>
        <w:ind w:left="7800"/>
        <w:spacing w:after="0"/>
        <w:tabs>
          <w:tab w:leader="none" w:pos="8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14605</wp:posOffset>
            </wp:positionV>
            <wp:extent cx="19030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Michael Doyle</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240"/>
      </w:cols>
      <w:pgMar w:left="320" w:top="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lowerLetter"/>
      <w:start w:val="3"/>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2"/>
      <w:numFmt w:val="bullet"/>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lowerRoman"/>
      <w:start w:val="1"/>
    </w:lvl>
  </w:abstractNum>
  <w:abstractNum w:abstractNumId="38">
    <w:nsid w:val="749ABB43"/>
    <w:multiLevelType w:val="hybridMultilevel"/>
    <w:lvl w:ilvl="0">
      <w:lvlJc w:val="left"/>
      <w:lvlText w:val="(%1)"/>
      <w:numFmt w:val="lowerRoman"/>
      <w:start w:val="4"/>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3"/>
    </w:lvl>
  </w:abstractNum>
  <w:abstractNum w:abstractNumId="50">
    <w:nsid w:val="275AC794"/>
    <w:multiLevelType w:val="hybridMultilevel"/>
    <w:lvl w:ilvl="0">
      <w:lvlJc w:val="left"/>
      <w:lvlText w:val="%1."/>
      <w:numFmt w:val="decimal"/>
      <w:start w:val="4"/>
    </w:lvl>
  </w:abstractNum>
  <w:abstractNum w:abstractNumId="51">
    <w:nsid w:val="39386575"/>
    <w:multiLevelType w:val="hybridMultilevel"/>
    <w:lvl w:ilvl="0">
      <w:lvlJc w:val="left"/>
      <w:lvlText w:val="%1."/>
      <w:numFmt w:val="decimal"/>
      <w:start w:val="5"/>
    </w:lvl>
  </w:abstractNum>
  <w:abstractNum w:abstractNumId="52">
    <w:nsid w:val="1CF10FD8"/>
    <w:multiLevelType w:val="hybridMultilevel"/>
    <w:lvl w:ilvl="0">
      <w:lvlJc w:val="left"/>
      <w:lvlText w:val="%1."/>
      <w:numFmt w:val="decimal"/>
      <w:start w:val="6"/>
    </w:lvl>
  </w:abstractNum>
  <w:abstractNum w:abstractNumId="53">
    <w:nsid w:val="180115BE"/>
    <w:multiLevelType w:val="hybridMultilevel"/>
    <w:lvl w:ilvl="0">
      <w:lvlJc w:val="left"/>
      <w:lvlText w:val="%1."/>
      <w:numFmt w:val="decimal"/>
      <w:start w:val="7"/>
    </w:lvl>
  </w:abstractNum>
  <w:abstractNum w:abstractNumId="54">
    <w:nsid w:val="235BA861"/>
    <w:multiLevelType w:val="hybridMultilevel"/>
    <w:lvl w:ilvl="0">
      <w:lvlJc w:val="left"/>
      <w:lvlText w:val="%1."/>
      <w:numFmt w:val="decimal"/>
      <w:start w:val="8"/>
    </w:lvl>
  </w:abstractNum>
  <w:abstractNum w:abstractNumId="55">
    <w:nsid w:val="47398C89"/>
    <w:multiLevelType w:val="hybridMultilevel"/>
    <w:lvl w:ilvl="0">
      <w:lvlJc w:val="left"/>
      <w:lvlText w:val="%1."/>
      <w:numFmt w:val="decimal"/>
      <w:start w:val="9"/>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33"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jpe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15" Type="http://schemas.openxmlformats.org/officeDocument/2006/relationships/hyperlink" Target="https://www.sec.gov/ix?doc=/Archives/edgar/data/0001846069/000162828021019483/kvsb-20211001.htm#i11186f3ee37c4f5d955bcd9dd1a562c4_5229" TargetMode="External"/><Relationship Id="rId116" Type="http://schemas.openxmlformats.org/officeDocument/2006/relationships/hyperlink" Target="https://www.sec.gov/Archives/edgar/data/0001846069/000162828021023197/exhibit31-super8xk.htm" TargetMode="External"/><Relationship Id="rId117" Type="http://schemas.openxmlformats.org/officeDocument/2006/relationships/hyperlink" Target="https://www.sec.gov/Archives/edgar/data/1846069/000184606922000061/kind-amendedandrestatedb.htm" TargetMode="External"/><Relationship Id="rId118" Type="http://schemas.openxmlformats.org/officeDocument/2006/relationships/hyperlink" Target="https://www.sec.gov/Archives/edgar/data/0001846069/000162828021023197/exhibit41-super8xk.htm" TargetMode="External"/><Relationship Id="rId119" Type="http://schemas.openxmlformats.org/officeDocument/2006/relationships/hyperlink" Target="https://www.sec.gov/ix?doc=/Archives/edgar/data/0001846069/000162828021019483/kvsb-20211001.htm#i11186f3ee37c4f5d955bcd9dd1a562c4_5294" TargetMode="External"/><Relationship Id="rId120" Type="http://schemas.openxmlformats.org/officeDocument/2006/relationships/hyperlink" Target="https://www.sec.gov/Archives/edgar/data/0001846069/000162828021023197/exhibit105-super8xk.htm" TargetMode="External"/><Relationship Id="rId121" Type="http://schemas.openxmlformats.org/officeDocument/2006/relationships/hyperlink" Target="https://www.sec.gov/Archives/edgar/data/0001846069/000162828021014051/exhibit1024-sx4.htm" TargetMode="External"/><Relationship Id="rId122" Type="http://schemas.openxmlformats.org/officeDocument/2006/relationships/hyperlink" Target="https://www.sec.gov/Archives/edgar/data/0001846069/000162828021014051/exhibit1026-sx4.htm" TargetMode="External"/><Relationship Id="rId123" Type="http://schemas.openxmlformats.org/officeDocument/2006/relationships/hyperlink" Target="https://www.sec.gov/Archives/edgar/data/0001846069/000162828021014051/exhibit1027-sx4.htm" TargetMode="External"/><Relationship Id="rId124" Type="http://schemas.openxmlformats.org/officeDocument/2006/relationships/hyperlink" Target="https://www.sec.gov/Archives/edgar/data/0001846069/000162828021014051/exhibit1025-sx4.htm" TargetMode="External"/><Relationship Id="rId125" Type="http://schemas.openxmlformats.org/officeDocument/2006/relationships/hyperlink" Target="https://www.sec.gov/Archives/edgar/data/0001846069/000162828021014051/exhibit1028-sx4.htm" TargetMode="External"/><Relationship Id="rId126" Type="http://schemas.openxmlformats.org/officeDocument/2006/relationships/hyperlink" Target="https://www.sec.gov/Archives/edgar/data/1846069/000162828021014051/exhibit1029-sx4.htm" TargetMode="External"/><Relationship Id="rId127" Type="http://schemas.openxmlformats.org/officeDocument/2006/relationships/hyperlink" Target="https://www.sec.gov/Archives/edgar/data/0001846069/000162828021023197/exhibit1018-super8xk.htm" TargetMode="External"/><Relationship Id="rId128" Type="http://schemas.openxmlformats.org/officeDocument/2006/relationships/hyperlink" Target="https://www.sec.gov/Archives/edgar/data/0001846069/000162828021023197/exhibit107-super8xk.htm" TargetMode="External"/><Relationship Id="rId129" Type="http://schemas.openxmlformats.org/officeDocument/2006/relationships/hyperlink" Target="https://www.sec.gov/Archives/edgar/data/1846069/000162828021014051/exhibit1015-sx4.htm" TargetMode="External"/><Relationship Id="rId130" Type="http://schemas.openxmlformats.org/officeDocument/2006/relationships/hyperlink" Target="https://www.sec.gov/Archives/edgar/data/0001846069/000162828021014051/exhibit1016-sx4.htm" TargetMode="External"/><Relationship Id="rId131" Type="http://schemas.openxmlformats.org/officeDocument/2006/relationships/hyperlink" Target="https://www.sec.gov/Archives/edgar/data/0001846069/000162828021023197/exhibit1010-super8xk.htm" TargetMode="External"/><Relationship Id="rId132" Type="http://schemas.openxmlformats.org/officeDocument/2006/relationships/hyperlink" Target="https://www.sec.gov/Archives/edgar/data/0001846069/000162828021014051/exhibit1018-sx4.htm" TargetMode="External"/><Relationship Id="rId134" Type="http://schemas.openxmlformats.org/officeDocument/2006/relationships/hyperlink" Target="https://www.sec.gov/Archives/edgar/data/0001846069/000162828021014051/exhibit1019-sx4.htm" TargetMode="External"/><Relationship Id="rId135" Type="http://schemas.openxmlformats.org/officeDocument/2006/relationships/hyperlink" Target="https://www.sec.gov/Archives/edgar/data/0001846069/000162828021014051/exhibit1020-sx4.htm" TargetMode="External"/><Relationship Id="rId136" Type="http://schemas.openxmlformats.org/officeDocument/2006/relationships/hyperlink" Target="https://www.sec.gov/Archives/edgar/data/1846069/000162828021014051/exhibit1022-sx4.htm" TargetMode="External"/><Relationship Id="rId137" Type="http://schemas.openxmlformats.org/officeDocument/2006/relationships/hyperlink" Target="https://www.sec.gov/Archives/edgar/data/0001846069/000162828021014051/exhibit1021-sx4.htm" TargetMode="External"/><Relationship Id="rId138" Type="http://schemas.openxmlformats.org/officeDocument/2006/relationships/hyperlink" Target="https://www.sec.gov/Archives/edgar/data/0001846069/000162828021023197/exhibit106-super8xk.htm" TargetMode="External"/><Relationship Id="rId139" Type="http://schemas.openxmlformats.org/officeDocument/2006/relationships/hyperlink" Target="https://www.sec.gov/Archives/edgar/data/1846069/000162828021014051/exhibit1023-sx4.htm" TargetMode="External"/><Relationship Id="rId140" Type="http://schemas.openxmlformats.org/officeDocument/2006/relationships/hyperlink" Target="https://www.sec.gov/Archives/edgar/data/0001846069/000162828021023197/exhibit211-super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2023-02-28T17:56:32Z</dcterms:created>
  <dcterms:modified xsi:type="dcterms:W3CDTF">2023-02-28T17:56:32Z</dcterms:modified>
</cp:coreProperties>
</file>