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(Mark One)</w:t>
      </w:r>
    </w:p>
    <w:p>
      <w:pPr>
        <w:spacing w:after="0" w:line="27" w:lineRule="exact"/>
        <w:rPr>
          <w:sz w:val="24"/>
          <w:szCs w:val="24"/>
          <w:color w:val="auto"/>
        </w:rPr>
      </w:pPr>
    </w:p>
    <w:p>
      <w:pPr>
        <w:ind w:left="880" w:hanging="368"/>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3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quarterly period ended September 30, 2022</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OR</w:t>
      </w:r>
    </w:p>
    <w:p>
      <w:pPr>
        <w:spacing w:after="0" w:line="44" w:lineRule="exact"/>
        <w:rPr>
          <w:sz w:val="24"/>
          <w:szCs w:val="24"/>
          <w:color w:val="auto"/>
        </w:rPr>
      </w:pPr>
    </w:p>
    <w:p>
      <w:pPr>
        <w:ind w:left="880" w:hanging="386"/>
        <w:spacing w:after="0"/>
        <w:tabs>
          <w:tab w:leader="none" w:pos="8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580"/>
        <w:spacing w:after="0"/>
        <w:rPr>
          <w:sz w:val="20"/>
          <w:szCs w:val="20"/>
          <w:color w:val="auto"/>
        </w:rPr>
      </w:pPr>
      <w:r>
        <w:rPr>
          <w:rFonts w:ascii="Arial" w:cs="Arial" w:eastAsia="Arial" w:hAnsi="Arial"/>
          <w:sz w:val="14"/>
          <w:szCs w:val="14"/>
          <w:b w:val="1"/>
          <w:bCs w:val="1"/>
          <w:color w:val="auto"/>
        </w:rPr>
        <w:t>For the transition period from  to</w:t>
      </w:r>
    </w:p>
    <w:p>
      <w:pPr>
        <w:spacing w:after="0" w:line="25" w:lineRule="exact"/>
        <w:rPr>
          <w:sz w:val="24"/>
          <w:szCs w:val="24"/>
          <w:color w:val="auto"/>
        </w:rPr>
      </w:pPr>
    </w:p>
    <w:p>
      <w:pPr>
        <w:ind w:left="4540"/>
        <w:spacing w:after="0"/>
        <w:rPr>
          <w:sz w:val="20"/>
          <w:szCs w:val="20"/>
          <w:color w:val="auto"/>
        </w:rPr>
      </w:pPr>
      <w:r>
        <w:rPr>
          <w:rFonts w:ascii="Arial" w:cs="Arial" w:eastAsia="Arial" w:hAnsi="Arial"/>
          <w:sz w:val="14"/>
          <w:szCs w:val="14"/>
          <w:b w:val="1"/>
          <w:bCs w:val="1"/>
          <w:color w:val="auto"/>
        </w:rPr>
        <w:t>Commission file number 001-40246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145415</wp:posOffset>
            </wp:positionV>
            <wp:extent cx="1311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85" w:lineRule="exact"/>
        <w:rPr>
          <w:sz w:val="24"/>
          <w:szCs w:val="24"/>
          <w:color w:val="auto"/>
        </w:rPr>
      </w:pPr>
    </w:p>
    <w:tbl>
      <w:tblPr>
        <w:tblLayout w:type="fixed"/>
        <w:tblInd w:w="10" w:type="dxa"/>
        <w:tblCellMar>
          <w:top w:w="0" w:type="dxa"/>
          <w:left w:w="0" w:type="dxa"/>
          <w:bottom w:w="0" w:type="dxa"/>
          <w:right w:w="0" w:type="dxa"/>
        </w:tblCellMar>
      </w:tblPr>
      <w:tr>
        <w:trPr>
          <w:trHeight w:val="351"/>
        </w:trPr>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20" w:type="dxa"/>
            <w:vAlign w:val="bottom"/>
            <w:gridSpan w:val="4"/>
          </w:tcPr>
          <w:p>
            <w:pPr>
              <w:jc w:val="center"/>
              <w:ind w:right="80"/>
              <w:spacing w:after="0"/>
              <w:rPr>
                <w:sz w:val="20"/>
                <w:szCs w:val="20"/>
                <w:color w:val="auto"/>
              </w:rPr>
            </w:pPr>
            <w:r>
              <w:rPr>
                <w:rFonts w:ascii="Arial" w:cs="Arial" w:eastAsia="Arial" w:hAnsi="Arial"/>
                <w:sz w:val="29"/>
                <w:szCs w:val="29"/>
                <w:b w:val="1"/>
                <w:bCs w:val="1"/>
                <w:color w:val="auto"/>
                <w:w w:val="90"/>
              </w:rPr>
              <w:t>Nextdoor Holdings, Inc.</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7740" w:type="dxa"/>
            <w:vAlign w:val="bottom"/>
            <w:gridSpan w:val="6"/>
          </w:tcPr>
          <w:p>
            <w:pPr>
              <w:jc w:val="center"/>
              <w:ind w:right="3468"/>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0" w:type="dxa"/>
            <w:vAlign w:val="bottom"/>
          </w:tcPr>
          <w:p>
            <w:pPr>
              <w:spacing w:after="0"/>
              <w:rPr>
                <w:sz w:val="1"/>
                <w:szCs w:val="1"/>
                <w:color w:val="auto"/>
              </w:rPr>
            </w:pPr>
          </w:p>
        </w:tc>
      </w:tr>
      <w:tr>
        <w:trPr>
          <w:trHeight w:val="203"/>
        </w:trPr>
        <w:tc>
          <w:tcPr>
            <w:tcW w:w="352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4"/>
              </w:rPr>
              <w:t>Delaware</w:t>
            </w: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38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3"/>
              </w:rPr>
              <w:t>86-1776836</w:t>
            </w:r>
          </w:p>
        </w:tc>
        <w:tc>
          <w:tcPr>
            <w:tcW w:w="0" w:type="dxa"/>
            <w:vAlign w:val="bottom"/>
          </w:tcPr>
          <w:p>
            <w:pPr>
              <w:spacing w:after="0"/>
              <w:rPr>
                <w:sz w:val="1"/>
                <w:szCs w:val="1"/>
                <w:color w:val="auto"/>
              </w:rPr>
            </w:pPr>
          </w:p>
        </w:tc>
      </w:tr>
      <w:tr>
        <w:trPr>
          <w:trHeight w:val="454"/>
        </w:trPr>
        <w:tc>
          <w:tcPr>
            <w:tcW w:w="35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52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80" w:type="dxa"/>
            <w:vAlign w:val="bottom"/>
          </w:tcPr>
          <w:p>
            <w:pPr>
              <w:jc w:val="center"/>
              <w:ind w:left="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2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80" w:type="dxa"/>
            <w:vAlign w:val="bottom"/>
          </w:tcPr>
          <w:p>
            <w:pPr>
              <w:jc w:val="center"/>
              <w:ind w:left="28"/>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7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3"/>
              </w:rPr>
              <w:t>420 Taylor Street</w:t>
            </w:r>
          </w:p>
        </w:tc>
        <w:tc>
          <w:tcPr>
            <w:tcW w:w="3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2"/>
              </w:rPr>
              <w:t>San Francisco, California 94102</w:t>
            </w:r>
          </w:p>
        </w:tc>
        <w:tc>
          <w:tcPr>
            <w:tcW w:w="3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(Address of Principal Executive Offices and Zip Code)</w:t>
            </w:r>
          </w:p>
        </w:tc>
        <w:tc>
          <w:tcPr>
            <w:tcW w:w="3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2700" w:type="dxa"/>
            <w:vAlign w:val="bottom"/>
            <w:gridSpan w:val="3"/>
          </w:tcPr>
          <w:p>
            <w:pPr>
              <w:jc w:val="center"/>
              <w:ind w:left="1442"/>
              <w:spacing w:after="0"/>
              <w:rPr>
                <w:sz w:val="20"/>
                <w:szCs w:val="20"/>
                <w:color w:val="auto"/>
              </w:rPr>
            </w:pPr>
            <w:r>
              <w:rPr>
                <w:rFonts w:ascii="Arial" w:cs="Arial" w:eastAsia="Arial" w:hAnsi="Arial"/>
                <w:sz w:val="14"/>
                <w:szCs w:val="14"/>
                <w:b w:val="1"/>
                <w:bCs w:val="1"/>
                <w:color w:val="auto"/>
                <w:w w:val="93"/>
              </w:rPr>
              <w:t>(415) 344-0333</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3860" w:type="dxa"/>
            <w:vAlign w:val="bottom"/>
            <w:gridSpan w:val="5"/>
          </w:tcPr>
          <w:p>
            <w:pPr>
              <w:jc w:val="center"/>
              <w:ind w:left="262"/>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20" w:type="dxa"/>
            <w:vAlign w:val="bottom"/>
            <w:gridSpan w:val="4"/>
          </w:tcPr>
          <w:p>
            <w:pPr>
              <w:jc w:val="center"/>
              <w:ind w:right="10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2"/>
          </w:tcPr>
          <w:p>
            <w:pPr>
              <w:spacing w:after="0"/>
              <w:rPr>
                <w:sz w:val="11"/>
                <w:szCs w:val="11"/>
                <w:color w:val="auto"/>
              </w:rPr>
            </w:pPr>
          </w:p>
        </w:tc>
        <w:tc>
          <w:tcPr>
            <w:tcW w:w="1160" w:type="dxa"/>
            <w:vAlign w:val="bottom"/>
            <w:tcBorders>
              <w:bottom w:val="single" w:sz="8" w:color="auto"/>
            </w:tcBorders>
            <w:gridSpan w:val="2"/>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520" w:type="dxa"/>
            <w:vAlign w:val="bottom"/>
            <w:tcBorders>
              <w:left w:val="single" w:sz="8" w:color="auto"/>
            </w:tcBorders>
          </w:tcPr>
          <w:p>
            <w:pPr>
              <w:jc w:val="center"/>
              <w:ind w:left="368"/>
              <w:spacing w:after="0"/>
              <w:rPr>
                <w:sz w:val="20"/>
                <w:szCs w:val="20"/>
                <w:color w:val="auto"/>
              </w:rPr>
            </w:pPr>
            <w:r>
              <w:rPr>
                <w:rFonts w:ascii="Arial" w:cs="Arial" w:eastAsia="Arial" w:hAnsi="Arial"/>
                <w:sz w:val="14"/>
                <w:szCs w:val="14"/>
                <w:color w:val="auto"/>
                <w:w w:val="92"/>
              </w:rPr>
              <w:t>Title of each class</w:t>
            </w:r>
          </w:p>
        </w:tc>
        <w:tc>
          <w:tcPr>
            <w:tcW w:w="44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w w:val="96"/>
              </w:rPr>
              <w:t>Trading Symbol(s)</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80" w:type="dxa"/>
            <w:vAlign w:val="bottom"/>
            <w:tcBorders>
              <w:right w:val="single" w:sz="8" w:color="auto"/>
            </w:tcBorders>
          </w:tcPr>
          <w:p>
            <w:pPr>
              <w:jc w:val="center"/>
              <w:ind w:right="1128"/>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35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520" w:type="dxa"/>
            <w:vAlign w:val="bottom"/>
            <w:tcBorders>
              <w:left w:val="single" w:sz="8" w:color="auto"/>
            </w:tcBorders>
          </w:tcPr>
          <w:p>
            <w:pPr>
              <w:jc w:val="center"/>
              <w:ind w:left="368"/>
              <w:spacing w:after="0"/>
              <w:rPr>
                <w:sz w:val="20"/>
                <w:szCs w:val="20"/>
                <w:color w:val="auto"/>
              </w:rPr>
            </w:pPr>
            <w:r>
              <w:rPr>
                <w:rFonts w:ascii="Arial" w:cs="Arial" w:eastAsia="Arial" w:hAnsi="Arial"/>
                <w:sz w:val="14"/>
                <w:szCs w:val="14"/>
                <w:color w:val="auto"/>
                <w:w w:val="92"/>
              </w:rPr>
              <w:t>Class A common stock, par value $0.0001 per share</w:t>
            </w:r>
          </w:p>
        </w:tc>
        <w:tc>
          <w:tcPr>
            <w:tcW w:w="44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1620" w:type="dxa"/>
            <w:vAlign w:val="bottom"/>
            <w:tcBorders>
              <w:right w:val="single" w:sz="8" w:color="auto"/>
            </w:tcBorders>
          </w:tcPr>
          <w:p>
            <w:pPr>
              <w:jc w:val="center"/>
              <w:ind w:right="588"/>
              <w:spacing w:after="0"/>
              <w:rPr>
                <w:sz w:val="20"/>
                <w:szCs w:val="20"/>
                <w:color w:val="auto"/>
              </w:rPr>
            </w:pPr>
            <w:r>
              <w:rPr>
                <w:rFonts w:ascii="Arial" w:cs="Arial" w:eastAsia="Arial" w:hAnsi="Arial"/>
                <w:sz w:val="14"/>
                <w:szCs w:val="14"/>
                <w:color w:val="auto"/>
              </w:rPr>
              <w:t>KIND</w:t>
            </w:r>
          </w:p>
        </w:tc>
        <w:tc>
          <w:tcPr>
            <w:tcW w:w="1160" w:type="dxa"/>
            <w:vAlign w:val="bottom"/>
            <w:gridSpan w:val="2"/>
          </w:tcPr>
          <w:p>
            <w:pPr>
              <w:spacing w:after="0"/>
              <w:rPr>
                <w:sz w:val="15"/>
                <w:szCs w:val="15"/>
                <w:color w:val="auto"/>
              </w:rPr>
            </w:pPr>
          </w:p>
        </w:tc>
        <w:tc>
          <w:tcPr>
            <w:tcW w:w="3880" w:type="dxa"/>
            <w:vAlign w:val="bottom"/>
            <w:tcBorders>
              <w:right w:val="single" w:sz="8" w:color="auto"/>
            </w:tcBorders>
          </w:tcPr>
          <w:p>
            <w:pPr>
              <w:jc w:val="center"/>
              <w:ind w:right="112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0"/>
        </w:trPr>
        <w:tc>
          <w:tcPr>
            <w:tcW w:w="35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4"/>
          <w:szCs w:val="24"/>
          <w:color w:val="auto"/>
        </w:rPr>
      </w:pPr>
    </w:p>
    <w:p>
      <w:pPr>
        <w:ind w:right="200"/>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ind w:right="20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ind w:right="4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1760"/>
              <w:spacing w:after="0"/>
              <w:rPr>
                <w:sz w:val="20"/>
                <w:szCs w:val="20"/>
                <w:color w:val="auto"/>
              </w:rPr>
            </w:pPr>
            <w:r>
              <w:rPr>
                <w:rFonts w:ascii="Arial" w:cs="Arial" w:eastAsia="Arial" w:hAnsi="Arial"/>
                <w:sz w:val="14"/>
                <w:szCs w:val="14"/>
                <w:color w:val="auto"/>
              </w:rPr>
              <w:t>Accelerated filer</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440" w:type="dxa"/>
            <w:vAlign w:val="bottom"/>
          </w:tcPr>
          <w:p>
            <w:pPr>
              <w:spacing w:after="0"/>
              <w:rPr>
                <w:sz w:val="20"/>
                <w:szCs w:val="20"/>
                <w:color w:val="auto"/>
              </w:rPr>
            </w:pPr>
            <w:r>
              <w:rPr>
                <w:rFonts w:ascii="Arial" w:cs="Arial" w:eastAsia="Arial" w:hAnsi="Arial"/>
                <w:sz w:val="14"/>
                <w:szCs w:val="14"/>
                <w:color w:val="auto"/>
              </w:rPr>
              <w:t>Non-accelerated filer</w:t>
            </w:r>
          </w:p>
        </w:tc>
        <w:tc>
          <w:tcPr>
            <w:tcW w:w="30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1760"/>
              <w:spacing w:after="0"/>
              <w:rPr>
                <w:sz w:val="20"/>
                <w:szCs w:val="20"/>
                <w:color w:val="auto"/>
              </w:rPr>
            </w:pPr>
            <w:r>
              <w:rPr>
                <w:rFonts w:ascii="Arial" w:cs="Arial" w:eastAsia="Arial" w:hAnsi="Arial"/>
                <w:sz w:val="14"/>
                <w:szCs w:val="14"/>
                <w:color w:val="auto"/>
              </w:rPr>
              <w:t>Smaller reporting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380" w:type="dxa"/>
            <w:vAlign w:val="bottom"/>
          </w:tcPr>
          <w:p>
            <w:pPr>
              <w:ind w:left="1760"/>
              <w:spacing w:after="0"/>
              <w:rPr>
                <w:sz w:val="20"/>
                <w:szCs w:val="20"/>
                <w:color w:val="auto"/>
              </w:rPr>
            </w:pPr>
            <w:r>
              <w:rPr>
                <w:rFonts w:ascii="Arial" w:cs="Arial" w:eastAsia="Arial" w:hAnsi="Arial"/>
                <w:sz w:val="14"/>
                <w:szCs w:val="14"/>
                <w:color w:val="auto"/>
              </w:rPr>
              <w:t>Emerging growth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2" w:lineRule="exact"/>
        <w:rPr>
          <w:sz w:val="24"/>
          <w:szCs w:val="24"/>
          <w:color w:val="auto"/>
        </w:rPr>
      </w:pPr>
    </w:p>
    <w:p>
      <w:pPr>
        <w:ind w:right="580"/>
        <w:spacing w:after="0" w:line="19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161" w:lineRule="exact"/>
        <w:tabs>
          <w:tab w:leader="none" w:pos="6700" w:val="left"/>
          <w:tab w:leader="none" w:pos="73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3"/>
          <w:szCs w:val="13"/>
          <w:color w:val="auto"/>
        </w:rPr>
        <w:t>As of November 4, 2022, there were 151,043,601 shares of the registrant’s Class A common stock outstanding and 218,519,295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984250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67722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ectPr>
          <w:pgSz w:w="11900" w:h="16838" w:orient="portrait"/>
          <w:cols w:equalWidth="0" w:num="1">
            <w:col w:w="11260"/>
          </w:cols>
          <w:pgMar w:left="320" w:top="85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580" w:type="dxa"/>
            <w:vAlign w:val="bottom"/>
          </w:tcPr>
          <w:p>
            <w:pPr>
              <w:spacing w:after="0"/>
              <w:rPr>
                <w:sz w:val="20"/>
                <w:szCs w:val="20"/>
                <w:color w:val="auto"/>
              </w:rPr>
            </w:pPr>
          </w:p>
        </w:tc>
      </w:tr>
      <w:tr>
        <w:trPr>
          <w:trHeight w:val="418"/>
        </w:trPr>
        <w:tc>
          <w:tcPr>
            <w:tcW w:w="96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Special Note Regarding Forward-Looking Statements</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Risk Factor Summary</w:t>
            </w: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660" w:type="dxa"/>
            <w:vAlign w:val="bottom"/>
          </w:tcPr>
          <w:p>
            <w:pPr>
              <w:ind w:left="4300"/>
              <w:spacing w:after="0"/>
              <w:rPr>
                <w:sz w:val="20"/>
                <w:szCs w:val="20"/>
                <w:color w:val="auto"/>
              </w:rPr>
            </w:pPr>
            <w:r>
              <w:rPr>
                <w:rFonts w:ascii="Arial" w:cs="Arial" w:eastAsia="Arial" w:hAnsi="Arial"/>
                <w:sz w:val="18"/>
                <w:szCs w:val="18"/>
                <w:color w:val="auto"/>
              </w:rPr>
              <w:t>Part I - Financial Information</w:t>
            </w:r>
          </w:p>
        </w:tc>
        <w:tc>
          <w:tcPr>
            <w:tcW w:w="1580" w:type="dxa"/>
            <w:vAlign w:val="bottom"/>
          </w:tcPr>
          <w:p>
            <w:pPr>
              <w:spacing w:after="0"/>
              <w:rPr>
                <w:sz w:val="19"/>
                <w:szCs w:val="19"/>
                <w:color w:val="auto"/>
              </w:rPr>
            </w:pP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Item 1. Financial Statements (Unaudited)</w:t>
            </w: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660" w:type="dxa"/>
            <w:vAlign w:val="bottom"/>
          </w:tcPr>
          <w:p>
            <w:pPr>
              <w:ind w:left="80"/>
              <w:spacing w:after="0"/>
              <w:rPr>
                <w:sz w:val="20"/>
                <w:szCs w:val="20"/>
                <w:color w:val="auto"/>
              </w:rPr>
            </w:pPr>
            <w:r>
              <w:rPr>
                <w:rFonts w:ascii="Arial" w:cs="Arial" w:eastAsia="Arial" w:hAnsi="Arial"/>
                <w:sz w:val="18"/>
                <w:szCs w:val="18"/>
                <w:color w:val="auto"/>
              </w:rPr>
              <w:t>Condensed Consolidated Balance Sheets</w:t>
            </w: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9660" w:type="dxa"/>
            <w:vAlign w:val="bottom"/>
          </w:tcPr>
          <w:p>
            <w:pPr>
              <w:ind w:left="80"/>
              <w:spacing w:after="0"/>
              <w:rPr>
                <w:sz w:val="20"/>
                <w:szCs w:val="20"/>
                <w:color w:val="auto"/>
              </w:rPr>
            </w:pPr>
            <w:r>
              <w:rPr>
                <w:rFonts w:ascii="Arial" w:cs="Arial" w:eastAsia="Arial" w:hAnsi="Arial"/>
                <w:sz w:val="18"/>
                <w:szCs w:val="18"/>
                <w:color w:val="auto"/>
              </w:rPr>
              <w:t>Condensed Consolidated Statements of Operations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660" w:type="dxa"/>
            <w:vAlign w:val="bottom"/>
          </w:tcPr>
          <w:p>
            <w:pPr>
              <w:ind w:left="80"/>
              <w:spacing w:after="0"/>
              <w:rPr>
                <w:sz w:val="20"/>
                <w:szCs w:val="20"/>
                <w:color w:val="auto"/>
              </w:rPr>
            </w:pPr>
            <w:r>
              <w:rPr>
                <w:rFonts w:ascii="Arial" w:cs="Arial" w:eastAsia="Arial" w:hAnsi="Arial"/>
                <w:sz w:val="18"/>
                <w:szCs w:val="18"/>
                <w:color w:val="auto"/>
              </w:rPr>
              <w:t>Condensed Consolidated Statements of Comprehensive Loss</w:t>
            </w: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660" w:type="dxa"/>
            <w:vAlign w:val="bottom"/>
          </w:tcPr>
          <w:p>
            <w:pPr>
              <w:ind w:left="80"/>
              <w:spacing w:after="0"/>
              <w:rPr>
                <w:sz w:val="20"/>
                <w:szCs w:val="20"/>
                <w:color w:val="auto"/>
              </w:rPr>
            </w:pPr>
            <w:r>
              <w:rPr>
                <w:rFonts w:ascii="Arial" w:cs="Arial" w:eastAsia="Arial" w:hAnsi="Arial"/>
                <w:sz w:val="18"/>
                <w:szCs w:val="18"/>
                <w:color w:val="auto"/>
              </w:rPr>
              <w:t>Condensed Consolidated Statements of Redeemable Convertible Preferred Stock and Stockholders’ Equity (Deficit)</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9660" w:type="dxa"/>
            <w:vAlign w:val="bottom"/>
          </w:tcPr>
          <w:p>
            <w:pPr>
              <w:ind w:left="80"/>
              <w:spacing w:after="0"/>
              <w:rPr>
                <w:sz w:val="20"/>
                <w:szCs w:val="20"/>
                <w:color w:val="auto"/>
              </w:rPr>
            </w:pPr>
            <w:r>
              <w:rPr>
                <w:rFonts w:ascii="Arial" w:cs="Arial" w:eastAsia="Arial" w:hAnsi="Arial"/>
                <w:sz w:val="18"/>
                <w:szCs w:val="18"/>
                <w:color w:val="auto"/>
              </w:rPr>
              <w:t>Condensed Consolidated Statements of Cash Flows</w:t>
            </w: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Notes to Condensed Consolidated Financial Statements</w:t>
            </w: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Item 4. Controls and Procedures</w:t>
            </w: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9660" w:type="dxa"/>
            <w:vAlign w:val="bottom"/>
          </w:tcPr>
          <w:p>
            <w:pPr>
              <w:ind w:left="4400"/>
              <w:spacing w:after="0"/>
              <w:rPr>
                <w:sz w:val="20"/>
                <w:szCs w:val="20"/>
                <w:color w:val="auto"/>
              </w:rPr>
            </w:pPr>
            <w:r>
              <w:rPr>
                <w:rFonts w:ascii="Arial" w:cs="Arial" w:eastAsia="Arial" w:hAnsi="Arial"/>
                <w:sz w:val="18"/>
                <w:szCs w:val="18"/>
                <w:color w:val="auto"/>
              </w:rPr>
              <w:t>Part II - Other Information</w:t>
            </w:r>
          </w:p>
        </w:tc>
        <w:tc>
          <w:tcPr>
            <w:tcW w:w="1580" w:type="dxa"/>
            <w:vAlign w:val="bottom"/>
          </w:tcPr>
          <w:p>
            <w:pPr>
              <w:spacing w:after="0"/>
              <w:rPr>
                <w:sz w:val="19"/>
                <w:szCs w:val="19"/>
                <w:color w:val="auto"/>
              </w:rPr>
            </w:pP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Item 1. Legal Proceedings</w:t>
            </w: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Item 1A. Risk Factors</w:t>
            </w: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Item 3. Defaults Upon Senior Securities</w:t>
            </w:r>
          </w:p>
        </w:tc>
        <w:tc>
          <w:tcPr>
            <w:tcW w:w="1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Item 4. Mine Safety Disclosures</w:t>
            </w:r>
          </w:p>
        </w:tc>
        <w:tc>
          <w:tcPr>
            <w:tcW w:w="1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Item 5. Other Information</w:t>
            </w:r>
          </w:p>
        </w:tc>
        <w:tc>
          <w:tcPr>
            <w:tcW w:w="1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Item 6. Exhibits</w:t>
            </w:r>
          </w:p>
        </w:tc>
        <w:tc>
          <w:tcPr>
            <w:tcW w:w="1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1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905"/>
        </w:trPr>
        <w:tc>
          <w:tcPr>
            <w:tcW w:w="9660" w:type="dxa"/>
            <w:vAlign w:val="bottom"/>
          </w:tcPr>
          <w:p>
            <w:pPr>
              <w:ind w:left="5740"/>
              <w:spacing w:after="0"/>
              <w:rPr>
                <w:sz w:val="20"/>
                <w:szCs w:val="20"/>
                <w:color w:val="auto"/>
              </w:rPr>
            </w:pPr>
            <w:r>
              <w:rPr>
                <w:rFonts w:ascii="Arial" w:cs="Arial" w:eastAsia="Arial" w:hAnsi="Arial"/>
                <w:sz w:val="18"/>
                <w:szCs w:val="18"/>
                <w:color w:val="auto"/>
              </w:rPr>
              <w:t>1</w:t>
            </w:r>
          </w:p>
        </w:tc>
        <w:tc>
          <w:tcPr>
            <w:tcW w:w="1580" w:type="dxa"/>
            <w:vAlign w:val="bottom"/>
          </w:tcPr>
          <w:p>
            <w:pPr>
              <w:spacing w:after="0"/>
              <w:rPr>
                <w:sz w:val="24"/>
                <w:szCs w:val="24"/>
                <w:color w:val="auto"/>
              </w:rPr>
            </w:pPr>
          </w:p>
        </w:tc>
      </w:tr>
      <w:tr>
        <w:trPr>
          <w:trHeight w:val="277"/>
        </w:trPr>
        <w:tc>
          <w:tcPr>
            <w:tcW w:w="96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This Quarterly Report on Form 10-Q (“Quarterly Report”) contains forward-looking statements within the meaning of the federal securities laws. All statements contained in this Quarterly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“projects,” “plans,” “targets,” and variations of such words and similar expressions are intended to identify forward-looking statements. Forward-looking statements in this Quarterly Report may include, for example, statements about:</w:t>
      </w:r>
    </w:p>
    <w:p>
      <w:pPr>
        <w:spacing w:after="0" w:line="197"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including our ability to scale new neighbor growth, our ability to grow engagement by our existing neighbor base and our ability to increase monetization of our platform;</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business and monetization efforts;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expand our business operations abroad by opening new and expanding within existing neighborhoods outside of the United States;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general economic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growth effectively;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and maintain profitability in the future;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sources of capital to finance operations and growth;</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strategic relationships with third parties;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Class A common stock on the New York Stock Exchange;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 both within and outside of the United States;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regulatory environment and complexities with compliance related to such environment;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develop and maintain effective internal controls;</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as a result of interruptions, delays, or failures resulting from earthquakes, fires, floods, adverse weather conditions, other natural disasters, power loss, terrorism, pandemics, geopolitical conflict (including the war in Ukraine), other physical security threats, cyber-attacks, or other catastrophic events;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political, economic, and macroeconomic climate, whether in the advertising industry in general, or among specific types of advertisers or within particular geographies, including but not limited to the impacts related to labor shortages, supply chain disruptions, a potential recession, inflation, and rising interest rates;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ongoing COVID-19 pandemic on the foregoing; and</w:t>
      </w:r>
    </w:p>
    <w:p>
      <w:pPr>
        <w:spacing w:after="0" w:line="26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other factors detailed in Part II, Item 1A, “Risk Factors” in this Quarterly Report.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Readers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3" w:name="page4"/>
    <w:bookmarkEnd w:id="3"/>
    <w:p>
      <w:pPr>
        <w:jc w:val="both"/>
        <w:spacing w:after="0" w:line="254" w:lineRule="auto"/>
        <w:rPr>
          <w:sz w:val="20"/>
          <w:szCs w:val="20"/>
          <w:color w:val="auto"/>
        </w:rPr>
      </w:pPr>
      <w:r>
        <w:rPr>
          <w:rFonts w:ascii="Arial" w:cs="Arial" w:eastAsia="Arial" w:hAnsi="Arial"/>
          <w:sz w:val="18"/>
          <w:szCs w:val="18"/>
          <w:color w:val="auto"/>
        </w:rPr>
        <w:t>are urged to carefully review and consider the various disclosures made in this Quarterly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spacing w:after="0" w:line="2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spacing w:after="0" w:line="20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should read this Quarterly Report and the documents that we reference herein and have filed with the SEC as exhibits to this Quarterly Report with the understanding that our actual future results, performance, and events and circumstances may be materially different from what we expect.</w:t>
      </w:r>
    </w:p>
    <w:p>
      <w:pPr>
        <w:spacing w:after="0" w:line="1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used in this Quarterly Report, the terms “Nextdoor,” “we,” “us,” and “our” mean Nextdoor Holdings, Inc. and its subsidiaries unless the context indicates otherwise. The term “Business Combination” refers to the transactions contemplated by the that certain Agreement and Plan of Merger, dated as of July 6, 2021, by and among Khosla Ventures Acquisition Co. II, Nextdoor, Inc., and Lorelei Merger Sub Inc., as amended by Amendment No. 1 to the Agreement and Plan of Merger, dated as of September 30, 2021, including (i) the merger contemplated by the Agreement and Plan of Merger, whereby Lorelei Merger Sub Inc. merged with and into Nextdoor, Inc., with Nextdoor, Inc. surviving the merger as a wholly-owned subsidiary of Khosla Ventures Acquisition Co. II, and (ii) the private placement pursuant to which investors collectively subscribed for 27,000,000 shares of our Class A common stock at $10.00 per share, for an aggregate purchase price of $270,000,000.</w:t>
      </w: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You should carefully consider these risks and uncertainties when investing in our Class A common stock. Some of the principal risks and uncertainties include the following:</w:t>
      </w:r>
    </w:p>
    <w:p>
      <w:pPr>
        <w:spacing w:after="0" w:line="116" w:lineRule="exact"/>
        <w:rPr>
          <w:sz w:val="20"/>
          <w:szCs w:val="20"/>
          <w:color w:val="auto"/>
        </w:rPr>
      </w:pPr>
    </w:p>
    <w:p>
      <w:pPr>
        <w:ind w:left="660" w:hanging="328"/>
        <w:spacing w:after="0" w:line="324"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151" w:lineRule="exact"/>
        <w:rPr>
          <w:rFonts w:ascii="Arial" w:cs="Arial" w:eastAsia="Arial" w:hAnsi="Arial"/>
          <w:sz w:val="16"/>
          <w:szCs w:val="16"/>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generate substantially all of our revenue from advertising. If advertisers reduce or eliminate their spending with us, our business, operating results, and financial condition would be adversely impacted.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highly competitive. Competition presents an ongoing threat to the success of our business.</w:t>
      </w:r>
    </w:p>
    <w:p>
      <w:pPr>
        <w:spacing w:after="0" w:line="238" w:lineRule="exact"/>
        <w:rPr>
          <w:rFonts w:ascii="Arial" w:cs="Arial" w:eastAsia="Arial" w:hAnsi="Arial"/>
          <w:sz w:val="18"/>
          <w:szCs w:val="18"/>
          <w:color w:val="auto"/>
        </w:rPr>
      </w:pPr>
    </w:p>
    <w:p>
      <w:pPr>
        <w:jc w:val="both"/>
        <w:ind w:left="660" w:right="20" w:hanging="328"/>
        <w:spacing w:after="0"/>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216"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experienced rapid growth and expect to invest in our growth for the foreseeable future. If we fail to manage our growth effectively, our business, operating results, and financial condition would be adversely affected. We also may not be able to sustain our growth in the future.</w:t>
      </w:r>
    </w:p>
    <w:p>
      <w:pPr>
        <w:spacing w:after="0" w:line="151" w:lineRule="exact"/>
        <w:rPr>
          <w:rFonts w:ascii="Arial" w:cs="Arial" w:eastAsia="Arial" w:hAnsi="Arial"/>
          <w:sz w:val="16"/>
          <w:szCs w:val="16"/>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efforts to build strong brand identity and reputation are not successful, we may not be able to attract or retain neighbors, and our business, operating results, and financial condition will be adversely affected.</w:t>
      </w:r>
    </w:p>
    <w:p>
      <w:pPr>
        <w:spacing w:after="0" w:line="197" w:lineRule="exact"/>
        <w:rPr>
          <w:rFonts w:ascii="Arial" w:cs="Arial" w:eastAsia="Arial" w:hAnsi="Arial"/>
          <w:sz w:val="18"/>
          <w:szCs w:val="18"/>
          <w:color w:val="auto"/>
        </w:rPr>
      </w:pPr>
    </w:p>
    <w:p>
      <w:pPr>
        <w:jc w:val="both"/>
        <w:ind w:left="660" w:hanging="328"/>
        <w:spacing w:after="0" w:line="24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Health epidemics, including the ongoing COVID-19 pandemic, have had or could have an adverse impact on our business, operations, and the markets and communities in which we, our partners and our customers operate. In addition, during the ongoing COVID-19 pandemic, we experienced an increase in neighbor growth and engagement and there is no guarantee that we will be able to maintain our neighbor growth and engagement as the ongoing COVID-19 pandemic subsides.</w:t>
      </w:r>
    </w:p>
    <w:p>
      <w:pPr>
        <w:spacing w:after="0" w:line="21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plan to continue expanding our international operations where we have limited operating experience and may be subject to increased business, regulatory, and economic risks that could seriously harm our business, operating results, and financial condition.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need additional capital in the future, it may not be available on favorable terms, if at all.</w:t>
      </w:r>
    </w:p>
    <w:p>
      <w:pPr>
        <w:spacing w:after="0" w:line="238" w:lineRule="exact"/>
        <w:rPr>
          <w:rFonts w:ascii="Arial" w:cs="Arial" w:eastAsia="Arial" w:hAnsi="Arial"/>
          <w:sz w:val="18"/>
          <w:szCs w:val="18"/>
          <w:color w:val="auto"/>
        </w:rPr>
      </w:pPr>
    </w:p>
    <w:p>
      <w:pPr>
        <w:jc w:val="both"/>
        <w:ind w:left="660" w:hanging="328"/>
        <w:spacing w:after="0"/>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largely on our ability to attract and retain talented employees, including senior management. If we lose the services of Sarah Friar, our Chief Executive Officer and President, or other members of our senior management team, we may not be able to execute on our business strategy.</w:t>
      </w:r>
    </w:p>
    <w:p>
      <w:pPr>
        <w:spacing w:after="0" w:line="216" w:lineRule="exact"/>
        <w:rPr>
          <w:rFonts w:ascii="Arial" w:cs="Arial" w:eastAsia="Arial" w:hAnsi="Arial"/>
          <w:sz w:val="18"/>
          <w:szCs w:val="18"/>
          <w:color w:val="auto"/>
        </w:rPr>
      </w:pPr>
    </w:p>
    <w:p>
      <w:pPr>
        <w:jc w:val="both"/>
        <w:ind w:left="660" w:hanging="328"/>
        <w:spacing w:after="0" w:line="24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on third-party software and service providers, including the Google Ad Manager (“GAM”) platform, for management and delivery of advertisements on the Nextdoor platform. Any failure or interruption experienced by such third-parties, including as a result of the ongoing COVID-19 pandemic, could result in the inability of certain businesses to advertise on our platform, and adversely impact our business, operating results, and financial condition.</w:t>
      </w:r>
    </w:p>
    <w:p>
      <w:pPr>
        <w:spacing w:after="0" w:line="214" w:lineRule="exact"/>
        <w:rPr>
          <w:rFonts w:ascii="Arial" w:cs="Arial" w:eastAsia="Arial" w:hAnsi="Arial"/>
          <w:sz w:val="18"/>
          <w:szCs w:val="18"/>
          <w:color w:val="auto"/>
        </w:rPr>
      </w:pPr>
    </w:p>
    <w:p>
      <w:pPr>
        <w:jc w:val="both"/>
        <w:ind w:left="660" w:hanging="328"/>
        <w:spacing w:after="0" w:line="24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software and service providers, including Amazon Web Services (“AWS”), to provide systems, storage and services for our platform. Any failure or interruption experienced by such third parties, including as a result of the ongoing COVID-19 pandemic, could result in the inability of neighbors and advertisers to access or utilize our platform, and adversely impact our business, operating results, and financial condition.</w:t>
      </w:r>
    </w:p>
    <w:p>
      <w:pPr>
        <w:spacing w:after="0" w:line="21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Technologies have been developed that can block the display of advertisements on the Nextdoor platform, which could adversely impact our business, operating results, and financial condition.</w:t>
      </w:r>
    </w:p>
    <w:p>
      <w:pPr>
        <w:spacing w:after="0" w:line="197"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breaches, including improper access to or disclosure of our data or our neighbors’ data, or other hacking and phishing attacks on our third-party system, could harm our reputation and adversely affect our business.</w:t>
      </w:r>
    </w:p>
    <w:p>
      <w:pPr>
        <w:spacing w:after="0" w:line="210"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5" w:name="page6"/>
    <w:bookmarkEnd w:id="5"/>
    <w:p>
      <w:pPr>
        <w:ind w:left="328" w:right="20"/>
        <w:spacing w:after="0" w:line="261" w:lineRule="auto"/>
        <w:rPr>
          <w:sz w:val="20"/>
          <w:szCs w:val="20"/>
          <w:color w:val="auto"/>
        </w:rPr>
      </w:pPr>
      <w:r>
        <w:rPr>
          <w:rFonts w:ascii="Arial" w:cs="Arial" w:eastAsia="Arial" w:hAnsi="Arial"/>
          <w:sz w:val="18"/>
          <w:szCs w:val="18"/>
          <w:color w:val="auto"/>
        </w:rPr>
        <w:t>distribution, use or marketing of our platform in any material way, it could materially adversely affect our business, operating results, and financial condition.</w:t>
      </w:r>
    </w:p>
    <w:p>
      <w:pPr>
        <w:spacing w:after="0" w:line="198" w:lineRule="exact"/>
        <w:rPr>
          <w:sz w:val="20"/>
          <w:szCs w:val="20"/>
          <w:color w:val="auto"/>
        </w:rPr>
      </w:pPr>
    </w:p>
    <w:p>
      <w:pPr>
        <w:ind w:left="328" w:hanging="328"/>
        <w:spacing w:after="0" w:line="261"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of our market opportunities and key metric estimates could prove to be inaccurate, and any real or perceived inaccuracies may harm our reputation and negatively affect our business.</w:t>
      </w:r>
    </w:p>
    <w:p>
      <w:pPr>
        <w:spacing w:after="0" w:line="197" w:lineRule="exact"/>
        <w:rPr>
          <w:rFonts w:ascii="Arial" w:cs="Arial" w:eastAsia="Arial" w:hAnsi="Arial"/>
          <w:sz w:val="18"/>
          <w:szCs w:val="18"/>
          <w:color w:val="auto"/>
        </w:rPr>
      </w:pPr>
    </w:p>
    <w:p>
      <w:pPr>
        <w:ind w:left="328" w:hanging="328"/>
        <w:spacing w:after="0" w:line="291" w:lineRule="auto"/>
        <w:tabs>
          <w:tab w:leader="none" w:pos="323"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history of net losses and may experience net losses in the future and we cannot assure you that we will achieve or sustain profitability. If we cannot achieve or sustain profitability, our business, financial condition and operating results will be adversely affected.</w:t>
      </w:r>
    </w:p>
    <w:p>
      <w:pPr>
        <w:spacing w:after="0" w:line="173" w:lineRule="exact"/>
        <w:rPr>
          <w:rFonts w:ascii="Arial" w:cs="Arial" w:eastAsia="Arial" w:hAnsi="Arial"/>
          <w:sz w:val="17"/>
          <w:szCs w:val="17"/>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have greater than anticipated tax liabilities, which could harm our business, revenue and financial results.</w:t>
      </w:r>
    </w:p>
    <w:p>
      <w:pPr>
        <w:spacing w:after="0" w:line="238"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cannot guarantee that our share repurchase program will be fully consummated or that it will enhance long-term stockholder value. Share repurchases could also increase the volatility of the trading price of our stock and could diminish our cash reserves.</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liable as a result of content or information that is published or made available on our platform.</w:t>
      </w:r>
    </w:p>
    <w:p>
      <w:pPr>
        <w:spacing w:after="0" w:line="157" w:lineRule="exact"/>
        <w:rPr>
          <w:rFonts w:ascii="Arial" w:cs="Arial" w:eastAsia="Arial" w:hAnsi="Arial"/>
          <w:sz w:val="18"/>
          <w:szCs w:val="18"/>
          <w:color w:val="auto"/>
        </w:rPr>
      </w:pPr>
    </w:p>
    <w:p>
      <w:pPr>
        <w:ind w:left="328" w:hanging="328"/>
        <w:spacing w:after="0" w:line="291" w:lineRule="auto"/>
        <w:tabs>
          <w:tab w:leader="none" w:pos="323"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is subject to complex and evolving U.S. and foreign laws, regulations, and industry standards, many of which are subject to change and uncertain interpretations, which uncertainty could harm our business, operating results, and financial conditions.</w:t>
      </w:r>
    </w:p>
    <w:p>
      <w:pPr>
        <w:spacing w:after="0" w:line="173" w:lineRule="exact"/>
        <w:rPr>
          <w:rFonts w:ascii="Arial" w:cs="Arial" w:eastAsia="Arial" w:hAnsi="Arial"/>
          <w:sz w:val="17"/>
          <w:szCs w:val="17"/>
          <w:color w:val="auto"/>
        </w:rPr>
      </w:pPr>
    </w:p>
    <w:p>
      <w:pPr>
        <w:ind w:left="328" w:right="20" w:hanging="328"/>
        <w:spacing w:after="0" w:line="261"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could be involved in legal disputes that are expensive and time consuming, and, if resolved adversely, could harm our business, operating results, and financial condition.</w:t>
      </w:r>
    </w:p>
    <w:p>
      <w:pPr>
        <w:spacing w:after="0" w:line="197"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maintain effective systems of internal controls and disclosure controls could have a material adverse effect on our business, operating results, and financial conditions.</w:t>
      </w:r>
    </w:p>
    <w:p>
      <w:pPr>
        <w:spacing w:after="0" w:line="197"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brands and other intangible assets may be diminished, and our business, operating results, and financial condition may be adversely affected.</w:t>
      </w:r>
    </w:p>
    <w:p>
      <w:pPr>
        <w:spacing w:after="0" w:line="197"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 parties may claim that our platform infringes their intellectual property rights and this may create liability for us or otherwise adversely affect our business, operating results, and financial condition.</w:t>
      </w:r>
    </w:p>
    <w:p>
      <w:pPr>
        <w:spacing w:after="0" w:line="197"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“open source” software could subject us to possible litigation or could prevent us from offering products that include open source software or require us to obtain licenses on unfavorable terms.</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license technology from third parties, and our inability to maintain those licenses could harm our business.</w:t>
      </w:r>
    </w:p>
    <w:p>
      <w:pPr>
        <w:spacing w:after="0" w:line="238"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our Class A common stock has been and may continue to be volatile.</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may adversely affect the trading market for our Class A common stock.</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intend to pay cash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165100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9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Pr>
          <w:p>
            <w:pPr>
              <w:spacing w:after="0"/>
              <w:rPr>
                <w:sz w:val="16"/>
                <w:szCs w:val="16"/>
                <w:color w:val="auto"/>
              </w:rPr>
            </w:pPr>
          </w:p>
        </w:tc>
        <w:tc>
          <w:tcPr>
            <w:tcW w:w="1500" w:type="dxa"/>
            <w:vAlign w:val="bottom"/>
          </w:tcPr>
          <w:p>
            <w:pPr>
              <w:jc w:val="right"/>
              <w:ind w:right="160"/>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521,812</w:t>
            </w:r>
          </w:p>
        </w:tc>
        <w:tc>
          <w:tcPr>
            <w:tcW w:w="0" w:type="dxa"/>
            <w:vAlign w:val="bottom"/>
          </w:tcPr>
          <w:p>
            <w:pPr>
              <w:spacing w:after="0"/>
              <w:rPr>
                <w:sz w:val="1"/>
                <w:szCs w:val="1"/>
                <w:color w:val="auto"/>
              </w:rPr>
            </w:pPr>
          </w:p>
        </w:tc>
      </w:tr>
      <w:tr>
        <w:trPr>
          <w:trHeight w:val="213"/>
        </w:trPr>
        <w:tc>
          <w:tcPr>
            <w:tcW w:w="778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513,744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193,999</w:t>
            </w:r>
          </w:p>
        </w:tc>
        <w:tc>
          <w:tcPr>
            <w:tcW w:w="0" w:type="dxa"/>
            <w:vAlign w:val="bottom"/>
          </w:tcPr>
          <w:p>
            <w:pPr>
              <w:spacing w:after="0"/>
              <w:rPr>
                <w:sz w:val="1"/>
                <w:szCs w:val="1"/>
                <w:color w:val="auto"/>
              </w:rPr>
            </w:pPr>
          </w:p>
        </w:tc>
      </w:tr>
      <w:tr>
        <w:trPr>
          <w:trHeight w:val="169"/>
        </w:trPr>
        <w:tc>
          <w:tcPr>
            <w:tcW w:w="778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8"/>
              </w:rPr>
              <w:t>Accounts receivable, net of allowance of $388 and $425 as of September 30, 2022 and December 31, 2021,</w:t>
            </w:r>
          </w:p>
        </w:tc>
        <w:tc>
          <w:tcPr>
            <w:tcW w:w="1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26,963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29,673</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respectively</w:t>
            </w:r>
          </w:p>
        </w:tc>
        <w:tc>
          <w:tcPr>
            <w:tcW w:w="1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16,259</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641,690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761,743</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12,622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12,545</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59,422</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4,835</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38"/>
        </w:trPr>
        <w:tc>
          <w:tcPr>
            <w:tcW w:w="7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713,929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840,086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7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6,402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6,163</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 current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7,131</w:t>
            </w:r>
          </w:p>
        </w:tc>
        <w:tc>
          <w:tcPr>
            <w:tcW w:w="0" w:type="dxa"/>
            <w:vAlign w:val="bottom"/>
          </w:tcPr>
          <w:p>
            <w:pPr>
              <w:spacing w:after="0"/>
              <w:rPr>
                <w:sz w:val="1"/>
                <w:szCs w:val="1"/>
                <w:color w:val="auto"/>
              </w:rPr>
            </w:pPr>
          </w:p>
        </w:tc>
      </w:tr>
      <w:tr>
        <w:trPr>
          <w:trHeight w:val="213"/>
        </w:trPr>
        <w:tc>
          <w:tcPr>
            <w:tcW w:w="7780" w:type="dxa"/>
            <w:vAlign w:val="bottom"/>
          </w:tcPr>
          <w:p>
            <w:pPr>
              <w:ind w:left="240"/>
              <w:spacing w:after="0"/>
              <w:rPr>
                <w:sz w:val="20"/>
                <w:szCs w:val="20"/>
                <w:color w:val="auto"/>
              </w:rPr>
            </w:pPr>
            <w:r>
              <w:rPr>
                <w:rFonts w:ascii="Arial" w:cs="Arial" w:eastAsia="Arial" w:hAnsi="Arial"/>
                <w:sz w:val="16"/>
                <w:szCs w:val="16"/>
                <w:color w:val="auto"/>
              </w:rPr>
              <w:t>Liability for unvested restricted stock</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4,765</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15,444</w:t>
            </w:r>
          </w:p>
        </w:tc>
        <w:tc>
          <w:tcPr>
            <w:tcW w:w="0" w:type="dxa"/>
            <w:vAlign w:val="bottom"/>
          </w:tcPr>
          <w:p>
            <w:pPr>
              <w:spacing w:after="0"/>
              <w:rPr>
                <w:sz w:val="1"/>
                <w:szCs w:val="1"/>
                <w:color w:val="auto"/>
              </w:rPr>
            </w:pPr>
          </w:p>
        </w:tc>
      </w:tr>
      <w:tr>
        <w:trPr>
          <w:trHeight w:val="207"/>
        </w:trPr>
        <w:tc>
          <w:tcPr>
            <w:tcW w:w="778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34,631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33,503</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non-current</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61,598</w:t>
            </w:r>
          </w:p>
        </w:tc>
        <w:tc>
          <w:tcPr>
            <w:tcW w:w="0" w:type="dxa"/>
            <w:vAlign w:val="bottom"/>
          </w:tcPr>
          <w:p>
            <w:pPr>
              <w:spacing w:after="0"/>
              <w:rPr>
                <w:sz w:val="1"/>
                <w:szCs w:val="1"/>
                <w:color w:val="auto"/>
              </w:rPr>
            </w:pPr>
          </w:p>
        </w:tc>
      </w:tr>
      <w:tr>
        <w:trPr>
          <w:trHeight w:val="206"/>
        </w:trPr>
        <w:tc>
          <w:tcPr>
            <w:tcW w:w="77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90,475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95,101</w:t>
            </w:r>
          </w:p>
        </w:tc>
        <w:tc>
          <w:tcPr>
            <w:tcW w:w="0" w:type="dxa"/>
            <w:vAlign w:val="bottom"/>
          </w:tcPr>
          <w:p>
            <w:pPr>
              <w:spacing w:after="0"/>
              <w:rPr>
                <w:sz w:val="1"/>
                <w:szCs w:val="1"/>
                <w:color w:val="auto"/>
              </w:rPr>
            </w:pPr>
          </w:p>
        </w:tc>
      </w:tr>
      <w:tr>
        <w:trPr>
          <w:trHeight w:val="199"/>
        </w:trPr>
        <w:tc>
          <w:tcPr>
            <w:tcW w:w="7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Commitments and contingencies (Note 8)</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78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4"/>
              </w:rPr>
              <w:t>Class A common stock, $0.0001 par value; 2,500,000 shares authorized, 149,825 and 78,954 shares issued and</w:t>
            </w:r>
          </w:p>
        </w:tc>
        <w:tc>
          <w:tcPr>
            <w:tcW w:w="1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outstanding as of September 30, 2022 and December 31, 2021, respectively</w:t>
            </w:r>
          </w:p>
        </w:tc>
        <w:tc>
          <w:tcPr>
            <w:tcW w:w="1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780" w:type="dxa"/>
            <w:vAlign w:val="bottom"/>
          </w:tcPr>
          <w:p>
            <w:pPr>
              <w:ind w:left="240"/>
              <w:spacing w:after="0" w:line="166" w:lineRule="exact"/>
              <w:rPr>
                <w:sz w:val="20"/>
                <w:szCs w:val="20"/>
                <w:color w:val="auto"/>
              </w:rPr>
            </w:pPr>
            <w:r>
              <w:rPr>
                <w:rFonts w:ascii="Arial" w:cs="Arial" w:eastAsia="Arial" w:hAnsi="Arial"/>
                <w:sz w:val="16"/>
                <w:szCs w:val="16"/>
                <w:color w:val="auto"/>
                <w:w w:val="94"/>
              </w:rPr>
              <w:t>Class B common stock, $0.0001 par value; 500,000 shares authorized, 219,356 and 304,701 shares issued and</w:t>
            </w:r>
          </w:p>
        </w:tc>
        <w:tc>
          <w:tcPr>
            <w:tcW w:w="1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9"/>
        </w:trPr>
        <w:tc>
          <w:tcPr>
            <w:tcW w:w="7780" w:type="dxa"/>
            <w:vAlign w:val="bottom"/>
          </w:tcPr>
          <w:p>
            <w:pPr>
              <w:ind w:left="400"/>
              <w:spacing w:after="0"/>
              <w:rPr>
                <w:sz w:val="20"/>
                <w:szCs w:val="20"/>
                <w:color w:val="auto"/>
              </w:rPr>
            </w:pPr>
            <w:r>
              <w:rPr>
                <w:rFonts w:ascii="Arial" w:cs="Arial" w:eastAsia="Arial" w:hAnsi="Arial"/>
                <w:sz w:val="16"/>
                <w:szCs w:val="16"/>
                <w:color w:val="auto"/>
              </w:rPr>
              <w:t>outstanding as of September 30, 2022 and December 31, 2021, respectively</w:t>
            </w:r>
          </w:p>
        </w:tc>
        <w:tc>
          <w:tcPr>
            <w:tcW w:w="1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1,225,815</w:t>
            </w:r>
          </w:p>
        </w:tc>
        <w:tc>
          <w:tcPr>
            <w:tcW w:w="0" w:type="dxa"/>
            <w:vAlign w:val="bottom"/>
          </w:tcPr>
          <w:p>
            <w:pPr>
              <w:spacing w:after="0"/>
              <w:rPr>
                <w:sz w:val="1"/>
                <w:szCs w:val="1"/>
                <w:color w:val="auto"/>
              </w:rPr>
            </w:pPr>
          </w:p>
        </w:tc>
      </w:tr>
      <w:tr>
        <w:trPr>
          <w:trHeight w:val="213"/>
        </w:trPr>
        <w:tc>
          <w:tcPr>
            <w:tcW w:w="7780" w:type="dxa"/>
            <w:vAlign w:val="bottom"/>
          </w:tcPr>
          <w:p>
            <w:pPr>
              <w:ind w:left="2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(584,847)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(480,339)</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623,454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744,985</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713,929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840,086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5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5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20,308</w:t>
            </w:r>
          </w:p>
        </w:tc>
        <w:tc>
          <w:tcPr>
            <w:tcW w:w="0" w:type="dxa"/>
            <w:vAlign w:val="bottom"/>
          </w:tcPr>
          <w:p>
            <w:pPr>
              <w:spacing w:after="0"/>
              <w:rPr>
                <w:sz w:val="1"/>
                <w:szCs w:val="1"/>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95,057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69,612</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76,698</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31,793</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71,785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267,368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198,411</w:t>
            </w:r>
          </w:p>
        </w:tc>
        <w:tc>
          <w:tcPr>
            <w:tcW w:w="0" w:type="dxa"/>
            <w:vAlign w:val="bottom"/>
          </w:tcPr>
          <w:p>
            <w:pPr>
              <w:spacing w:after="0"/>
              <w:rPr>
                <w:sz w:val="1"/>
                <w:szCs w:val="1"/>
                <w:color w:val="auto"/>
              </w:rPr>
            </w:pPr>
          </w:p>
        </w:tc>
      </w:tr>
      <w:tr>
        <w:trPr>
          <w:trHeight w:val="223"/>
        </w:trPr>
        <w:tc>
          <w:tcPr>
            <w:tcW w:w="5540" w:type="dxa"/>
            <w:vAlign w:val="bottom"/>
          </w:tcPr>
          <w:p>
            <w:pPr>
              <w:ind w:left="44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(107,873)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(65,541)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(65,906)</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(104,508)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Net loss per share attributable to Class A and Class B common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40" w:type="dxa"/>
            <w:vAlign w:val="bottom"/>
            <w:vMerge w:val="continue"/>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10"/>
                <w:szCs w:val="10"/>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21"/>
        </w:trPr>
        <w:tc>
          <w:tcPr>
            <w:tcW w:w="5540" w:type="dxa"/>
            <w:vAlign w:val="bottom"/>
          </w:tcPr>
          <w:p>
            <w:pPr>
              <w:ind w:left="180"/>
              <w:spacing w:after="0"/>
              <w:rPr>
                <w:sz w:val="20"/>
                <w:szCs w:val="20"/>
                <w:color w:val="auto"/>
              </w:rPr>
            </w:pPr>
            <w:r>
              <w:rPr>
                <w:rFonts w:ascii="Arial" w:cs="Arial" w:eastAsia="Arial" w:hAnsi="Arial"/>
                <w:sz w:val="18"/>
                <w:szCs w:val="18"/>
                <w:color w:val="auto"/>
              </w:rPr>
              <w:t>stockholders, basic and diluted</w:t>
            </w:r>
          </w:p>
        </w:tc>
        <w:tc>
          <w:tcPr>
            <w:tcW w:w="20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shares used in computing net loss per share attributable to</w:t>
            </w:r>
          </w:p>
        </w:tc>
        <w:tc>
          <w:tcPr>
            <w:tcW w:w="2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377,756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106,387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381,571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102,495</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A and Class B common stockholders, basic and diluted</w:t>
            </w: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(66,002)</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9"/>
        </w:trPr>
        <w:tc>
          <w:tcPr>
            <w:tcW w:w="5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0"/>
              </w:rPr>
              <w:t>Change in unrealized loss on available-for-sale marketable securities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3"/>
        </w:trPr>
        <w:tc>
          <w:tcPr>
            <w:tcW w:w="5240" w:type="dxa"/>
            <w:vAlign w:val="bottom"/>
          </w:tcPr>
          <w:p>
            <w:pPr>
              <w:ind w:left="460"/>
              <w:spacing w:after="0"/>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(65,726)</w:t>
            </w: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EQUITY (DEFICIT)</w:t>
      </w:r>
    </w:p>
    <w:p>
      <w:pPr>
        <w:spacing w:after="0" w:line="9" w:lineRule="exact"/>
        <w:rPr>
          <w:sz w:val="20"/>
          <w:szCs w:val="20"/>
          <w:color w:val="auto"/>
        </w:rPr>
      </w:pPr>
    </w:p>
    <w:p>
      <w:pPr>
        <w:jc w:val="right"/>
        <w:ind w:right="5180"/>
        <w:spacing w:after="0"/>
        <w:rPr>
          <w:sz w:val="20"/>
          <w:szCs w:val="20"/>
          <w:color w:val="auto"/>
        </w:rPr>
      </w:pPr>
      <w:r>
        <w:rPr>
          <w:rFonts w:ascii="Arial" w:cs="Arial" w:eastAsia="Arial" w:hAnsi="Arial"/>
          <w:sz w:val="16"/>
          <w:szCs w:val="16"/>
          <w:i w:val="1"/>
          <w:iCs w:val="1"/>
          <w:color w:val="auto"/>
        </w:rPr>
        <w:t>(in thousands)</w:t>
      </w:r>
    </w:p>
    <w:p>
      <w:pPr>
        <w:spacing w:after="0" w:line="9" w:lineRule="exact"/>
        <w:rPr>
          <w:sz w:val="20"/>
          <w:szCs w:val="20"/>
          <w:color w:val="auto"/>
        </w:rPr>
      </w:pPr>
    </w:p>
    <w:p>
      <w:pPr>
        <w:jc w:val="right"/>
        <w:ind w:right="522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rPr>
              <w:t>Three Months Ended September 30, 2022</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1720" w:type="dxa"/>
            <w:vAlign w:val="bottom"/>
            <w:tcBorders>
              <w:right w:val="single" w:sz="8" w:color="auto"/>
            </w:tcBorders>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3"/>
              </w:rPr>
              <w:t>Redeemable Convertible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61"/>
              <w:spacing w:after="0" w:line="12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1720" w:type="dxa"/>
            <w:vAlign w:val="bottom"/>
            <w:tcBorders>
              <w:right w:val="single" w:sz="8" w:color="auto"/>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3"/>
            <w:vMerge w:val="restart"/>
          </w:tcPr>
          <w:p>
            <w:pPr>
              <w:ind w:left="100"/>
              <w:spacing w:after="0" w:line="14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7"/>
                <w:szCs w:val="7"/>
                <w:color w:val="auto"/>
              </w:rPr>
            </w:pPr>
          </w:p>
        </w:tc>
        <w:tc>
          <w:tcPr>
            <w:tcW w:w="8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16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Class A Common Stock</w:t>
            </w:r>
          </w:p>
        </w:tc>
        <w:tc>
          <w:tcPr>
            <w:tcW w:w="80" w:type="dxa"/>
            <w:vAlign w:val="bottom"/>
            <w:vMerge w:val="restart"/>
          </w:tcPr>
          <w:p>
            <w:pPr>
              <w:spacing w:after="0"/>
              <w:rPr>
                <w:sz w:val="5"/>
                <w:szCs w:val="5"/>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Class B Common Stock</w:t>
            </w:r>
          </w:p>
        </w:tc>
        <w:tc>
          <w:tcPr>
            <w:tcW w:w="80" w:type="dxa"/>
            <w:vAlign w:val="bottom"/>
            <w:vMerge w:val="restart"/>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300" w:type="dxa"/>
            <w:vAlign w:val="bottom"/>
          </w:tcPr>
          <w:p>
            <w:pPr>
              <w:spacing w:after="0"/>
              <w:rPr>
                <w:sz w:val="11"/>
                <w:szCs w:val="11"/>
                <w:color w:val="auto"/>
              </w:rPr>
            </w:pPr>
          </w:p>
        </w:tc>
        <w:tc>
          <w:tcPr>
            <w:tcW w:w="1620" w:type="dxa"/>
            <w:vAlign w:val="bottom"/>
            <w:tcBorders>
              <w:bottom w:val="single" w:sz="8" w:color="auto"/>
            </w:tcBorders>
            <w:gridSpan w:val="4"/>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Paid-in</w:t>
            </w:r>
          </w:p>
        </w:tc>
        <w:tc>
          <w:tcPr>
            <w:tcW w:w="10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Comprehensive</w:t>
            </w:r>
          </w:p>
        </w:tc>
        <w:tc>
          <w:tcPr>
            <w:tcW w:w="9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740" w:type="dxa"/>
            <w:vAlign w:val="bottom"/>
          </w:tcPr>
          <w:p>
            <w:pPr>
              <w:jc w:val="center"/>
              <w:ind w:right="81"/>
              <w:spacing w:after="0" w:line="129"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03"/>
        </w:trPr>
        <w:tc>
          <w:tcPr>
            <w:tcW w:w="23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41"/>
              <w:spacing w:after="0" w:line="202"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41"/>
              <w:spacing w:after="0" w:line="202"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June 30, 2022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1,255,034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(550,130)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701,458</w:t>
            </w:r>
          </w:p>
        </w:tc>
        <w:tc>
          <w:tcPr>
            <w:tcW w:w="0" w:type="dxa"/>
            <w:vAlign w:val="bottom"/>
          </w:tcPr>
          <w:p>
            <w:pPr>
              <w:spacing w:after="0"/>
              <w:rPr>
                <w:sz w:val="1"/>
                <w:szCs w:val="1"/>
                <w:color w:val="auto"/>
              </w:rPr>
            </w:pPr>
          </w:p>
        </w:tc>
      </w:tr>
      <w:tr>
        <w:trPr>
          <w:trHeight w:val="166"/>
        </w:trPr>
        <w:tc>
          <w:tcPr>
            <w:tcW w:w="2300" w:type="dxa"/>
            <w:vAlign w:val="bottom"/>
          </w:tcPr>
          <w:p>
            <w:pPr>
              <w:ind w:left="240"/>
              <w:spacing w:after="0" w:line="166" w:lineRule="exact"/>
              <w:rPr>
                <w:sz w:val="20"/>
                <w:szCs w:val="20"/>
                <w:color w:val="auto"/>
              </w:rPr>
            </w:pPr>
            <w:r>
              <w:rPr>
                <w:rFonts w:ascii="Arial" w:cs="Arial" w:eastAsia="Arial" w:hAnsi="Arial"/>
                <w:sz w:val="16"/>
                <w:szCs w:val="16"/>
                <w:color w:val="auto"/>
              </w:rPr>
              <w:t>Release of restricted stock</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1,555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300" w:type="dxa"/>
            <w:vAlign w:val="bottom"/>
          </w:tcPr>
          <w:p>
            <w:pPr>
              <w:ind w:left="400"/>
              <w:spacing w:after="0"/>
              <w:rPr>
                <w:sz w:val="20"/>
                <w:szCs w:val="20"/>
                <w:color w:val="auto"/>
              </w:rPr>
            </w:pPr>
            <w:r>
              <w:rPr>
                <w:rFonts w:ascii="Arial" w:cs="Arial" w:eastAsia="Arial" w:hAnsi="Arial"/>
                <w:sz w:val="16"/>
                <w:szCs w:val="16"/>
                <w:color w:val="auto"/>
              </w:rPr>
              <w:t>units</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6"/>
              </w:rPr>
              <w:t>Repurchase of common stock</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(20,191)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(66,739)</w:t>
            </w:r>
          </w:p>
        </w:tc>
        <w:tc>
          <w:tcPr>
            <w:tcW w:w="0" w:type="dxa"/>
            <w:vAlign w:val="bottom"/>
          </w:tcPr>
          <w:p>
            <w:pPr>
              <w:spacing w:after="0"/>
              <w:rPr>
                <w:sz w:val="1"/>
                <w:szCs w:val="1"/>
                <w:color w:val="auto"/>
              </w:rPr>
            </w:pPr>
          </w:p>
        </w:tc>
      </w:tr>
      <w:tr>
        <w:trPr>
          <w:trHeight w:val="166"/>
        </w:trPr>
        <w:tc>
          <w:tcPr>
            <w:tcW w:w="2300" w:type="dxa"/>
            <w:vAlign w:val="bottom"/>
          </w:tcPr>
          <w:p>
            <w:pPr>
              <w:ind w:left="240"/>
              <w:spacing w:after="0" w:line="166" w:lineRule="exact"/>
              <w:rPr>
                <w:sz w:val="20"/>
                <w:szCs w:val="20"/>
                <w:color w:val="auto"/>
              </w:rPr>
            </w:pPr>
            <w:r>
              <w:rPr>
                <w:rFonts w:ascii="Arial" w:cs="Arial" w:eastAsia="Arial" w:hAnsi="Arial"/>
                <w:sz w:val="16"/>
                <w:szCs w:val="16"/>
                <w:color w:val="auto"/>
              </w:rPr>
              <w:t>Conversion from Class B to</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11,343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(11,343)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300" w:type="dxa"/>
            <w:vAlign w:val="bottom"/>
          </w:tcPr>
          <w:p>
            <w:pPr>
              <w:ind w:left="400"/>
              <w:spacing w:after="0"/>
              <w:rPr>
                <w:sz w:val="20"/>
                <w:szCs w:val="20"/>
                <w:color w:val="auto"/>
              </w:rPr>
            </w:pPr>
            <w:r>
              <w:rPr>
                <w:rFonts w:ascii="Arial" w:cs="Arial" w:eastAsia="Arial" w:hAnsi="Arial"/>
                <w:sz w:val="16"/>
                <w:szCs w:val="16"/>
                <w:color w:val="auto"/>
              </w:rPr>
              <w:t>Class A common stock</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Issuance of common stock</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rPr>
              <w:t>upon exercise of stock</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w w:val="97"/>
              </w:rPr>
              <w:t>options, net of repurchases</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3,608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3,608</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8"/>
              </w:rPr>
              <w:t>of unvested common stock</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240"/>
              <w:spacing w:after="0" w:line="166" w:lineRule="exact"/>
              <w:rPr>
                <w:sz w:val="20"/>
                <w:szCs w:val="20"/>
                <w:color w:val="auto"/>
              </w:rPr>
            </w:pPr>
            <w:r>
              <w:rPr>
                <w:rFonts w:ascii="Arial" w:cs="Arial" w:eastAsia="Arial" w:hAnsi="Arial"/>
                <w:sz w:val="16"/>
                <w:szCs w:val="16"/>
                <w:color w:val="auto"/>
              </w:rPr>
              <w:t>Issuance of common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Arial" w:cs="Arial" w:eastAsia="Arial" w:hAnsi="Arial"/>
                <w:sz w:val="16"/>
                <w:szCs w:val="16"/>
                <w:color w:val="auto"/>
              </w:rPr>
              <w:t>under employee stock</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209"/>
        </w:trPr>
        <w:tc>
          <w:tcPr>
            <w:tcW w:w="2300" w:type="dxa"/>
            <w:vAlign w:val="bottom"/>
          </w:tcPr>
          <w:p>
            <w:pPr>
              <w:ind w:left="400"/>
              <w:spacing w:after="0"/>
              <w:rPr>
                <w:sz w:val="20"/>
                <w:szCs w:val="20"/>
                <w:color w:val="auto"/>
              </w:rPr>
            </w:pPr>
            <w:r>
              <w:rPr>
                <w:rFonts w:ascii="Arial" w:cs="Arial" w:eastAsia="Arial" w:hAnsi="Arial"/>
                <w:sz w:val="16"/>
                <w:szCs w:val="16"/>
                <w:color w:val="auto"/>
              </w:rPr>
              <w:t>purchase plan</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Vesting of early exercised</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 options</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Arial" w:cs="Arial" w:eastAsia="Arial" w:hAnsi="Arial"/>
                <w:sz w:val="16"/>
                <w:szCs w:val="16"/>
                <w:color w:val="auto"/>
              </w:rPr>
              <w:t>Vesting of restricted stock</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17,270</w:t>
            </w: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Arial" w:cs="Arial" w:eastAsia="Arial" w:hAnsi="Arial"/>
                <w:sz w:val="16"/>
                <w:szCs w:val="16"/>
                <w:color w:val="auto"/>
              </w:rPr>
              <w:t>Other comprehensive loss</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(34,717)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(34,717)</w:t>
            </w:r>
          </w:p>
        </w:tc>
        <w:tc>
          <w:tcPr>
            <w:tcW w:w="0" w:type="dxa"/>
            <w:vAlign w:val="bottom"/>
          </w:tcPr>
          <w:p>
            <w:pPr>
              <w:spacing w:after="0"/>
              <w:rPr>
                <w:sz w:val="1"/>
                <w:szCs w:val="1"/>
                <w:color w:val="auto"/>
              </w:rPr>
            </w:pPr>
          </w:p>
        </w:tc>
      </w:tr>
      <w:tr>
        <w:trPr>
          <w:trHeight w:val="146"/>
        </w:trPr>
        <w:tc>
          <w:tcPr>
            <w:tcW w:w="2300" w:type="dxa"/>
            <w:vAlign w:val="bottom"/>
          </w:tcPr>
          <w:p>
            <w:pPr>
              <w:ind w:left="20"/>
              <w:spacing w:after="0" w:line="146" w:lineRule="exact"/>
              <w:rPr>
                <w:sz w:val="20"/>
                <w:szCs w:val="20"/>
                <w:color w:val="auto"/>
              </w:rPr>
            </w:pPr>
            <w:r>
              <w:rPr>
                <w:rFonts w:ascii="Arial" w:cs="Arial" w:eastAsia="Arial" w:hAnsi="Arial"/>
                <w:sz w:val="16"/>
                <w:szCs w:val="16"/>
                <w:color w:val="auto"/>
              </w:rPr>
              <w:t>Balances as of September 30,</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vMerge w:val="restart"/>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149,825</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219,356</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89"/>
              </w:rPr>
              <w:t>1,212,167</w:t>
            </w:r>
          </w:p>
        </w:tc>
        <w:tc>
          <w:tcPr>
            <w:tcW w:w="100" w:type="dxa"/>
            <w:vAlign w:val="bottom"/>
          </w:tcPr>
          <w:p>
            <w:pPr>
              <w:spacing w:after="0"/>
              <w:rPr>
                <w:sz w:val="12"/>
                <w:szCs w:val="12"/>
                <w:color w:val="auto"/>
              </w:rPr>
            </w:pPr>
          </w:p>
        </w:tc>
        <w:tc>
          <w:tcPr>
            <w:tcW w:w="200" w:type="dxa"/>
            <w:vAlign w:val="bottom"/>
            <w:vMerge w:val="restart"/>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(3,903)</w:t>
            </w:r>
          </w:p>
        </w:tc>
        <w:tc>
          <w:tcPr>
            <w:tcW w:w="100" w:type="dxa"/>
            <w:vAlign w:val="bottom"/>
          </w:tcPr>
          <w:p>
            <w:pPr>
              <w:spacing w:after="0"/>
              <w:rPr>
                <w:sz w:val="12"/>
                <w:szCs w:val="12"/>
                <w:color w:val="auto"/>
              </w:rPr>
            </w:pP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99"/>
              </w:rPr>
              <w:t>(584,847)</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623,454</w:t>
            </w: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6"/>
                <w:szCs w:val="16"/>
                <w:color w:val="auto"/>
              </w:rPr>
              <w:t>2022</w:t>
            </w:r>
          </w:p>
        </w:tc>
        <w:tc>
          <w:tcPr>
            <w:tcW w:w="7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right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rPr>
              <w:t>Three Months Ended September 30, 2021</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00" w:type="dxa"/>
            <w:vAlign w:val="bottom"/>
          </w:tcPr>
          <w:p>
            <w:pPr>
              <w:spacing w:after="0"/>
              <w:rPr>
                <w:sz w:val="11"/>
                <w:szCs w:val="11"/>
                <w:color w:val="auto"/>
              </w:rPr>
            </w:pPr>
          </w:p>
        </w:tc>
        <w:tc>
          <w:tcPr>
            <w:tcW w:w="1720" w:type="dxa"/>
            <w:vAlign w:val="bottom"/>
            <w:tcBorders>
              <w:right w:val="single" w:sz="8" w:color="auto"/>
            </w:tcBorders>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3"/>
              </w:rPr>
              <w:t>Redeemable Convertible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61"/>
              <w:spacing w:after="0" w:line="12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1720" w:type="dxa"/>
            <w:vAlign w:val="bottom"/>
            <w:tcBorders>
              <w:right w:val="single" w:sz="8" w:color="auto"/>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3"/>
            <w:vMerge w:val="restart"/>
          </w:tcPr>
          <w:p>
            <w:pPr>
              <w:ind w:left="100"/>
              <w:spacing w:after="0" w:line="14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7"/>
                <w:szCs w:val="7"/>
                <w:color w:val="auto"/>
              </w:rPr>
            </w:pPr>
          </w:p>
        </w:tc>
        <w:tc>
          <w:tcPr>
            <w:tcW w:w="8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16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Class A Common Stock</w:t>
            </w:r>
          </w:p>
        </w:tc>
        <w:tc>
          <w:tcPr>
            <w:tcW w:w="80" w:type="dxa"/>
            <w:vAlign w:val="bottom"/>
            <w:vMerge w:val="restart"/>
          </w:tcPr>
          <w:p>
            <w:pPr>
              <w:spacing w:after="0"/>
              <w:rPr>
                <w:sz w:val="5"/>
                <w:szCs w:val="5"/>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Class B Common Stock</w:t>
            </w:r>
          </w:p>
        </w:tc>
        <w:tc>
          <w:tcPr>
            <w:tcW w:w="80" w:type="dxa"/>
            <w:vAlign w:val="bottom"/>
            <w:vMerge w:val="restart"/>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300" w:type="dxa"/>
            <w:vAlign w:val="bottom"/>
          </w:tcPr>
          <w:p>
            <w:pPr>
              <w:spacing w:after="0"/>
              <w:rPr>
                <w:sz w:val="11"/>
                <w:szCs w:val="11"/>
                <w:color w:val="auto"/>
              </w:rPr>
            </w:pPr>
          </w:p>
        </w:tc>
        <w:tc>
          <w:tcPr>
            <w:tcW w:w="1620" w:type="dxa"/>
            <w:vAlign w:val="bottom"/>
            <w:tcBorders>
              <w:bottom w:val="single" w:sz="8" w:color="auto"/>
            </w:tcBorders>
            <w:gridSpan w:val="4"/>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Paid-in</w:t>
            </w:r>
          </w:p>
        </w:tc>
        <w:tc>
          <w:tcPr>
            <w:tcW w:w="10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Comprehensive</w:t>
            </w:r>
          </w:p>
        </w:tc>
        <w:tc>
          <w:tcPr>
            <w:tcW w:w="9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740" w:type="dxa"/>
            <w:vAlign w:val="bottom"/>
          </w:tcPr>
          <w:p>
            <w:pPr>
              <w:jc w:val="center"/>
              <w:ind w:right="81"/>
              <w:spacing w:after="0" w:line="129"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03"/>
        </w:trPr>
        <w:tc>
          <w:tcPr>
            <w:tcW w:w="23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41"/>
              <w:spacing w:after="0" w:line="202"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41"/>
              <w:spacing w:after="0" w:line="202"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June 30, 2021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447,166</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(431,653)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(317,039)</w:t>
            </w:r>
          </w:p>
        </w:tc>
        <w:tc>
          <w:tcPr>
            <w:tcW w:w="0" w:type="dxa"/>
            <w:vAlign w:val="bottom"/>
          </w:tcPr>
          <w:p>
            <w:pPr>
              <w:spacing w:after="0"/>
              <w:rPr>
                <w:sz w:val="1"/>
                <w:szCs w:val="1"/>
                <w:color w:val="auto"/>
              </w:rPr>
            </w:pPr>
          </w:p>
        </w:tc>
      </w:tr>
      <w:tr>
        <w:trPr>
          <w:trHeight w:val="166"/>
        </w:trPr>
        <w:tc>
          <w:tcPr>
            <w:tcW w:w="2300" w:type="dxa"/>
            <w:vAlign w:val="bottom"/>
          </w:tcPr>
          <w:p>
            <w:pPr>
              <w:ind w:left="240"/>
              <w:spacing w:after="0" w:line="166" w:lineRule="exact"/>
              <w:rPr>
                <w:sz w:val="20"/>
                <w:szCs w:val="20"/>
                <w:color w:val="auto"/>
              </w:rPr>
            </w:pPr>
            <w:r>
              <w:rPr>
                <w:rFonts w:ascii="Arial" w:cs="Arial" w:eastAsia="Arial" w:hAnsi="Arial"/>
                <w:sz w:val="16"/>
                <w:szCs w:val="16"/>
                <w:color w:val="auto"/>
              </w:rPr>
              <w:t>Issuance of common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Arial" w:cs="Arial" w:eastAsia="Arial" w:hAnsi="Arial"/>
                <w:sz w:val="16"/>
                <w:szCs w:val="16"/>
                <w:color w:val="auto"/>
              </w:rPr>
              <w:t>upon exercise of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Arial" w:cs="Arial" w:eastAsia="Arial" w:hAnsi="Arial"/>
                <w:sz w:val="16"/>
                <w:szCs w:val="16"/>
                <w:color w:val="auto"/>
                <w:w w:val="97"/>
              </w:rPr>
              <w:t>options, net of repurchases</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2,758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4,930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4,930</w:t>
            </w:r>
          </w:p>
        </w:tc>
        <w:tc>
          <w:tcPr>
            <w:tcW w:w="0" w:type="dxa"/>
            <w:vAlign w:val="bottom"/>
          </w:tcPr>
          <w:p>
            <w:pPr>
              <w:spacing w:after="0"/>
              <w:rPr>
                <w:sz w:val="1"/>
                <w:szCs w:val="1"/>
                <w:color w:val="auto"/>
              </w:rPr>
            </w:pPr>
          </w:p>
        </w:tc>
      </w:tr>
      <w:tr>
        <w:trPr>
          <w:trHeight w:val="209"/>
        </w:trPr>
        <w:tc>
          <w:tcPr>
            <w:tcW w:w="2300" w:type="dxa"/>
            <w:vAlign w:val="bottom"/>
          </w:tcPr>
          <w:p>
            <w:pPr>
              <w:ind w:left="400"/>
              <w:spacing w:after="0"/>
              <w:rPr>
                <w:sz w:val="20"/>
                <w:szCs w:val="20"/>
                <w:color w:val="auto"/>
              </w:rPr>
            </w:pPr>
            <w:r>
              <w:rPr>
                <w:rFonts w:ascii="Arial" w:cs="Arial" w:eastAsia="Arial" w:hAnsi="Arial"/>
                <w:sz w:val="16"/>
                <w:szCs w:val="16"/>
                <w:color w:val="auto"/>
                <w:w w:val="98"/>
              </w:rPr>
              <w:t>of unvested common stock</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Vesting of early exercised</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 options</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Arial" w:cs="Arial" w:eastAsia="Arial" w:hAnsi="Arial"/>
                <w:sz w:val="16"/>
                <w:szCs w:val="16"/>
                <w:color w:val="auto"/>
              </w:rPr>
              <w:t>Vesting of restricted stock</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10,592</w:t>
            </w: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Arial" w:cs="Arial" w:eastAsia="Arial" w:hAnsi="Arial"/>
                <w:sz w:val="16"/>
                <w:szCs w:val="16"/>
                <w:color w:val="auto"/>
                <w:w w:val="97"/>
              </w:rPr>
              <w:t>Other comprehensive income</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(19,363)</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(19,363)</w:t>
            </w:r>
          </w:p>
        </w:tc>
        <w:tc>
          <w:tcPr>
            <w:tcW w:w="0" w:type="dxa"/>
            <w:vAlign w:val="bottom"/>
          </w:tcPr>
          <w:p>
            <w:pPr>
              <w:spacing w:after="0"/>
              <w:rPr>
                <w:sz w:val="1"/>
                <w:szCs w:val="1"/>
                <w:color w:val="auto"/>
              </w:rPr>
            </w:pPr>
          </w:p>
        </w:tc>
      </w:tr>
      <w:tr>
        <w:trPr>
          <w:trHeight w:val="146"/>
        </w:trPr>
        <w:tc>
          <w:tcPr>
            <w:tcW w:w="2300" w:type="dxa"/>
            <w:vAlign w:val="bottom"/>
          </w:tcPr>
          <w:p>
            <w:pPr>
              <w:ind w:left="20"/>
              <w:spacing w:after="0" w:line="146" w:lineRule="exact"/>
              <w:rPr>
                <w:sz w:val="20"/>
                <w:szCs w:val="20"/>
                <w:color w:val="auto"/>
              </w:rPr>
            </w:pPr>
            <w:r>
              <w:rPr>
                <w:rFonts w:ascii="Arial" w:cs="Arial" w:eastAsia="Arial" w:hAnsi="Arial"/>
                <w:sz w:val="16"/>
                <w:szCs w:val="16"/>
                <w:color w:val="auto"/>
              </w:rPr>
              <w:t>Balances as of September 30,</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190,477</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447,166</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112,928</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132,364</w:t>
            </w:r>
          </w:p>
        </w:tc>
        <w:tc>
          <w:tcPr>
            <w:tcW w:w="100" w:type="dxa"/>
            <w:vAlign w:val="bottom"/>
          </w:tcPr>
          <w:p>
            <w:pPr>
              <w:spacing w:after="0"/>
              <w:rPr>
                <w:sz w:val="12"/>
                <w:szCs w:val="12"/>
                <w:color w:val="auto"/>
              </w:rPr>
            </w:pPr>
          </w:p>
        </w:tc>
        <w:tc>
          <w:tcPr>
            <w:tcW w:w="200" w:type="dxa"/>
            <w:vAlign w:val="bottom"/>
            <w:vMerge w:val="restart"/>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2"/>
                <w:szCs w:val="12"/>
                <w:color w:val="auto"/>
              </w:rPr>
            </w:pP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99"/>
              </w:rPr>
              <w:t>(451,016)</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(319,163)</w:t>
            </w:r>
          </w:p>
        </w:tc>
        <w:tc>
          <w:tcPr>
            <w:tcW w:w="0" w:type="dxa"/>
            <w:vAlign w:val="bottom"/>
          </w:tcPr>
          <w:p>
            <w:pPr>
              <w:spacing w:after="0"/>
              <w:rPr>
                <w:sz w:val="1"/>
                <w:szCs w:val="1"/>
                <w:color w:val="auto"/>
              </w:rPr>
            </w:pPr>
          </w:p>
        </w:tc>
      </w:tr>
      <w:tr>
        <w:trPr>
          <w:trHeight w:val="225"/>
        </w:trPr>
        <w:tc>
          <w:tcPr>
            <w:tcW w:w="2300" w:type="dxa"/>
            <w:vAlign w:val="bottom"/>
          </w:tcPr>
          <w:p>
            <w:pPr>
              <w:ind w:left="180"/>
              <w:spacing w:after="0"/>
              <w:rPr>
                <w:sz w:val="20"/>
                <w:szCs w:val="20"/>
                <w:color w:val="auto"/>
              </w:rPr>
            </w:pPr>
            <w:r>
              <w:rPr>
                <w:rFonts w:ascii="Arial" w:cs="Arial" w:eastAsia="Arial" w:hAnsi="Arial"/>
                <w:sz w:val="16"/>
                <w:szCs w:val="16"/>
                <w:color w:val="auto"/>
              </w:rPr>
              <w:t>2021</w:t>
            </w: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gridSpan w:val="10"/>
          </w:tcPr>
          <w:p>
            <w:pPr>
              <w:ind w:left="500"/>
              <w:spacing w:after="0"/>
              <w:rPr>
                <w:sz w:val="20"/>
                <w:szCs w:val="20"/>
                <w:color w:val="auto"/>
              </w:rPr>
            </w:pPr>
            <w:r>
              <w:rPr>
                <w:rFonts w:ascii="Arial" w:cs="Arial" w:eastAsia="Arial" w:hAnsi="Arial"/>
                <w:sz w:val="14"/>
                <w:szCs w:val="14"/>
                <w:b w:val="1"/>
                <w:bCs w:val="1"/>
                <w:color w:val="auto"/>
              </w:rPr>
              <w:t>Nine Months Ended September 30, 2022</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720" w:type="dxa"/>
            <w:vAlign w:val="bottom"/>
            <w:tcBorders>
              <w:right w:val="single" w:sz="8" w:color="auto"/>
            </w:tcBorders>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3"/>
              </w:rPr>
              <w:t>Redeemable Convertible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1720" w:type="dxa"/>
            <w:vAlign w:val="bottom"/>
            <w:tcBorders>
              <w:right w:val="single" w:sz="8" w:color="auto"/>
            </w:tcBorders>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Class A Common Stock</w:t>
            </w:r>
          </w:p>
        </w:tc>
        <w:tc>
          <w:tcPr>
            <w:tcW w:w="80" w:type="dxa"/>
            <w:vAlign w:val="bottom"/>
            <w:vMerge w:val="restart"/>
          </w:tcPr>
          <w:p>
            <w:pPr>
              <w:spacing w:after="0"/>
              <w:rPr>
                <w:sz w:val="5"/>
                <w:szCs w:val="5"/>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Class B Common Stock</w:t>
            </w:r>
          </w:p>
        </w:tc>
        <w:tc>
          <w:tcPr>
            <w:tcW w:w="80" w:type="dxa"/>
            <w:vAlign w:val="bottom"/>
            <w:vMerge w:val="restart"/>
          </w:tcPr>
          <w:p>
            <w:pPr>
              <w:spacing w:after="0"/>
              <w:rPr>
                <w:sz w:val="5"/>
                <w:szCs w:val="5"/>
                <w:color w:val="auto"/>
              </w:rPr>
            </w:pPr>
          </w:p>
        </w:tc>
        <w:tc>
          <w:tcPr>
            <w:tcW w:w="920" w:type="dxa"/>
            <w:vAlign w:val="bottom"/>
            <w:gridSpan w:val="3"/>
            <w:vMerge w:val="restart"/>
          </w:tcPr>
          <w:p>
            <w:pPr>
              <w:jc w:val="center"/>
              <w:ind w:right="80"/>
              <w:spacing w:after="0" w:line="144"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5"/>
                <w:szCs w:val="5"/>
                <w:color w:val="auto"/>
              </w:rPr>
            </w:pPr>
          </w:p>
        </w:tc>
        <w:tc>
          <w:tcPr>
            <w:tcW w:w="880" w:type="dxa"/>
            <w:vAlign w:val="bottom"/>
            <w:gridSpan w:val="2"/>
            <w:vMerge w:val="restart"/>
          </w:tcPr>
          <w:p>
            <w:pPr>
              <w:jc w:val="center"/>
              <w:ind w:right="300"/>
              <w:spacing w:after="0" w:line="144"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ind w:left="40"/>
              <w:spacing w:after="0" w:line="144"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77"/>
        </w:trPr>
        <w:tc>
          <w:tcPr>
            <w:tcW w:w="2300" w:type="dxa"/>
            <w:vAlign w:val="bottom"/>
          </w:tcPr>
          <w:p>
            <w:pPr>
              <w:spacing w:after="0"/>
              <w:rPr>
                <w:sz w:val="6"/>
                <w:szCs w:val="6"/>
                <w:color w:val="auto"/>
              </w:rPr>
            </w:pPr>
          </w:p>
        </w:tc>
        <w:tc>
          <w:tcPr>
            <w:tcW w:w="16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00" w:type="dxa"/>
            <w:vAlign w:val="bottom"/>
            <w:tcBorders>
              <w:right w:val="single" w:sz="8" w:color="auto"/>
            </w:tcBorders>
            <w:vMerge w:val="restart"/>
          </w:tcPr>
          <w:p>
            <w:pPr>
              <w:spacing w:after="0"/>
              <w:rPr>
                <w:sz w:val="6"/>
                <w:szCs w:val="6"/>
                <w:color w:val="auto"/>
              </w:rPr>
            </w:pPr>
          </w:p>
        </w:tc>
        <w:tc>
          <w:tcPr>
            <w:tcW w:w="60" w:type="dxa"/>
            <w:vAlign w:val="bottom"/>
          </w:tcPr>
          <w:p>
            <w:pPr>
              <w:spacing w:after="0"/>
              <w:rPr>
                <w:sz w:val="6"/>
                <w:szCs w:val="6"/>
                <w:color w:val="auto"/>
              </w:rPr>
            </w:pPr>
          </w:p>
        </w:tc>
        <w:tc>
          <w:tcPr>
            <w:tcW w:w="1580" w:type="dxa"/>
            <w:vAlign w:val="bottom"/>
            <w:gridSpan w:val="4"/>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580" w:type="dxa"/>
            <w:vAlign w:val="bottom"/>
            <w:gridSpan w:val="4"/>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300" w:type="dxa"/>
            <w:vAlign w:val="bottom"/>
          </w:tcPr>
          <w:p>
            <w:pPr>
              <w:spacing w:after="0"/>
              <w:rPr>
                <w:sz w:val="10"/>
                <w:szCs w:val="10"/>
                <w:color w:val="auto"/>
              </w:rPr>
            </w:pPr>
          </w:p>
        </w:tc>
        <w:tc>
          <w:tcPr>
            <w:tcW w:w="1620" w:type="dxa"/>
            <w:vAlign w:val="bottom"/>
            <w:tcBorders>
              <w:bottom w:val="single" w:sz="8" w:color="auto"/>
            </w:tcBorders>
            <w:gridSpan w:val="4"/>
            <w:vMerge w:val="continue"/>
          </w:tcPr>
          <w:p>
            <w:pPr>
              <w:spacing w:after="0"/>
              <w:rPr>
                <w:sz w:val="10"/>
                <w:szCs w:val="10"/>
                <w:color w:val="auto"/>
              </w:rPr>
            </w:pPr>
          </w:p>
        </w:tc>
        <w:tc>
          <w:tcPr>
            <w:tcW w:w="1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58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80"/>
              <w:spacing w:after="0" w:line="116" w:lineRule="exact"/>
              <w:rPr>
                <w:sz w:val="20"/>
                <w:szCs w:val="20"/>
                <w:color w:val="auto"/>
              </w:rPr>
            </w:pPr>
            <w:r>
              <w:rPr>
                <w:rFonts w:ascii="Arial" w:cs="Arial" w:eastAsia="Arial" w:hAnsi="Arial"/>
                <w:sz w:val="13"/>
                <w:szCs w:val="13"/>
                <w:b w:val="1"/>
                <w:bCs w:val="1"/>
                <w:color w:val="auto"/>
              </w:rPr>
              <w:t>Paid-in</w:t>
            </w:r>
          </w:p>
        </w:tc>
        <w:tc>
          <w:tcPr>
            <w:tcW w:w="1080" w:type="dxa"/>
            <w:vAlign w:val="bottom"/>
            <w:gridSpan w:val="3"/>
          </w:tcPr>
          <w:p>
            <w:pPr>
              <w:jc w:val="center"/>
              <w:ind w:right="100"/>
              <w:spacing w:after="0" w:line="116" w:lineRule="exact"/>
              <w:rPr>
                <w:sz w:val="20"/>
                <w:szCs w:val="20"/>
                <w:color w:val="auto"/>
              </w:rPr>
            </w:pPr>
            <w:r>
              <w:rPr>
                <w:rFonts w:ascii="Arial" w:cs="Arial" w:eastAsia="Arial" w:hAnsi="Arial"/>
                <w:sz w:val="13"/>
                <w:szCs w:val="13"/>
                <w:b w:val="1"/>
                <w:bCs w:val="1"/>
                <w:color w:val="auto"/>
                <w:w w:val="96"/>
              </w:rPr>
              <w:t>Comprehensive</w:t>
            </w:r>
          </w:p>
        </w:tc>
        <w:tc>
          <w:tcPr>
            <w:tcW w:w="940" w:type="dxa"/>
            <w:vAlign w:val="bottom"/>
            <w:gridSpan w:val="3"/>
          </w:tcPr>
          <w:p>
            <w:pPr>
              <w:ind w:left="20"/>
              <w:spacing w:after="0" w:line="116"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740" w:type="dxa"/>
            <w:vAlign w:val="bottom"/>
          </w:tcPr>
          <w:p>
            <w:pPr>
              <w:jc w:val="center"/>
              <w:ind w:right="81"/>
              <w:spacing w:after="0" w:line="116"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16"/>
        </w:trPr>
        <w:tc>
          <w:tcPr>
            <w:tcW w:w="23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Balances as of December 31, 2021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1,225,815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(480,339)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744,985</w:t>
            </w:r>
          </w:p>
        </w:tc>
        <w:tc>
          <w:tcPr>
            <w:tcW w:w="0" w:type="dxa"/>
            <w:vAlign w:val="bottom"/>
          </w:tcPr>
          <w:p>
            <w:pPr>
              <w:spacing w:after="0"/>
              <w:rPr>
                <w:sz w:val="1"/>
                <w:szCs w:val="1"/>
                <w:color w:val="auto"/>
              </w:rPr>
            </w:pPr>
          </w:p>
        </w:tc>
      </w:tr>
      <w:tr>
        <w:trPr>
          <w:trHeight w:val="166"/>
        </w:trPr>
        <w:tc>
          <w:tcPr>
            <w:tcW w:w="2300" w:type="dxa"/>
            <w:vAlign w:val="bottom"/>
          </w:tcPr>
          <w:p>
            <w:pPr>
              <w:ind w:left="240"/>
              <w:spacing w:after="0" w:line="166" w:lineRule="exact"/>
              <w:rPr>
                <w:sz w:val="20"/>
                <w:szCs w:val="20"/>
                <w:color w:val="auto"/>
              </w:rPr>
            </w:pPr>
            <w:r>
              <w:rPr>
                <w:rFonts w:ascii="Arial" w:cs="Arial" w:eastAsia="Arial" w:hAnsi="Arial"/>
                <w:sz w:val="16"/>
                <w:szCs w:val="16"/>
                <w:color w:val="auto"/>
              </w:rPr>
              <w:t>Release of restricted stock</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2,476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300" w:type="dxa"/>
            <w:vAlign w:val="bottom"/>
          </w:tcPr>
          <w:p>
            <w:pPr>
              <w:ind w:left="400"/>
              <w:spacing w:after="0"/>
              <w:rPr>
                <w:sz w:val="20"/>
                <w:szCs w:val="20"/>
                <w:color w:val="auto"/>
              </w:rPr>
            </w:pPr>
            <w:r>
              <w:rPr>
                <w:rFonts w:ascii="Arial" w:cs="Arial" w:eastAsia="Arial" w:hAnsi="Arial"/>
                <w:sz w:val="16"/>
                <w:szCs w:val="16"/>
                <w:color w:val="auto"/>
              </w:rPr>
              <w:t>units</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4"/>
              </w:rPr>
              <w:t>Tax withholdings on release of</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restricted stock units</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Arial" w:cs="Arial" w:eastAsia="Arial" w:hAnsi="Arial"/>
                <w:sz w:val="16"/>
                <w:szCs w:val="16"/>
                <w:color w:val="auto"/>
                <w:w w:val="96"/>
              </w:rPr>
              <w:t>Repurchase of common stock</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6"/>
                <w:szCs w:val="16"/>
                <w:color w:val="auto"/>
                <w:w w:val="93"/>
              </w:rPr>
              <w:t>(23,252)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(77,230)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(77,232)</w:t>
            </w: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Conversion from Class B to</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88,049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(88,049)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Class A common stock</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240"/>
              <w:spacing w:after="0" w:line="166" w:lineRule="exact"/>
              <w:rPr>
                <w:sz w:val="20"/>
                <w:szCs w:val="20"/>
                <w:color w:val="auto"/>
              </w:rPr>
            </w:pPr>
            <w:r>
              <w:rPr>
                <w:rFonts w:ascii="Arial" w:cs="Arial" w:eastAsia="Arial" w:hAnsi="Arial"/>
                <w:sz w:val="16"/>
                <w:szCs w:val="16"/>
                <w:color w:val="auto"/>
              </w:rPr>
              <w:t>Issuance of common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Arial" w:cs="Arial" w:eastAsia="Arial" w:hAnsi="Arial"/>
                <w:sz w:val="16"/>
                <w:szCs w:val="16"/>
                <w:color w:val="auto"/>
              </w:rPr>
              <w:t>upon exercise of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Arial" w:cs="Arial" w:eastAsia="Arial" w:hAnsi="Arial"/>
                <w:sz w:val="16"/>
                <w:szCs w:val="16"/>
                <w:color w:val="auto"/>
                <w:w w:val="97"/>
              </w:rPr>
              <w:t>options, net of repurchases</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3,046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2,434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11,218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11,219</w:t>
            </w:r>
          </w:p>
        </w:tc>
        <w:tc>
          <w:tcPr>
            <w:tcW w:w="0" w:type="dxa"/>
            <w:vAlign w:val="bottom"/>
          </w:tcPr>
          <w:p>
            <w:pPr>
              <w:spacing w:after="0"/>
              <w:rPr>
                <w:sz w:val="1"/>
                <w:szCs w:val="1"/>
                <w:color w:val="auto"/>
              </w:rPr>
            </w:pPr>
          </w:p>
        </w:tc>
      </w:tr>
      <w:tr>
        <w:trPr>
          <w:trHeight w:val="209"/>
        </w:trPr>
        <w:tc>
          <w:tcPr>
            <w:tcW w:w="2300" w:type="dxa"/>
            <w:vAlign w:val="bottom"/>
          </w:tcPr>
          <w:p>
            <w:pPr>
              <w:ind w:left="400"/>
              <w:spacing w:after="0"/>
              <w:rPr>
                <w:sz w:val="20"/>
                <w:szCs w:val="20"/>
                <w:color w:val="auto"/>
              </w:rPr>
            </w:pPr>
            <w:r>
              <w:rPr>
                <w:rFonts w:ascii="Arial" w:cs="Arial" w:eastAsia="Arial" w:hAnsi="Arial"/>
                <w:sz w:val="16"/>
                <w:szCs w:val="16"/>
                <w:color w:val="auto"/>
                <w:w w:val="98"/>
              </w:rPr>
              <w:t>of unvested common stock</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8"/>
              </w:rPr>
              <w:t>Issuance of common stock in</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8"/>
              </w:rPr>
              <w:t>connection with acquisition</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240"/>
              <w:spacing w:after="0" w:line="166" w:lineRule="exact"/>
              <w:rPr>
                <w:sz w:val="20"/>
                <w:szCs w:val="20"/>
                <w:color w:val="auto"/>
              </w:rPr>
            </w:pPr>
            <w:r>
              <w:rPr>
                <w:rFonts w:ascii="Arial" w:cs="Arial" w:eastAsia="Arial" w:hAnsi="Arial"/>
                <w:sz w:val="16"/>
                <w:szCs w:val="16"/>
                <w:color w:val="auto"/>
              </w:rPr>
              <w:t>Issuance of common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Arial" w:cs="Arial" w:eastAsia="Arial" w:hAnsi="Arial"/>
                <w:sz w:val="16"/>
                <w:szCs w:val="16"/>
                <w:color w:val="auto"/>
              </w:rPr>
              <w:t>under employee stock</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209"/>
        </w:trPr>
        <w:tc>
          <w:tcPr>
            <w:tcW w:w="2300" w:type="dxa"/>
            <w:vAlign w:val="bottom"/>
          </w:tcPr>
          <w:p>
            <w:pPr>
              <w:ind w:left="400"/>
              <w:spacing w:after="0"/>
              <w:rPr>
                <w:sz w:val="20"/>
                <w:szCs w:val="20"/>
                <w:color w:val="auto"/>
              </w:rPr>
            </w:pPr>
            <w:r>
              <w:rPr>
                <w:rFonts w:ascii="Arial" w:cs="Arial" w:eastAsia="Arial" w:hAnsi="Arial"/>
                <w:sz w:val="16"/>
                <w:szCs w:val="16"/>
                <w:color w:val="auto"/>
              </w:rPr>
              <w:t>purchase plan</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Vesting of early exercised</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 options</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Arial" w:cs="Arial" w:eastAsia="Arial" w:hAnsi="Arial"/>
                <w:sz w:val="16"/>
                <w:szCs w:val="16"/>
                <w:color w:val="auto"/>
              </w:rPr>
              <w:t>Vesting of restricted stock</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4,289</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46,957</w:t>
            </w: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Arial" w:cs="Arial" w:eastAsia="Arial" w:hAnsi="Arial"/>
                <w:sz w:val="16"/>
                <w:szCs w:val="16"/>
                <w:color w:val="auto"/>
              </w:rPr>
              <w:t>Other comprehensive loss</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(3,374)</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(104,508)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(104,508)</w:t>
            </w:r>
          </w:p>
        </w:tc>
        <w:tc>
          <w:tcPr>
            <w:tcW w:w="0" w:type="dxa"/>
            <w:vAlign w:val="bottom"/>
          </w:tcPr>
          <w:p>
            <w:pPr>
              <w:spacing w:after="0"/>
              <w:rPr>
                <w:sz w:val="1"/>
                <w:szCs w:val="1"/>
                <w:color w:val="auto"/>
              </w:rPr>
            </w:pPr>
          </w:p>
        </w:tc>
      </w:tr>
      <w:tr>
        <w:trPr>
          <w:trHeight w:val="146"/>
        </w:trPr>
        <w:tc>
          <w:tcPr>
            <w:tcW w:w="2300" w:type="dxa"/>
            <w:vAlign w:val="bottom"/>
          </w:tcPr>
          <w:p>
            <w:pPr>
              <w:ind w:left="20"/>
              <w:spacing w:after="0" w:line="146" w:lineRule="exact"/>
              <w:rPr>
                <w:sz w:val="20"/>
                <w:szCs w:val="20"/>
                <w:color w:val="auto"/>
              </w:rPr>
            </w:pPr>
            <w:r>
              <w:rPr>
                <w:rFonts w:ascii="Arial" w:cs="Arial" w:eastAsia="Arial" w:hAnsi="Arial"/>
                <w:sz w:val="16"/>
                <w:szCs w:val="16"/>
                <w:color w:val="auto"/>
              </w:rPr>
              <w:t>Balances as of September 30,</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149,825</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219,356</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89"/>
              </w:rPr>
              <w:t>1,212,167</w:t>
            </w:r>
          </w:p>
        </w:tc>
        <w:tc>
          <w:tcPr>
            <w:tcW w:w="100" w:type="dxa"/>
            <w:vAlign w:val="bottom"/>
          </w:tcPr>
          <w:p>
            <w:pPr>
              <w:spacing w:after="0"/>
              <w:rPr>
                <w:sz w:val="12"/>
                <w:szCs w:val="12"/>
                <w:color w:val="auto"/>
              </w:rPr>
            </w:pP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(3,903)</w:t>
            </w:r>
          </w:p>
        </w:tc>
        <w:tc>
          <w:tcPr>
            <w:tcW w:w="100" w:type="dxa"/>
            <w:vAlign w:val="bottom"/>
          </w:tcPr>
          <w:p>
            <w:pPr>
              <w:spacing w:after="0"/>
              <w:rPr>
                <w:sz w:val="12"/>
                <w:szCs w:val="12"/>
                <w:color w:val="auto"/>
              </w:rPr>
            </w:pP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99"/>
              </w:rPr>
              <w:t>(584,847)</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623,454</w:t>
            </w:r>
          </w:p>
        </w:tc>
        <w:tc>
          <w:tcPr>
            <w:tcW w:w="0" w:type="dxa"/>
            <w:vAlign w:val="bottom"/>
          </w:tcPr>
          <w:p>
            <w:pPr>
              <w:spacing w:after="0"/>
              <w:rPr>
                <w:sz w:val="1"/>
                <w:szCs w:val="1"/>
                <w:color w:val="auto"/>
              </w:rPr>
            </w:pPr>
          </w:p>
        </w:tc>
      </w:tr>
      <w:tr>
        <w:trPr>
          <w:trHeight w:val="225"/>
        </w:trPr>
        <w:tc>
          <w:tcPr>
            <w:tcW w:w="2300" w:type="dxa"/>
            <w:vAlign w:val="bottom"/>
          </w:tcPr>
          <w:p>
            <w:pPr>
              <w:ind w:left="180"/>
              <w:spacing w:after="0"/>
              <w:rPr>
                <w:sz w:val="20"/>
                <w:szCs w:val="20"/>
                <w:color w:val="auto"/>
              </w:rPr>
            </w:pPr>
            <w:r>
              <w:rPr>
                <w:rFonts w:ascii="Arial" w:cs="Arial" w:eastAsia="Arial" w:hAnsi="Arial"/>
                <w:sz w:val="16"/>
                <w:szCs w:val="16"/>
                <w:color w:val="auto"/>
              </w:rPr>
              <w:t>2022</w:t>
            </w:r>
          </w:p>
        </w:tc>
        <w:tc>
          <w:tcPr>
            <w:tcW w:w="84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10"/>
          </w:tcPr>
          <w:p>
            <w:pPr>
              <w:ind w:left="500"/>
              <w:spacing w:after="0"/>
              <w:rPr>
                <w:sz w:val="20"/>
                <w:szCs w:val="20"/>
                <w:color w:val="auto"/>
              </w:rPr>
            </w:pPr>
            <w:r>
              <w:rPr>
                <w:rFonts w:ascii="Arial" w:cs="Arial" w:eastAsia="Arial" w:hAnsi="Arial"/>
                <w:sz w:val="14"/>
                <w:szCs w:val="14"/>
                <w:b w:val="1"/>
                <w:bCs w:val="1"/>
                <w:color w:val="auto"/>
              </w:rPr>
              <w:t>Nine Months Ended September 30, 2021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00" w:type="dxa"/>
            <w:vAlign w:val="bottom"/>
          </w:tcPr>
          <w:p>
            <w:pPr>
              <w:spacing w:after="0"/>
              <w:rPr>
                <w:sz w:val="12"/>
                <w:szCs w:val="12"/>
                <w:color w:val="auto"/>
              </w:rPr>
            </w:pPr>
          </w:p>
        </w:tc>
        <w:tc>
          <w:tcPr>
            <w:tcW w:w="1720" w:type="dxa"/>
            <w:vAlign w:val="bottom"/>
            <w:tcBorders>
              <w:right w:val="single" w:sz="8" w:color="auto"/>
            </w:tcBorders>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3"/>
              </w:rPr>
              <w:t>Redeemable Convertible</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61"/>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1720" w:type="dxa"/>
            <w:vAlign w:val="bottom"/>
            <w:tcBorders>
              <w:right w:val="single" w:sz="8" w:color="auto"/>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Class A Common Stock</w:t>
            </w:r>
          </w:p>
        </w:tc>
        <w:tc>
          <w:tcPr>
            <w:tcW w:w="80" w:type="dxa"/>
            <w:vAlign w:val="bottom"/>
            <w:vMerge w:val="restart"/>
          </w:tcPr>
          <w:p>
            <w:pPr>
              <w:spacing w:after="0"/>
              <w:rPr>
                <w:sz w:val="7"/>
                <w:szCs w:val="7"/>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Class B Common Stock</w:t>
            </w:r>
          </w:p>
        </w:tc>
        <w:tc>
          <w:tcPr>
            <w:tcW w:w="80" w:type="dxa"/>
            <w:vAlign w:val="bottom"/>
            <w:vMerge w:val="restart"/>
          </w:tcPr>
          <w:p>
            <w:pPr>
              <w:spacing w:after="0"/>
              <w:rPr>
                <w:sz w:val="7"/>
                <w:szCs w:val="7"/>
                <w:color w:val="auto"/>
              </w:rPr>
            </w:pPr>
          </w:p>
        </w:tc>
        <w:tc>
          <w:tcPr>
            <w:tcW w:w="920" w:type="dxa"/>
            <w:vAlign w:val="bottom"/>
            <w:gridSpan w:val="3"/>
            <w:vMerge w:val="restart"/>
          </w:tcPr>
          <w:p>
            <w:pPr>
              <w:jc w:val="center"/>
              <w:ind w:right="80"/>
              <w:spacing w:after="0" w:line="145"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7"/>
                <w:szCs w:val="7"/>
                <w:color w:val="auto"/>
              </w:rPr>
            </w:pPr>
          </w:p>
        </w:tc>
        <w:tc>
          <w:tcPr>
            <w:tcW w:w="880" w:type="dxa"/>
            <w:vAlign w:val="bottom"/>
            <w:gridSpan w:val="2"/>
            <w:vMerge w:val="restart"/>
          </w:tcPr>
          <w:p>
            <w:pPr>
              <w:jc w:val="center"/>
              <w:ind w:right="300"/>
              <w:spacing w:after="0" w:line="14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ind w:left="40"/>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3"/>
        </w:trPr>
        <w:tc>
          <w:tcPr>
            <w:tcW w:w="2300" w:type="dxa"/>
            <w:vAlign w:val="bottom"/>
          </w:tcPr>
          <w:p>
            <w:pPr>
              <w:spacing w:after="0"/>
              <w:rPr>
                <w:sz w:val="5"/>
                <w:szCs w:val="5"/>
                <w:color w:val="auto"/>
              </w:rPr>
            </w:pPr>
          </w:p>
        </w:tc>
        <w:tc>
          <w:tcPr>
            <w:tcW w:w="16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300" w:type="dxa"/>
            <w:vAlign w:val="bottom"/>
          </w:tcPr>
          <w:p>
            <w:pPr>
              <w:spacing w:after="0"/>
              <w:rPr>
                <w:sz w:val="11"/>
                <w:szCs w:val="11"/>
                <w:color w:val="auto"/>
              </w:rPr>
            </w:pPr>
          </w:p>
        </w:tc>
        <w:tc>
          <w:tcPr>
            <w:tcW w:w="1620" w:type="dxa"/>
            <w:vAlign w:val="bottom"/>
            <w:tcBorders>
              <w:bottom w:val="single" w:sz="8" w:color="auto"/>
            </w:tcBorders>
            <w:gridSpan w:val="4"/>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Comprehensive</w:t>
            </w:r>
          </w:p>
        </w:tc>
        <w:tc>
          <w:tcPr>
            <w:tcW w:w="9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740" w:type="dxa"/>
            <w:vAlign w:val="bottom"/>
          </w:tcPr>
          <w:p>
            <w:pPr>
              <w:jc w:val="center"/>
              <w:ind w:right="81"/>
              <w:spacing w:after="0" w:line="129"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02"/>
        </w:trPr>
        <w:tc>
          <w:tcPr>
            <w:tcW w:w="23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41"/>
              <w:spacing w:after="0" w:line="202"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40"/>
              <w:spacing w:after="0" w:line="202"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Balances as of December 31, 2020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447,166</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(385,014)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(297,856)</w:t>
            </w:r>
          </w:p>
        </w:tc>
        <w:tc>
          <w:tcPr>
            <w:tcW w:w="0" w:type="dxa"/>
            <w:vAlign w:val="bottom"/>
          </w:tcPr>
          <w:p>
            <w:pPr>
              <w:spacing w:after="0"/>
              <w:rPr>
                <w:sz w:val="1"/>
                <w:szCs w:val="1"/>
                <w:color w:val="auto"/>
              </w:rPr>
            </w:pPr>
          </w:p>
        </w:tc>
      </w:tr>
      <w:tr>
        <w:trPr>
          <w:trHeight w:val="166"/>
        </w:trPr>
        <w:tc>
          <w:tcPr>
            <w:tcW w:w="2300" w:type="dxa"/>
            <w:vAlign w:val="bottom"/>
          </w:tcPr>
          <w:p>
            <w:pPr>
              <w:ind w:left="240"/>
              <w:spacing w:after="0" w:line="166" w:lineRule="exact"/>
              <w:rPr>
                <w:sz w:val="20"/>
                <w:szCs w:val="20"/>
                <w:color w:val="auto"/>
              </w:rPr>
            </w:pPr>
            <w:r>
              <w:rPr>
                <w:rFonts w:ascii="Arial" w:cs="Arial" w:eastAsia="Arial" w:hAnsi="Arial"/>
                <w:sz w:val="16"/>
                <w:szCs w:val="16"/>
                <w:color w:val="auto"/>
              </w:rPr>
              <w:t>Issuance of common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Arial" w:cs="Arial" w:eastAsia="Arial" w:hAnsi="Arial"/>
                <w:sz w:val="16"/>
                <w:szCs w:val="16"/>
                <w:color w:val="auto"/>
              </w:rPr>
              <w:t>upon exercise of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Arial" w:cs="Arial" w:eastAsia="Arial" w:hAnsi="Arial"/>
                <w:sz w:val="16"/>
                <w:szCs w:val="16"/>
                <w:color w:val="auto"/>
                <w:w w:val="97"/>
              </w:rPr>
              <w:t>options, net of repurchases</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9,130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12,836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12,836</w:t>
            </w:r>
          </w:p>
        </w:tc>
        <w:tc>
          <w:tcPr>
            <w:tcW w:w="0" w:type="dxa"/>
            <w:vAlign w:val="bottom"/>
          </w:tcPr>
          <w:p>
            <w:pPr>
              <w:spacing w:after="0"/>
              <w:rPr>
                <w:sz w:val="1"/>
                <w:szCs w:val="1"/>
                <w:color w:val="auto"/>
              </w:rPr>
            </w:pPr>
          </w:p>
        </w:tc>
      </w:tr>
      <w:tr>
        <w:trPr>
          <w:trHeight w:val="209"/>
        </w:trPr>
        <w:tc>
          <w:tcPr>
            <w:tcW w:w="2300" w:type="dxa"/>
            <w:vAlign w:val="bottom"/>
          </w:tcPr>
          <w:p>
            <w:pPr>
              <w:ind w:left="400"/>
              <w:spacing w:after="0"/>
              <w:rPr>
                <w:sz w:val="20"/>
                <w:szCs w:val="20"/>
                <w:color w:val="auto"/>
              </w:rPr>
            </w:pPr>
            <w:r>
              <w:rPr>
                <w:rFonts w:ascii="Arial" w:cs="Arial" w:eastAsia="Arial" w:hAnsi="Arial"/>
                <w:sz w:val="16"/>
                <w:szCs w:val="16"/>
                <w:color w:val="auto"/>
                <w:w w:val="98"/>
              </w:rPr>
              <w:t>of unvested common stock</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8"/>
              </w:rPr>
              <w:t>Issuance of common stock in</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8"/>
              </w:rPr>
              <w:t>connection with acquisition</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240"/>
              <w:spacing w:after="0" w:line="166" w:lineRule="exact"/>
              <w:rPr>
                <w:sz w:val="20"/>
                <w:szCs w:val="20"/>
                <w:color w:val="auto"/>
              </w:rPr>
            </w:pPr>
            <w:r>
              <w:rPr>
                <w:rFonts w:ascii="Arial" w:cs="Arial" w:eastAsia="Arial" w:hAnsi="Arial"/>
                <w:sz w:val="16"/>
                <w:szCs w:val="16"/>
                <w:color w:val="auto"/>
              </w:rPr>
              <w:t>Vesting of early exercised</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9"/>
        </w:trPr>
        <w:tc>
          <w:tcPr>
            <w:tcW w:w="2300" w:type="dxa"/>
            <w:vAlign w:val="bottom"/>
          </w:tcPr>
          <w:p>
            <w:pPr>
              <w:ind w:left="400"/>
              <w:spacing w:after="0"/>
              <w:rPr>
                <w:sz w:val="20"/>
                <w:szCs w:val="20"/>
                <w:color w:val="auto"/>
              </w:rPr>
            </w:pPr>
            <w:r>
              <w:rPr>
                <w:rFonts w:ascii="Arial" w:cs="Arial" w:eastAsia="Arial" w:hAnsi="Arial"/>
                <w:sz w:val="16"/>
                <w:szCs w:val="16"/>
                <w:color w:val="auto"/>
              </w:rPr>
              <w:t>stock options</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Vesting of restricted stock</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w:t>
            </w: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26,971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26,971</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7"/>
              </w:rPr>
              <w:t>Other comprehensive income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13"/>
        </w:trPr>
        <w:tc>
          <w:tcPr>
            <w:tcW w:w="23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(66,002)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(66,002)</w:t>
            </w: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Balances as of September 30,</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190,477</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447,166</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112,928</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132,364</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(451,016)</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(319,163)</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20" w:firstLine="8"/>
        <w:spacing w:after="0" w:line="273" w:lineRule="auto"/>
        <w:tabs>
          <w:tab w:leader="none" w:pos="20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shares of the Company’s common and redeemable convertible preferred stock prior to the Reverse Recapitalization (as defined in Note 1) have been retroactively restated to reflect the exchange ratio of 3.1057 established in the Merger Agreement as described in Note 3.</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
        </w:trPr>
        <w:tc>
          <w:tcPr>
            <w:tcW w:w="8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8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r>
      <w:tr>
        <w:trPr>
          <w:trHeight w:val="203"/>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(104,508)</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(66,002)</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3,202</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26,971</w:t>
            </w: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Bad debt expense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(5,042)</w:t>
            </w: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4,938</w:t>
            </w: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(4,147)</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5,453</w:t>
            </w:r>
          </w:p>
        </w:tc>
      </w:tr>
      <w:tr>
        <w:trPr>
          <w:trHeight w:val="207"/>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operating activities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(40,797)</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(33,280)</w:t>
            </w:r>
          </w:p>
        </w:tc>
      </w:tr>
      <w:tr>
        <w:trPr>
          <w:trHeight w:val="19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(8,089)</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marketable securities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(555,052)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(40,251)</w:t>
            </w: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Sales of marketable securities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2,411</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Maturities of marketable securities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224,005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50,645</w:t>
            </w:r>
          </w:p>
        </w:tc>
      </w:tr>
      <w:tr>
        <w:trPr>
          <w:trHeight w:val="207"/>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(used in) investing activities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(325,407)</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4,716</w:t>
            </w:r>
          </w:p>
        </w:tc>
      </w:tr>
      <w:tr>
        <w:trPr>
          <w:trHeight w:val="19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Proceeds from exercise of stock options, net of repurchases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11,219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12,836</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Payment of transaction costs related to the Reverse Recapitalization</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(2,973)</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 withholdings on release of restricted stock units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Repurchase of common stock</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(77,232)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Prepayment under share repurchase program</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(65,660)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9,863</w:t>
            </w:r>
          </w:p>
        </w:tc>
      </w:tr>
      <w:tr>
        <w:trPr>
          <w:trHeight w:val="213"/>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3"/>
        </w:trPr>
        <w:tc>
          <w:tcPr>
            <w:tcW w:w="8440" w:type="dxa"/>
            <w:vAlign w:val="bottom"/>
          </w:tcPr>
          <w:p>
            <w:pPr>
              <w:ind w:left="360"/>
              <w:spacing w:after="0"/>
              <w:rPr>
                <w:sz w:val="20"/>
                <w:szCs w:val="20"/>
                <w:color w:val="auto"/>
              </w:rPr>
            </w:pPr>
            <w:r>
              <w:rPr>
                <w:rFonts w:ascii="Arial" w:cs="Arial" w:eastAsia="Arial" w:hAnsi="Arial"/>
                <w:sz w:val="16"/>
                <w:szCs w:val="16"/>
                <w:color w:val="auto"/>
              </w:rPr>
              <w:t>Net decrease in cash and cash equivalents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(431,081)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(18,423)</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521,812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84,743</w:t>
            </w:r>
          </w:p>
        </w:tc>
      </w:tr>
      <w:tr>
        <w:trPr>
          <w:trHeight w:val="207"/>
        </w:trPr>
        <w:tc>
          <w:tcPr>
            <w:tcW w:w="84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90,731</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66,320</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Cash paid for taxes,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Non-cash investing and financing activities: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360"/>
              <w:spacing w:after="0"/>
              <w:rPr>
                <w:sz w:val="20"/>
                <w:szCs w:val="20"/>
                <w:color w:val="auto"/>
              </w:rPr>
            </w:pPr>
            <w:r>
              <w:rPr>
                <w:rFonts w:ascii="Arial" w:cs="Arial" w:eastAsia="Arial" w:hAnsi="Arial"/>
                <w:sz w:val="16"/>
                <w:szCs w:val="16"/>
                <w:color w:val="auto"/>
              </w:rPr>
              <w:t>Vesting of restricted stock and early exercised stock options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4,672</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4,612</w:t>
            </w:r>
          </w:p>
        </w:tc>
      </w:tr>
      <w:tr>
        <w:trPr>
          <w:trHeight w:val="219"/>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 liabilities arising from obtaining right-of-use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34,971</w:t>
            </w:r>
          </w:p>
        </w:tc>
      </w:tr>
      <w:tr>
        <w:trPr>
          <w:trHeight w:val="213"/>
        </w:trPr>
        <w:tc>
          <w:tcPr>
            <w:tcW w:w="8440" w:type="dxa"/>
            <w:vAlign w:val="bottom"/>
          </w:tcPr>
          <w:p>
            <w:pPr>
              <w:ind w:left="360"/>
              <w:spacing w:after="0"/>
              <w:rPr>
                <w:sz w:val="20"/>
                <w:szCs w:val="20"/>
                <w:color w:val="auto"/>
              </w:rPr>
            </w:pPr>
            <w:r>
              <w:rPr>
                <w:rFonts w:ascii="Arial" w:cs="Arial" w:eastAsia="Arial" w:hAnsi="Arial"/>
                <w:sz w:val="16"/>
                <w:szCs w:val="16"/>
                <w:color w:val="auto"/>
              </w:rPr>
              <w:t>Purchases of property and equipment not yet settled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734</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Unpaid deferred transaction costs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Nextdoor Holdings, Inc. (“Nextdoor” or the “Company”) is headquartered in San Francisco, California. Nextdoor’s purpose is to cultivate a kinder world where everyone has a neighborhood they can rely on. That purpose enables the Company’s mission to be the neighborhood hub for trusted connections and the exchange of helpful information, goods, and services.</w:t>
      </w:r>
    </w:p>
    <w:p>
      <w:pPr>
        <w:spacing w:after="0" w:line="130"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On November 5, 2021 (the “Closing”), the Company consummated the transactions contemplated by the Agreement and Plan of Merger, dated July 6, 2021, as amended on September 30, 2021 (the “Merger Agreement”), by and among Khosla Ventures Acquisition Co. II (“KVSB”), a special purpose acquisition company, Lorelei Merger Sub Inc. (“Merger Sub”), and Nextdoor, Inc. (“Legacy Nextdoor”), with Legacy Nextdoor surviving as a wholly owned subsidiary of KVSB (the “Merger” and, collectively with the other transactions that occurred in connection with the Merger, including the PIPE Investment (as described in Note 3, the “Reverse Recapitalization”)). In connection with the Closing, KVSB was renamed to Nextdoor Holdings, Inc. Reported results from operations included herein prior to the Reverse Recapitalization are those of Legacy Nextdoor.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See Note 3 - Reverse Recapitalization for further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condensed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condensed consolidated balance sheet as of December 31, 2021 included herein was derived from the audited financial statements as of that date. The Company has condensed or omitted certain information and note disclosures normally included in financial statements prepared in accordance with GAAP pursuant to the applicable required disclosures and regulations of the U.S Securities and Exchange Commission (“SEC”). As such, these unaudited condensed consolidated financial statements should be read in conjunction with the audited consolidated financial statements and the related notes thereto included in the Company’s Annual Report on Form 10-K for the year ended December 31, 2021.</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management’s opinion, the unaudited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and cash flows. The results for the interim periods presented are not necessarily indicative of the results to be expected for the full year ending December 31, 2022 or any other future interim or annual period.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was accounted for as a reverse recapitalization in accordance with GAAP. This determination was primarily based on the evaluation of the following facts and circumstances:</w:t>
      </w:r>
    </w:p>
    <w:p>
      <w:pPr>
        <w:spacing w:after="0" w:line="11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Legacy Nextdoor stockholders had a relative majority of the voting power of Nextdoor;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of Directors of Nextdoor had ten members, and Legacy Nextdoor stockholders had the ability to nominate a majority of the members of the Board of Directors;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Legacy Nextdoor’s senior management comprised the senior management roles of Nextdoor and were responsible for the day-to-day operations;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KVSB assumed the Nextdoor Holdings, Inc. name and Legacy Nextdoor’s corporate headquarters;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intended strategy and operations of Nextdoor continued Legacy Nextdoor’s strategy and operations to leverage technology to connect millions of neighbors online and in real life to build stronger, more vibrant, and resilient neighborhoods.</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Under this method of accounting, KVSB was treated as the “acquired” company for financial reporting purposes. Accordingly, the financial statements of Nextdoor represent the continuation of the financial statements of Legacy Nextdoor, with the Merger reflected as the equivalent of Nextdoor issuing common stock for the net assets of KVSB, accompanied by a recapitalization. The shares and corresponding capital amounts and all per share data related to Legacy Nextdoor’s outstanding redeemable convertible preferred stock, common stock, and stock-based awards prior to the Reverse Recapitalization have been retroactively adjusted using the Exchange Ratio (as defined in Note 3). The net assets of KVSB were recognized as of the Closing at historical cost, with no goodwill or other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intangible assets recorded. Operations prior to the Merger are those of Legacy Nextdoor and Legacy Nextdoor’s operations are the only ongoing operations of Nextdoor.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condensed consolidated financial statements and accompanying notes. Estimates include, but are not limited to, valuation of financial instruments, valuation of common stock through the date of the Reverse Recapitalization, valuation of stock-based awards, revenue recognition, collectability of accounts receivable, valuation of acquired intangible assets and goodwill, useful 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have been no changes to the Company’s significant accounting policies disclosed in Note 2 to the consolidated financial statements described in our Annual Report as of and for the year ended December 31, 2021 that have had a material impact on the Company’s condensed consolidated financial statements and related notes, except as noted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and cash equivalents consist of highly liquid investments with insignificant interest rate risk and original maturities of three months or less at the time of purchase. Cash and cash equivalents include demand deposits, money market accounts, corporate bonds, and commercial paper. Interest is accrued as earned. Cash and cash equivalents are recorded at cost, which approximates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 Topic 740 – Simplifying the Accounting for Income Taxes</w:t>
      </w:r>
      <w:r>
        <w:rPr>
          <w:rFonts w:ascii="Arial" w:cs="Arial" w:eastAsia="Arial" w:hAnsi="Arial"/>
          <w:sz w:val="17"/>
          <w:szCs w:val="17"/>
          <w:color w:val="auto"/>
        </w:rPr>
        <w:t>, which simplifies the accounting for income taxes by removing certain exceptions to the general principals in Topic 740. The amendments also improve consistent application of and simplify GAAP for other areas of Topic 740 by clarifying and amending existing guidance. The Company adopted this standard as of January 1, 2022, and the adoption did not have a material impact on the Company’s condensed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Reverse Recapitalization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Merger Agreement, as described in Note 1, Merger Sub merged with and into Legacy Nextdoor, with Legacy Nextdoor surviving the Merger. Legacy Nextdoor became a wholly owned subsidiary of KVSB and KVSB was immediately renamed Nextdoor Holdings, Inc. Upon the consummation of the Merger, the following events contemplated by the Merger Agreement occurred, based on Legacy Nextdoor’s capitalization as of November 5, 2021:</w:t>
      </w:r>
    </w:p>
    <w:p>
      <w:pPr>
        <w:spacing w:after="0" w:line="133" w:lineRule="exact"/>
        <w:rPr>
          <w:sz w:val="20"/>
          <w:szCs w:val="20"/>
          <w:color w:val="auto"/>
        </w:rPr>
      </w:pPr>
    </w:p>
    <w:p>
      <w:pPr>
        <w:ind w:left="660" w:hanging="328"/>
        <w:spacing w:after="0" w:line="30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61,331,815 issued and outstanding shares of Legacy Nextdoor redeemable convertible preferred stock were converted into 61,331,815 shares of Legacy Nextdoor common stock at the conversion rate as calculated pursuant to Legacy Nextdoor’s certificate of incorporation;</w:t>
      </w:r>
    </w:p>
    <w:p>
      <w:pPr>
        <w:spacing w:after="0" w:line="92"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97,886,321 issued and outstanding shares of Legacy Nextdoor common stock (including Legacy Nextdoor common stock resulting from the conversion of the Legacy Nextdoor redeemable convertible preferred stock) were converted into 304,003,976 shares of Nextdoor Class B common stock after giving effect to the exchange ratio of 3.1057 as calculated in accordance with the Merger Agreement (“Exchange Ratio”);</w:t>
      </w:r>
    </w:p>
    <w:p>
      <w:pPr>
        <w:spacing w:after="0" w:line="94"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19,196,313 granted and outstanding unexercised Legacy Nextdoor options were converted into 59,616,898 Nextdoor options exercisable for shares of Nextdoor Class B common stock with the same terms and vesting conditions except for the number of shares exercisable and the exercise price, each of which was adjusted by the Exchange Ratio;</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866,687 granted and outstanding unvested Legacy Nextdoor restricted stock units (“RSUs”) were converted into 2,691,577 Nextdoor RSUs for shares of Nextdoor Class B common stock with the same terms and vesting conditions except for the number of shares, which was adjusted by the Exchange Ratio; and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entitlement to receive 58,135 shares of Legacy Nextdoor common stock pursuant to the Pixel Labs Merger Agreement converted into the right to receive 180,549 shares of Nextdoor Class B common stock, which was adjusted by the Exchange Ratio.</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304,003,976 shares of Nextdoor Class B common stock issued and outstanding as of the Closing and Nextdoor options and RSUs covering 62,308,475 shares reserved for the potential future issuance of Nextdoor Class B common stock as of the Closing.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Closing of the Merger:</w:t>
      </w:r>
    </w:p>
    <w:p>
      <w:pPr>
        <w:spacing w:after="0" w:line="171" w:lineRule="exact"/>
        <w:rPr>
          <w:sz w:val="20"/>
          <w:szCs w:val="20"/>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KVSB Class B founder shares, consisting of 5,000,000 shares of KVSB Class B common stock, automatically converted into an aggregate of 7,347,249 shares of Nextdoor Class A common stock;</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KVSB Class K founder shares, consisting of 5,000,000 shares of KVSB Class K common stock, converted into an aggregate of 3,061,354 shares of Nextdoor Class A common stock;</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1,132,688 private placement sponsor shares of KVSB Class A common stock converted into shares of Nextdoor Class A common stock on a one-to-one basis;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40,412,372 shares of KVSB Class A common stock held by KVSB public stockholders, net of the redemption of 1,222,040 shares of KVSB Class A common stock, converted into Nextdoor Class A common stock on a one-to-one basis.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6, 2021, concurrently with the execution of the Merger Agreement, KVSB entered into subscription agreements with certain investors (collectively, the “PIPE Investors”), pursuant to, and on the terms and subject to the conditions of which, the PIPE Investors subscribed for an aggregate of 27,000,000 shares of Class A common stock, which included 750,000 shares of Nextdoor Class A common stock to the KVSB sponsor and 4,500,000 shares of Nextdoor Class A common stock to certain Legacy Nextdoor stockholders, including 500,000 shares of Nextdoor Class A common stock to Nextdoor's Chief Executive Officer and President, for an aggregate purchase price of $270.0 million (the “PIPE Investment”). The PIPE Investment was consummated substantially concurrently with the Closing of the Merger.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There were 78,953,663 shares of Nextdoor Class A common stock issued and outstanding as of the Closing.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holder of shares of Class A common stock is entitled to one vote for each share of Class A common stock held on all matters submitted to a vote of stockholders and each holder of shares of Class B common stock is entitled to 10 votes for each share of Class B common stock held on all matters submitted to a vote of stockholders.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number of shares of common stock issued and outstanding immediately following the Reverse Recapitalization: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2600" w:type="dxa"/>
            <w:vAlign w:val="bottom"/>
          </w:tcPr>
          <w:p>
            <w:pPr>
              <w:jc w:val="right"/>
              <w:ind w:right="1012"/>
              <w:spacing w:after="0"/>
              <w:rPr>
                <w:sz w:val="20"/>
                <w:szCs w:val="20"/>
                <w:color w:val="auto"/>
              </w:rPr>
            </w:pPr>
            <w:r>
              <w:rPr>
                <w:rFonts w:ascii="Arial" w:cs="Arial" w:eastAsia="Arial" w:hAnsi="Arial"/>
                <w:sz w:val="14"/>
                <w:szCs w:val="14"/>
                <w:b w:val="1"/>
                <w:bCs w:val="1"/>
                <w:color w:val="auto"/>
              </w:rPr>
              <w:t>Shares</w:t>
            </w:r>
          </w:p>
        </w:tc>
      </w:tr>
      <w:tr>
        <w:trPr>
          <w:trHeight w:val="25"/>
        </w:trPr>
        <w:tc>
          <w:tcPr>
            <w:tcW w:w="864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KVSB Class A common stock, outstanding prior to Reverse Recapitalization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42,767,100</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Less: redemption of KVSB Class A common stock</w:t>
            </w:r>
          </w:p>
        </w:tc>
        <w:tc>
          <w:tcPr>
            <w:tcW w:w="2600" w:type="dxa"/>
            <w:vAlign w:val="bottom"/>
          </w:tcPr>
          <w:p>
            <w:pPr>
              <w:jc w:val="right"/>
              <w:spacing w:after="0"/>
              <w:rPr>
                <w:sz w:val="20"/>
                <w:szCs w:val="20"/>
                <w:color w:val="auto"/>
              </w:rPr>
            </w:pPr>
            <w:r>
              <w:rPr>
                <w:rFonts w:ascii="Arial" w:cs="Arial" w:eastAsia="Arial" w:hAnsi="Arial"/>
                <w:sz w:val="18"/>
                <w:szCs w:val="18"/>
                <w:color w:val="auto"/>
              </w:rPr>
              <w:t>(1,222,040)</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KVSB Class B founder shares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7,347,249</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Conversion of KVSB Class K common stock</w:t>
            </w:r>
          </w:p>
        </w:tc>
        <w:tc>
          <w:tcPr>
            <w:tcW w:w="2600" w:type="dxa"/>
            <w:vAlign w:val="bottom"/>
          </w:tcPr>
          <w:p>
            <w:pPr>
              <w:jc w:val="right"/>
              <w:spacing w:after="0"/>
              <w:rPr>
                <w:sz w:val="20"/>
                <w:szCs w:val="20"/>
                <w:color w:val="auto"/>
              </w:rPr>
            </w:pPr>
            <w:r>
              <w:rPr>
                <w:rFonts w:ascii="Arial" w:cs="Arial" w:eastAsia="Arial" w:hAnsi="Arial"/>
                <w:sz w:val="18"/>
                <w:szCs w:val="18"/>
                <w:color w:val="auto"/>
              </w:rPr>
              <w:t>3,061,354</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to PIPE Investors</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27,000,000</w:t>
            </w: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Nextdoor Class A common stock</w:t>
            </w:r>
          </w:p>
        </w:tc>
        <w:tc>
          <w:tcPr>
            <w:tcW w:w="2600" w:type="dxa"/>
            <w:vAlign w:val="bottom"/>
          </w:tcPr>
          <w:p>
            <w:pPr>
              <w:jc w:val="right"/>
              <w:spacing w:after="0"/>
              <w:rPr>
                <w:sz w:val="20"/>
                <w:szCs w:val="20"/>
                <w:color w:val="auto"/>
              </w:rPr>
            </w:pPr>
            <w:r>
              <w:rPr>
                <w:rFonts w:ascii="Arial" w:cs="Arial" w:eastAsia="Arial" w:hAnsi="Arial"/>
                <w:sz w:val="18"/>
                <w:szCs w:val="18"/>
                <w:color w:val="auto"/>
              </w:rPr>
              <w:t>78,953,663</w:t>
            </w:r>
          </w:p>
        </w:tc>
      </w:tr>
      <w:tr>
        <w:trPr>
          <w:trHeight w:val="270"/>
        </w:trPr>
        <w:tc>
          <w:tcPr>
            <w:tcW w:w="8640" w:type="dxa"/>
            <w:vAlign w:val="bottom"/>
            <w:shd w:val="clear" w:color="auto" w:fill="CCEEFF"/>
          </w:tcPr>
          <w:p>
            <w:pPr>
              <w:spacing w:after="0"/>
              <w:rPr>
                <w:sz w:val="23"/>
                <w:szCs w:val="23"/>
                <w:color w:val="auto"/>
              </w:rPr>
            </w:pPr>
          </w:p>
        </w:tc>
        <w:tc>
          <w:tcPr>
            <w:tcW w:w="2600" w:type="dxa"/>
            <w:vAlign w:val="bottom"/>
            <w:shd w:val="clear" w:color="auto" w:fill="CCEEFF"/>
          </w:tcPr>
          <w:p>
            <w:pPr>
              <w:spacing w:after="0"/>
              <w:rPr>
                <w:sz w:val="23"/>
                <w:szCs w:val="23"/>
                <w:color w:val="auto"/>
              </w:rPr>
            </w:pPr>
          </w:p>
        </w:tc>
      </w:tr>
      <w:tr>
        <w:trPr>
          <w:trHeight w:val="230"/>
        </w:trPr>
        <w:tc>
          <w:tcPr>
            <w:tcW w:w="86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Conversion of Legacy Nextdoor common stock </w:t>
            </w:r>
            <w:r>
              <w:rPr>
                <w:rFonts w:ascii="Arial" w:cs="Arial" w:eastAsia="Arial" w:hAnsi="Arial"/>
                <w:sz w:val="23"/>
                <w:szCs w:val="23"/>
                <w:color w:val="auto"/>
                <w:vertAlign w:val="superscript"/>
              </w:rPr>
              <w:t>(1)</w:t>
            </w:r>
          </w:p>
        </w:tc>
        <w:tc>
          <w:tcPr>
            <w:tcW w:w="2600" w:type="dxa"/>
            <w:vAlign w:val="bottom"/>
          </w:tcPr>
          <w:p>
            <w:pPr>
              <w:jc w:val="right"/>
              <w:spacing w:after="0"/>
              <w:rPr>
                <w:sz w:val="20"/>
                <w:szCs w:val="20"/>
                <w:color w:val="auto"/>
              </w:rPr>
            </w:pPr>
            <w:r>
              <w:rPr>
                <w:rFonts w:ascii="Arial" w:cs="Arial" w:eastAsia="Arial" w:hAnsi="Arial"/>
                <w:sz w:val="18"/>
                <w:szCs w:val="18"/>
                <w:color w:val="auto"/>
              </w:rPr>
              <w:t>113,526,555</w:t>
            </w:r>
          </w:p>
        </w:tc>
      </w:tr>
      <w:tr>
        <w:trPr>
          <w:trHeight w:val="230"/>
        </w:trPr>
        <w:tc>
          <w:tcPr>
            <w:tcW w:w="8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Conversion of Legacy Nextdoor redeemable convertible preferred stock </w:t>
            </w:r>
            <w:r>
              <w:rPr>
                <w:rFonts w:ascii="Arial" w:cs="Arial" w:eastAsia="Arial" w:hAnsi="Arial"/>
                <w:sz w:val="23"/>
                <w:szCs w:val="23"/>
                <w:color w:val="auto"/>
                <w:vertAlign w:val="superscript"/>
              </w:rPr>
              <w:t>(2)</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190,477,421</w:t>
            </w: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Nextdoor Class B common stock</w:t>
            </w:r>
          </w:p>
        </w:tc>
        <w:tc>
          <w:tcPr>
            <w:tcW w:w="2600" w:type="dxa"/>
            <w:vAlign w:val="bottom"/>
          </w:tcPr>
          <w:p>
            <w:pPr>
              <w:jc w:val="right"/>
              <w:spacing w:after="0"/>
              <w:rPr>
                <w:sz w:val="20"/>
                <w:szCs w:val="20"/>
                <w:color w:val="auto"/>
              </w:rPr>
            </w:pPr>
            <w:r>
              <w:rPr>
                <w:rFonts w:ascii="Arial" w:cs="Arial" w:eastAsia="Arial" w:hAnsi="Arial"/>
                <w:sz w:val="18"/>
                <w:szCs w:val="18"/>
                <w:color w:val="auto"/>
              </w:rPr>
              <w:t>304,003,976</w:t>
            </w:r>
          </w:p>
        </w:tc>
      </w:tr>
      <w:tr>
        <w:trPr>
          <w:trHeight w:val="270"/>
        </w:trPr>
        <w:tc>
          <w:tcPr>
            <w:tcW w:w="8640" w:type="dxa"/>
            <w:vAlign w:val="bottom"/>
            <w:shd w:val="clear" w:color="auto" w:fill="CCEEFF"/>
          </w:tcPr>
          <w:p>
            <w:pPr>
              <w:spacing w:after="0"/>
              <w:rPr>
                <w:sz w:val="23"/>
                <w:szCs w:val="23"/>
                <w:color w:val="auto"/>
              </w:rPr>
            </w:pPr>
          </w:p>
        </w:tc>
        <w:tc>
          <w:tcPr>
            <w:tcW w:w="2600" w:type="dxa"/>
            <w:vAlign w:val="bottom"/>
            <w:tcBorders>
              <w:bottom w:val="single" w:sz="8" w:color="auto"/>
            </w:tcBorders>
            <w:shd w:val="clear" w:color="auto" w:fill="CCEEFF"/>
          </w:tcPr>
          <w:p>
            <w:pPr>
              <w:spacing w:after="0"/>
              <w:rPr>
                <w:sz w:val="23"/>
                <w:szCs w:val="23"/>
                <w:color w:val="auto"/>
              </w:rPr>
            </w:pP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Total shares of common stock immediately after Reverse Recapitalization</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382,957,639</w:t>
            </w:r>
          </w:p>
        </w:tc>
      </w:tr>
      <w:tr>
        <w:trPr>
          <w:trHeight w:val="20"/>
        </w:trPr>
        <w:tc>
          <w:tcPr>
            <w:tcW w:w="864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0" w:firstLine="8"/>
        <w:spacing w:after="0" w:line="273" w:lineRule="auto"/>
        <w:tabs>
          <w:tab w:leader="none" w:pos="204" w:val="left"/>
        </w:tabs>
        <w:numPr>
          <w:ilvl w:val="0"/>
          <w:numId w:val="10"/>
        </w:numPr>
        <w:rPr>
          <w:rFonts w:ascii="Arial" w:cs="Arial" w:eastAsia="Arial" w:hAnsi="Arial"/>
          <w:sz w:val="14"/>
          <w:szCs w:val="14"/>
          <w:color w:val="auto"/>
        </w:rPr>
      </w:pPr>
      <w:r>
        <w:rPr>
          <w:rFonts w:ascii="Arial" w:cs="Arial" w:eastAsia="Arial" w:hAnsi="Arial"/>
          <w:sz w:val="14"/>
          <w:szCs w:val="14"/>
          <w:color w:val="auto"/>
        </w:rPr>
        <w:t>Upon the completion of the Reverse Recapitalization, the 36,554,506 outstanding shares of Legacy Nextdoor common stock were converted into shares of Nextdoor Class B common stock using the Exchange Ratio.</w:t>
      </w:r>
    </w:p>
    <w:p>
      <w:pPr>
        <w:spacing w:after="0" w:line="133" w:lineRule="exact"/>
        <w:rPr>
          <w:rFonts w:ascii="Arial" w:cs="Arial" w:eastAsia="Arial" w:hAnsi="Arial"/>
          <w:sz w:val="14"/>
          <w:szCs w:val="14"/>
          <w:color w:val="auto"/>
        </w:rPr>
      </w:pPr>
    </w:p>
    <w:p>
      <w:pPr>
        <w:ind w:right="60" w:firstLine="8"/>
        <w:spacing w:after="0" w:line="293" w:lineRule="auto"/>
        <w:tabs>
          <w:tab w:leader="none" w:pos="204" w:val="left"/>
        </w:tabs>
        <w:numPr>
          <w:ilvl w:val="0"/>
          <w:numId w:val="10"/>
        </w:numPr>
        <w:rPr>
          <w:rFonts w:ascii="Arial" w:cs="Arial" w:eastAsia="Arial" w:hAnsi="Arial"/>
          <w:sz w:val="14"/>
          <w:szCs w:val="14"/>
          <w:color w:val="auto"/>
        </w:rPr>
      </w:pPr>
      <w:r>
        <w:rPr>
          <w:rFonts w:ascii="Arial" w:cs="Arial" w:eastAsia="Arial" w:hAnsi="Arial"/>
          <w:sz w:val="14"/>
          <w:szCs w:val="14"/>
          <w:color w:val="auto"/>
        </w:rPr>
        <w:t>Upon the completion of the Reverse Recapitalization, all 61,331,815 outstanding shares of Legacy Nextdoor redeemable convertible preferred stock converted into Legacy Nextdoor common stock on a one-to-one basis, which were then converted into shares of Nextdoor Class B common stock using the Exchange Ratio.</w:t>
      </w:r>
    </w:p>
    <w:p>
      <w:pPr>
        <w:spacing w:after="0" w:line="12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KVSB was treated as the “acquired” company for financial reporting purposes. Accordingly, the financial statements of Nextdoor represent the continuation of the financial statements of Legacy Nextdoor, with the Merger reflected as the equivalent of Nextdoor issuing common stock for the net assets of KVSB, accompanied by a recapitalization. The net assets of KVSB were recognized as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Closing at historical cost, with no goodwill or other intangible assets recorded. Operations prior to the Merger are those of Legacy Nextdoor and Legacy Nextdoor’s operations are the only ongoing operations of Nextdoor.</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Reverse Recapitalization, the Company raised $628.5 million of proceeds which included the contribution of $416.4 million of funds held in KVSB’s trust account, $0.2 million of cash held in KVSB’s operating cash account, and $270.0 million of proceeds from the PIPE Investment, net of $12.2 million paid to redeem 1,222,040 public shares of KVSB’s Class A common stock and $45.9 million in transaction costs incurred by KVSB. Legacy Nextdoor incurred $5.7 million of transaction costs, which consisted of direct incremental legal, accounting, consulting, and other fees which were recorded as deferred transaction costs and upon completion of the Reverse Recapitalization were reclassified to additional paid-in capital as a reduction of the net proceeds received.</w:t>
      </w:r>
    </w:p>
    <w:p>
      <w:pPr>
        <w:spacing w:after="0" w:line="1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shares and corresponding capital amounts and all per share data related to Legacy Nextdoor’s outstanding redeemable convertible preferred stock, common stock, and stock-based awards prior to the Reverse Recapitalization have been retroactively adjusted using the Exchange Ratio.</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Deferred Revenue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certain advertising arrangements the Company requires payment upfront from its customers. The Company records deferred revenue when it collects cash from customers in advance of revenue recognition. As of September 30, 2022 and December 31, 2021, deferred revenue was $5.4 million and $3.4 million, respectively, and included within accrued expenses and other current liabilities on the condensed consolidated balance sheets. For the three months ended September 30, 2022 and 2021, revenue recognized from deferred revenue at the beginning of each period was $2.6 million and $2.2 million, respectively. For the nine months ended September 30, 2022 and 2021, revenue recognized from deferred revenue at the beginning of each period was $2.9 million and $2.2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Cash Equivalents and Marketable Securities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costs, unrealized gains and losses, and estimated fair values of the Company’s cash equivalents and marketable securities were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400"/>
              <w:spacing w:after="0"/>
              <w:rPr>
                <w:sz w:val="20"/>
                <w:szCs w:val="20"/>
                <w:color w:val="auto"/>
              </w:rPr>
            </w:pPr>
            <w:r>
              <w:rPr>
                <w:rFonts w:ascii="Arial" w:cs="Arial" w:eastAsia="Arial" w:hAnsi="Arial"/>
                <w:sz w:val="14"/>
                <w:szCs w:val="14"/>
                <w:b w:val="1"/>
                <w:bCs w:val="1"/>
                <w:color w:val="auto"/>
              </w:rPr>
              <w:t>As of September 30, 2022</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3"/>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140" w:type="dxa"/>
            <w:vAlign w:val="bottom"/>
          </w:tcPr>
          <w:p>
            <w:pPr>
              <w:jc w:val="right"/>
              <w:ind w:right="293"/>
              <w:spacing w:after="0" w:line="133" w:lineRule="exact"/>
              <w:rPr>
                <w:sz w:val="20"/>
                <w:szCs w:val="20"/>
                <w:color w:val="auto"/>
              </w:rPr>
            </w:pPr>
            <w:r>
              <w:rPr>
                <w:rFonts w:ascii="Arial" w:cs="Arial" w:eastAsia="Arial" w:hAnsi="Arial"/>
                <w:sz w:val="14"/>
                <w:szCs w:val="14"/>
                <w:b w:val="1"/>
                <w:bCs w:val="1"/>
                <w:color w:val="auto"/>
              </w:rPr>
              <w:t>Estimated</w:t>
            </w:r>
          </w:p>
        </w:tc>
      </w:tr>
      <w:tr>
        <w:trPr>
          <w:trHeight w:val="192"/>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1140" w:type="dxa"/>
            <w:vAlign w:val="bottom"/>
          </w:tcPr>
          <w:p>
            <w:pPr>
              <w:jc w:val="right"/>
              <w:ind w:right="273"/>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45,996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45,996</w:t>
            </w:r>
          </w:p>
        </w:tc>
      </w:tr>
      <w:tr>
        <w:trPr>
          <w:trHeight w:val="230"/>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3,982</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37,168</w:t>
            </w:r>
          </w:p>
        </w:tc>
      </w:tr>
      <w:tr>
        <w:trPr>
          <w:trHeight w:val="230"/>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88,558</w:t>
            </w: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325,569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322,119</w:t>
            </w:r>
          </w:p>
        </w:tc>
      </w:tr>
      <w:tr>
        <w:trPr>
          <w:trHeight w:val="230"/>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47,638</w:t>
            </w:r>
          </w:p>
        </w:tc>
      </w:tr>
      <w:tr>
        <w:trPr>
          <w:trHeight w:val="230"/>
        </w:trPr>
        <w:tc>
          <w:tcPr>
            <w:tcW w:w="5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18,261</w:t>
            </w: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517,918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513,744</w:t>
            </w:r>
          </w:p>
        </w:tc>
      </w:tr>
      <w:tr>
        <w:trPr>
          <w:trHeight w:val="223"/>
        </w:trPr>
        <w:tc>
          <w:tcPr>
            <w:tcW w:w="554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571,978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567,804</w:t>
            </w: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3"/>
          </w:tcPr>
          <w:p>
            <w:pPr>
              <w:ind w:left="420"/>
              <w:spacing w:after="0"/>
              <w:rPr>
                <w:sz w:val="20"/>
                <w:szCs w:val="20"/>
                <w:color w:val="auto"/>
              </w:rPr>
            </w:pPr>
            <w:r>
              <w:rPr>
                <w:rFonts w:ascii="Arial" w:cs="Arial" w:eastAsia="Arial" w:hAnsi="Arial"/>
                <w:sz w:val="14"/>
                <w:szCs w:val="14"/>
                <w:b w:val="1"/>
                <w:bCs w:val="1"/>
                <w:color w:val="auto"/>
              </w:rPr>
              <w:t>As of December 31, 2021</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3"/>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122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Unrealized</w:t>
            </w:r>
          </w:p>
        </w:tc>
        <w:tc>
          <w:tcPr>
            <w:tcW w:w="10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294"/>
              <w:spacing w:after="0" w:line="133" w:lineRule="exact"/>
              <w:rPr>
                <w:sz w:val="20"/>
                <w:szCs w:val="20"/>
                <w:color w:val="auto"/>
              </w:rPr>
            </w:pPr>
            <w:r>
              <w:rPr>
                <w:rFonts w:ascii="Arial" w:cs="Arial" w:eastAsia="Arial" w:hAnsi="Arial"/>
                <w:sz w:val="14"/>
                <w:szCs w:val="14"/>
                <w:b w:val="1"/>
                <w:bCs w:val="1"/>
                <w:color w:val="auto"/>
              </w:rPr>
              <w:t>Estimated</w:t>
            </w:r>
          </w:p>
        </w:tc>
      </w:tr>
      <w:tr>
        <w:trPr>
          <w:trHeight w:val="192"/>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220" w:type="dxa"/>
            <w:vAlign w:val="bottom"/>
            <w:gridSpan w:val="2"/>
          </w:tcPr>
          <w:p>
            <w:pPr>
              <w:ind w:left="300"/>
              <w:spacing w:after="0"/>
              <w:rPr>
                <w:sz w:val="20"/>
                <w:szCs w:val="20"/>
                <w:color w:val="auto"/>
              </w:rPr>
            </w:pPr>
            <w:r>
              <w:rPr>
                <w:rFonts w:ascii="Arial" w:cs="Arial" w:eastAsia="Arial" w:hAnsi="Arial"/>
                <w:sz w:val="14"/>
                <w:szCs w:val="14"/>
                <w:b w:val="1"/>
                <w:bCs w:val="1"/>
                <w:color w:val="auto"/>
              </w:rPr>
              <w:t>Gain</w:t>
            </w:r>
          </w:p>
        </w:tc>
        <w:tc>
          <w:tcPr>
            <w:tcW w:w="1020" w:type="dxa"/>
            <w:vAlign w:val="bottom"/>
          </w:tcPr>
          <w:p>
            <w:pPr>
              <w:jc w:val="right"/>
              <w:ind w:right="119"/>
              <w:spacing w:after="0"/>
              <w:rPr>
                <w:sz w:val="20"/>
                <w:szCs w:val="20"/>
                <w:color w:val="auto"/>
              </w:rPr>
            </w:pPr>
            <w:r>
              <w:rPr>
                <w:rFonts w:ascii="Arial" w:cs="Arial" w:eastAsia="Arial" w:hAnsi="Arial"/>
                <w:sz w:val="14"/>
                <w:szCs w:val="14"/>
                <w:b w:val="1"/>
                <w:bCs w:val="1"/>
                <w:color w:val="auto"/>
              </w:rPr>
              <w:t>Loss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474,294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474,294</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83,728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83,728</w:t>
            </w: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78,363</w:t>
            </w: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3"/>
              </w:rPr>
              <w:t>(12)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15,188</w:t>
            </w: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16,720</w:t>
            </w:r>
          </w:p>
        </w:tc>
      </w:tr>
      <w:tr>
        <w:trPr>
          <w:trHeight w:val="223"/>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194,016</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(41)</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193,999</w:t>
            </w:r>
          </w:p>
        </w:tc>
      </w:tr>
      <w:tr>
        <w:trPr>
          <w:trHeight w:val="248"/>
        </w:trPr>
        <w:tc>
          <w:tcPr>
            <w:tcW w:w="5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668,310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668,293</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All marketable securities are designated as available-for-sale securities as of September 30, 2022 and December 31,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contractual maturities of the Company’s marketable securities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gridSpan w:val="4"/>
          </w:tcPr>
          <w:p>
            <w:pPr>
              <w:jc w:val="right"/>
              <w:ind w:right="955"/>
              <w:spacing w:after="0"/>
              <w:rPr>
                <w:sz w:val="20"/>
                <w:szCs w:val="20"/>
                <w:color w:val="auto"/>
              </w:rPr>
            </w:pPr>
            <w:r>
              <w:rPr>
                <w:rFonts w:ascii="Arial" w:cs="Arial" w:eastAsia="Arial" w:hAnsi="Arial"/>
                <w:sz w:val="14"/>
                <w:szCs w:val="14"/>
                <w:b w:val="1"/>
                <w:bCs w:val="1"/>
                <w:color w:val="auto"/>
              </w:rPr>
              <w:t>As of September 30, 2022</w:t>
            </w:r>
          </w:p>
        </w:tc>
      </w:tr>
      <w:tr>
        <w:trPr>
          <w:trHeight w:val="26"/>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4"/>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6"/>
                <w:szCs w:val="16"/>
                <w:color w:val="auto"/>
              </w:rPr>
            </w:pPr>
          </w:p>
        </w:tc>
        <w:tc>
          <w:tcPr>
            <w:tcW w:w="160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Estimated Fair Value</w:t>
            </w:r>
          </w:p>
        </w:tc>
      </w:tr>
      <w:tr>
        <w:trPr>
          <w:trHeight w:val="26"/>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431,827</w:t>
            </w:r>
          </w:p>
        </w:tc>
      </w:tr>
      <w:tr>
        <w:trPr>
          <w:trHeight w:val="230"/>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to four years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83,131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81,917</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517,918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513,744</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89"/>
        </w:trPr>
        <w:tc>
          <w:tcPr>
            <w:tcW w:w="7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60" w:type="dxa"/>
            <w:vAlign w:val="bottom"/>
            <w:gridSpan w:val="4"/>
          </w:tcPr>
          <w:p>
            <w:pPr>
              <w:jc w:val="right"/>
              <w:ind w:right="975"/>
              <w:spacing w:after="0"/>
              <w:rPr>
                <w:sz w:val="20"/>
                <w:szCs w:val="20"/>
                <w:color w:val="auto"/>
              </w:rPr>
            </w:pPr>
            <w:r>
              <w:rPr>
                <w:rFonts w:ascii="Arial" w:cs="Arial" w:eastAsia="Arial" w:hAnsi="Arial"/>
                <w:sz w:val="14"/>
                <w:szCs w:val="14"/>
                <w:b w:val="1"/>
                <w:bCs w:val="1"/>
                <w:color w:val="auto"/>
              </w:rPr>
              <w:t>As of December 31, 2021</w:t>
            </w:r>
          </w:p>
        </w:tc>
      </w:tr>
      <w:tr>
        <w:trPr>
          <w:trHeight w:val="25"/>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5"/>
        </w:trPr>
        <w:tc>
          <w:tcPr>
            <w:tcW w:w="7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9"/>
                <w:szCs w:val="19"/>
                <w:color w:val="auto"/>
              </w:rPr>
            </w:pPr>
          </w:p>
        </w:tc>
        <w:tc>
          <w:tcPr>
            <w:tcW w:w="160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Estimated Fair Value</w:t>
            </w:r>
          </w:p>
        </w:tc>
      </w:tr>
      <w:tr>
        <w:trPr>
          <w:trHeight w:val="25"/>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137,077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137,043</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to four years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56,956</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194,016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193,999</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75"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The Company’s financial assets and liabilities measured at fair value on a recurring basis are classified by level within the fair value hierarchy. There were no financial assets or liabilities measured using Level 3 inputs as of September 30, 2022 and December 31, 2021. The following table presents information about the Company’s financial assets that are measured at fair value on a recurring basis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960" w:type="dxa"/>
            <w:vAlign w:val="bottom"/>
            <w:gridSpan w:val="7"/>
          </w:tcPr>
          <w:p>
            <w:pPr>
              <w:jc w:val="center"/>
              <w:ind w:right="192"/>
              <w:spacing w:after="0"/>
              <w:rPr>
                <w:sz w:val="20"/>
                <w:szCs w:val="20"/>
                <w:color w:val="auto"/>
              </w:rPr>
            </w:pPr>
            <w:r>
              <w:rPr>
                <w:rFonts w:ascii="Arial" w:cs="Arial" w:eastAsia="Arial" w:hAnsi="Arial"/>
                <w:sz w:val="14"/>
                <w:szCs w:val="14"/>
                <w:b w:val="1"/>
                <w:bCs w:val="1"/>
                <w:color w:val="auto"/>
                <w:w w:val="92"/>
              </w:rPr>
              <w:t>Fair Value Measurement as of September 30, 2022</w:t>
            </w:r>
          </w:p>
        </w:tc>
      </w:tr>
      <w:tr>
        <w:trPr>
          <w:trHeight w:val="25"/>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5"/>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45,996</w:t>
            </w: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4,082</w:t>
            </w: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37,168</w:t>
            </w: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88,558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88,558</w:t>
            </w: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322,119</w:t>
            </w: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47,638</w:t>
            </w:r>
          </w:p>
        </w:tc>
      </w:tr>
      <w:tr>
        <w:trPr>
          <w:trHeight w:val="229"/>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18,261</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513,744</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513,744</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equivalents and marketable securities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521,808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567,804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960" w:type="dxa"/>
            <w:vAlign w:val="bottom"/>
            <w:gridSpan w:val="7"/>
          </w:tcPr>
          <w:p>
            <w:pPr>
              <w:jc w:val="center"/>
              <w:ind w:right="192"/>
              <w:spacing w:after="0"/>
              <w:rPr>
                <w:sz w:val="20"/>
                <w:szCs w:val="20"/>
                <w:color w:val="auto"/>
              </w:rPr>
            </w:pPr>
            <w:r>
              <w:rPr>
                <w:rFonts w:ascii="Arial" w:cs="Arial" w:eastAsia="Arial" w:hAnsi="Arial"/>
                <w:sz w:val="14"/>
                <w:szCs w:val="14"/>
                <w:b w:val="1"/>
                <w:bCs w:val="1"/>
                <w:color w:val="auto"/>
                <w:w w:val="92"/>
              </w:rPr>
              <w:t>Fair Value Measurement as of December 31, 2021</w:t>
            </w:r>
          </w:p>
        </w:tc>
      </w:tr>
      <w:tr>
        <w:trPr>
          <w:trHeight w:val="26"/>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29"/>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474,294</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83,728</w:t>
            </w: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78,363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78,363</w:t>
            </w: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15,188</w:t>
            </w: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16,720</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193,999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193,999</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 cash equivalents and marketable securities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474,294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193,999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668,293</w:t>
            </w:r>
          </w:p>
        </w:tc>
      </w:tr>
      <w:tr>
        <w:trPr>
          <w:trHeight w:val="21"/>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classifies its cash equivalents and marketable securities within Level 1 or Level 2 because it determines their fair values using quoted market prices or alternative pricing sources and models utilizing market observable inputs. There were no transfers between levels of the fair value hierarchy during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Other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Pr>
          <w:p>
            <w:pPr>
              <w:spacing w:after="0"/>
              <w:rPr>
                <w:sz w:val="16"/>
                <w:szCs w:val="16"/>
                <w:color w:val="auto"/>
              </w:rPr>
            </w:pPr>
          </w:p>
        </w:tc>
        <w:tc>
          <w:tcPr>
            <w:tcW w:w="146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As of December 31,</w:t>
            </w:r>
          </w:p>
        </w:tc>
      </w:tr>
      <w:tr>
        <w:trPr>
          <w:trHeight w:val="25"/>
        </w:trPr>
        <w:tc>
          <w:tcPr>
            <w:tcW w:w="7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79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3,388</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payable</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Liability for early exercise of unvested stock options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 and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15,444</w:t>
            </w: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 There were no such material matters as of September 30, 2022 and December 31, 2021.</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can be made. It is not possible to determine the maximum potential amount under these indemnification obligations due to the limited history of prior indemnification claims and the unique facts and circumstances involved in each particular agreement. For the three and nine months ended September 30, 2022 and 2021, the Company did not incur material costs to defend lawsuits or settle claims related to these indemnifications. The Company believes the fair value of these liabilities is not material and accordingly has no liabilities recorded for these agreements as of September 30, 2022 and December 31,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Finance Network Loan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June 29, 2022, the Company entered into a credit agreement with Opportunity Finance Network (“OFN”) to lend up to an aggregate of $15.0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unsecured, over the course of 24 months. OFN is a national network of community development financial institutions (“CDFIs”). OFN will use the loan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proceeds to make low-cost, fixed-rate loans to OFN-member CDFIs that on-lend those loan proceeds to fund affordable housing, community facilities,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small businesses, nonprofit organizations, consumer finance, and other eligible financing extended by such CDFIs. OFN may borrow in increments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 million or more and may not borrow more than $7.5 million within the first 12 months immediately following the closing date of June 29, 2022.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disbursement made by the Company will bear interest at a rate of 0.75% per annum and will be due quarterly from OFN. The outstanding principal,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accrued and unpaid interest, for each disbursement becomes due and payable 10 years following the disbursement date. As of September 30, 2022,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disbursements had been made related to this loan. In October 2022, the Company made a loan disbursement of $5.0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Common Stock and Stockholders’ Equity (Deficit)</w:t>
      </w:r>
    </w:p>
    <w:p>
      <w:pPr>
        <w:spacing w:after="0" w:line="162"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The shares and corresponding capital amounts and all per share data related to Legacy Nextdoor’s authorized and outstanding redeemable convertible preferred stock, common stock, and stock-based awards prior to the Reverse Recapitalization have been retroactively adjusted using the Exchange Ratio.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Repurchase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stock option grant agreements permit exercise prior to vesting. Upon termination of service of an employee, the Company has the right to repurchase any unvested, but issued, common stock at the original purchase price. The consideration received for an exercise of an option is accounted for as a deposit of the exercise price and is recorded as a liability. Upon vesting of the shares pursuant to the grant agreements, the shares and related liability are reclassified into stockholders’ equity (deficit). As of September 30, 2022 and December 31, 2021, the Company had $0.3 million and $0.7 million recorded in accrued expenses and other current liabilities related to 184,029 and 421,594 unvested shares of common stock subject to repurchase,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to Repurchase</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2018, an executive of the Company purchased 15,408,183 shares of restricted stock, subject to time-based service requirements, which vest over a forty-eight month period. The shares issued upon the purchase of restricted stock are considered to be legally issued and outstanding on the date of purchase and the executive has full voting rights. Upon termination of service, the Company may repurchase unvested shares acquired at a price equal to the price per share paid upon the exercise. Upon vesting of the shares pursuant to the grant agreements, the shares and related liability are reclassified into stockholders’ equity (deficit). As of September 30, 2022, the Company had $0.5 million recorded in deposits related to 321,006 unvested shares of common stock subject to repurchase. As of December 31, 2021, the Company had $4.8 million recorded in deposits related to 3,210,037 unvested shares of common stock subject to repurchase. For the three months ended September 30, 2022 and 2021, the Company recorded stock-based compensation expense of $1.1 million and $1.1 million, respectively, related to this restricted stock. For the nine months ended September 30, 2022 and 2021, the Company recorded stock-based compensation expense of $3.4 million and $3.4 million, respectively, related to this restricted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RSUs.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 of shares issued over the term of the 2021 ESPP, subject to adjustments for stock-splits, recapitalizations, or similar events, may not exceed 89,011,590 shares. In February 2022, the Company commenced its first offering period under the 2021 ESPP. During the three and nine months ended September 30, 2022, 551,765 shares of Class A common stock were purchased under the 2021 ESPP.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31, 2022, the Company’s Board of Directors authorized and approved a share repurchase program (the “Share Repurchase Program”) to repurchase up to $100.0 million in aggregate of the Company’s Class A common stock, with the authorization to expire on June 30, 2024. Repurchases of Class A common stock under the Share Repurchase Program may be made from time to time, on the open market, in privately negotiated transactions or by other methods, and in accordance with the limitations set forth in Rule 10b-18 promulgated under the Securities Exchange Act of 1934, as amended, and other applicable legal requirements. The timing of any repurchases will depend on market conditions and other investment opportunities, and will be made at the Company’s discretion. The Company currently anticipates that the Share Repurchase Program will extend through June 30, 2024, or such shorter period if $100.0 million in aggregate of shares of the Company’s Class A common stock have been repurchased. The Share Repurchase Program does not obligate the Company to repurchase any dollar amount or number of shares, and the program may be extended, modified, suspended, or discontinued at any time.</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the Company repurchases shares under the Share Repurchase Program, it reduces the common stock component of stockholders’ equity by the par value of the repurchased shares. The excess of the repurchase price over par value is recorded to additional paid-in capital. All repurchased shares are retired and become authorized and unissued shares.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 and nine months ended September 30, 2022, the Company repurchased and retired 20,190,611 and 23,251,703 shares of Class A common stock at an average purchase price of $3.31 and $3.32 per share for an aggregate repurchase price of $66.7 million and $77.2 million, respectively. As of September 30, 2022, the Company had $22.8 million available for future share repurchases under the Share Repurchase Program.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RSUs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three to four years. RSUs granted for Class A common stock generally vest on a quarterly basis over three to four years.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A summary of the Company’s stock option activity for the nine months ended September 30, 2022 and related information is as follows (in thousands, except per share data):</w:t>
      </w:r>
    </w:p>
    <w:tbl>
      <w:tblPr>
        <w:tblLayout w:type="fixed"/>
        <w:tblInd w:w="0" w:type="dxa"/>
        <w:tblCellMar>
          <w:top w:w="0" w:type="dxa"/>
          <w:left w:w="0" w:type="dxa"/>
          <w:bottom w:w="0" w:type="dxa"/>
          <w:right w:w="0" w:type="dxa"/>
        </w:tblCellMar>
      </w:tblPr>
      <w:tr>
        <w:trPr>
          <w:trHeight w:val="149"/>
        </w:trPr>
        <w:tc>
          <w:tcPr>
            <w:tcW w:w="5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4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 Options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Exercise Price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300" w:type="dxa"/>
            <w:vAlign w:val="bottom"/>
          </w:tcPr>
          <w:p>
            <w:pPr>
              <w:spacing w:after="0"/>
              <w:rPr>
                <w:sz w:val="17"/>
                <w:szCs w:val="17"/>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322,799</w:t>
            </w:r>
          </w:p>
        </w:tc>
        <w:tc>
          <w:tcPr>
            <w:tcW w:w="0" w:type="dxa"/>
            <w:vAlign w:val="bottom"/>
          </w:tcPr>
          <w:p>
            <w:pPr>
              <w:spacing w:after="0"/>
              <w:rPr>
                <w:sz w:val="1"/>
                <w:szCs w:val="1"/>
                <w:color w:val="auto"/>
              </w:rPr>
            </w:pP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6,736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forfeited or expired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(7,108)</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3.38</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September 30,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32,612</w:t>
            </w:r>
          </w:p>
        </w:tc>
        <w:tc>
          <w:tcPr>
            <w:tcW w:w="0" w:type="dxa"/>
            <w:vAlign w:val="bottom"/>
          </w:tcPr>
          <w:p>
            <w:pPr>
              <w:spacing w:after="0"/>
              <w:rPr>
                <w:sz w:val="1"/>
                <w:szCs w:val="1"/>
                <w:color w:val="auto"/>
              </w:rPr>
            </w:pPr>
          </w:p>
        </w:tc>
      </w:tr>
      <w:tr>
        <w:trPr>
          <w:trHeight w:val="224"/>
        </w:trPr>
        <w:tc>
          <w:tcPr>
            <w:tcW w:w="5540" w:type="dxa"/>
            <w:vAlign w:val="bottom"/>
          </w:tcPr>
          <w:p>
            <w:pPr>
              <w:ind w:left="20"/>
              <w:spacing w:after="0"/>
              <w:rPr>
                <w:sz w:val="20"/>
                <w:szCs w:val="20"/>
                <w:color w:val="auto"/>
              </w:rPr>
            </w:pPr>
            <w:r>
              <w:rPr>
                <w:rFonts w:ascii="Arial" w:cs="Arial" w:eastAsia="Arial" w:hAnsi="Arial"/>
                <w:sz w:val="18"/>
                <w:szCs w:val="18"/>
                <w:color w:val="auto"/>
              </w:rPr>
              <w:t>Options vested and exercisable at September 30, 2022</w:t>
            </w:r>
          </w:p>
        </w:tc>
        <w:tc>
          <w:tcPr>
            <w:tcW w:w="1360" w:type="dxa"/>
            <w:vAlign w:val="bottom"/>
          </w:tcPr>
          <w:p>
            <w:pPr>
              <w:jc w:val="right"/>
              <w:spacing w:after="0"/>
              <w:rPr>
                <w:sz w:val="20"/>
                <w:szCs w:val="20"/>
                <w:color w:val="auto"/>
              </w:rPr>
            </w:pPr>
            <w:r>
              <w:rPr>
                <w:rFonts w:ascii="Arial" w:cs="Arial" w:eastAsia="Arial" w:hAnsi="Arial"/>
                <w:sz w:val="18"/>
                <w:szCs w:val="18"/>
                <w:color w:val="auto"/>
              </w:rPr>
              <w:t>27,455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25,399</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intrinsic value is calculated as the difference between the exercise price of the underlying common stock option award and the fair value of the Company’s common stock as of the respective balance sheet date. The weighted average grant date fair value of options granted was $3.13 per share and $3.72 per share during the nine months ended September 30, 2022 and 2021, respectively.</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total number of shares vested during the nine months ended September 30, 2022 and 2021 was 10,106,948 and 12,072,437, respectively. The weighted average grant-date fair value of options vested was $2.69 per share and $1.98 per share during the nine months ended September 30, 2022 and 2021, respectively. The intrinsic value of the options exercised was $13.4 million and $22.8 million for the nine months ended September 30, 2022 and 2021, respectively.</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did not issue any grants to non-employees during the nine months ended September 30, 2022. The Company granted 19,640 options to non-employees during the nine months ended September 30, 2021.</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 summary of the Company’s RSU activity for the nine months ended September 30, 2022 and related information is as follows (in thousands, except per share data):</w:t>
      </w:r>
    </w:p>
    <w:tbl>
      <w:tblPr>
        <w:tblLayout w:type="fixed"/>
        <w:tblInd w:w="0" w:type="dxa"/>
        <w:tblCellMar>
          <w:top w:w="0" w:type="dxa"/>
          <w:left w:w="0" w:type="dxa"/>
          <w:bottom w:w="0" w:type="dxa"/>
          <w:right w:w="0" w:type="dxa"/>
        </w:tblCellMar>
      </w:tblPr>
      <w:tr>
        <w:trPr>
          <w:trHeight w:val="144"/>
        </w:trPr>
        <w:tc>
          <w:tcPr>
            <w:tcW w:w="7400" w:type="dxa"/>
            <w:vAlign w:val="bottom"/>
          </w:tcPr>
          <w:p>
            <w:pPr>
              <w:spacing w:after="0"/>
              <w:rPr>
                <w:sz w:val="12"/>
                <w:szCs w:val="12"/>
                <w:color w:val="auto"/>
              </w:rPr>
            </w:pPr>
          </w:p>
        </w:tc>
        <w:tc>
          <w:tcPr>
            <w:tcW w:w="18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jc w:val="right"/>
              <w:ind w:right="95"/>
              <w:spacing w:after="0" w:line="145" w:lineRule="exact"/>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RSUs granted</w:t>
            </w:r>
          </w:p>
        </w:tc>
        <w:tc>
          <w:tcPr>
            <w:tcW w:w="1880" w:type="dxa"/>
            <w:vAlign w:val="bottom"/>
          </w:tcPr>
          <w:p>
            <w:pPr>
              <w:jc w:val="right"/>
              <w:spacing w:after="0"/>
              <w:rPr>
                <w:sz w:val="20"/>
                <w:szCs w:val="20"/>
                <w:color w:val="auto"/>
              </w:rPr>
            </w:pPr>
            <w:r>
              <w:rPr>
                <w:rFonts w:ascii="Arial" w:cs="Arial" w:eastAsia="Arial" w:hAnsi="Arial"/>
                <w:sz w:val="18"/>
                <w:szCs w:val="18"/>
                <w:color w:val="auto"/>
              </w:rPr>
              <w:t>22,757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vested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 forfeited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assumptions were used to calculate the fair value of employee and non-employee stock option grants made during the following periods: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000" w:type="dxa"/>
            <w:vAlign w:val="bottom"/>
            <w:gridSpan w:val="3"/>
          </w:tcPr>
          <w:p>
            <w:pPr>
              <w:ind w:left="42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8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53.9% - 73.9%</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53.7% -54.5%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6.0</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6.3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 per share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$3.34 - $6.06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$4.92 - $6.83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stock-based compensation expense in the condensed consolidated statements of operations as follows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340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98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Arial" w:cs="Arial" w:eastAsia="Arial" w:hAnsi="Arial"/>
                <w:sz w:val="14"/>
                <w:szCs w:val="14"/>
                <w:b w:val="1"/>
                <w:bCs w:val="1"/>
                <w:color w:val="auto"/>
              </w:rPr>
              <w:t>2021</w:t>
            </w:r>
          </w:p>
        </w:tc>
      </w:tr>
      <w:tr>
        <w:trPr>
          <w:trHeight w:val="26"/>
        </w:trPr>
        <w:tc>
          <w:tcPr>
            <w:tcW w:w="4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9,630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25,914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13,954</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r>
      <w:tr>
        <w:trPr>
          <w:trHeight w:val="22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7,575</w:t>
            </w: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17,270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26,971</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there was $174.4 million of unrecognized stock-based compensation expense, which is expected to be recognized over a weighted average period of 2.4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Share Attributable to Common Stockholders</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As a result of the Reverse Recapitalization, the Company has retroactively adjusted the weighted average number of shares of common stock outstanding prior to the Closing by multiplying them by the Exchange Ratio of 3.1057 used to determine the number of shares of common stock into which they converted. In addition, as described in Note 3, the Reverse Recapitalization gave rise to Class A and Class B common stock. The following table sets forth the computation of basic and diluted net loss per share attributable to common stockholders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20" w:type="dxa"/>
            <w:vAlign w:val="bottom"/>
            <w:gridSpan w:val="8"/>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3640" w:type="dxa"/>
            <w:vAlign w:val="bottom"/>
            <w:gridSpan w:val="7"/>
          </w:tcPr>
          <w:p>
            <w:pPr>
              <w:jc w:val="right"/>
              <w:ind w:right="797"/>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3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r>
      <w:tr>
        <w:trPr>
          <w:trHeight w:val="203"/>
        </w:trPr>
        <w:tc>
          <w:tcPr>
            <w:tcW w:w="33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Class A</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4"/>
                <w:szCs w:val="14"/>
                <w:color w:val="auto"/>
              </w:rPr>
              <w:t>Class B</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4"/>
                <w:szCs w:val="14"/>
                <w:color w:val="auto"/>
              </w:rPr>
              <w:t>Common</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Class A</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4"/>
                <w:szCs w:val="14"/>
                <w:color w:val="auto"/>
              </w:rPr>
              <w:t>Class B</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4"/>
                <w:szCs w:val="14"/>
                <w:color w:val="auto"/>
              </w:rPr>
              <w:t>Common</w:t>
            </w: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w w:val="92"/>
              </w:rPr>
              <w:t>Net loss attributable to common stockholders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(14,142)</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(20,575)</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(19,363)</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(32,588)</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(71,920)</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(66,002)</w:t>
            </w:r>
          </w:p>
        </w:tc>
      </w:tr>
      <w:tr>
        <w:trPr>
          <w:trHeight w:val="175"/>
        </w:trPr>
        <w:tc>
          <w:tcPr>
            <w:tcW w:w="3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Weighted average shares used in computing</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5"/>
        </w:trPr>
        <w:tc>
          <w:tcPr>
            <w:tcW w:w="33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net loss per share attributable to Class A</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8"/>
        </w:trPr>
        <w:tc>
          <w:tcPr>
            <w:tcW w:w="33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6"/>
              </w:rPr>
              <w:t>and Class B common stockholders, basic</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153,877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223,879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262,587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102,495</w:t>
            </w:r>
          </w:p>
        </w:tc>
      </w:tr>
      <w:tr>
        <w:trPr>
          <w:trHeight w:val="175"/>
        </w:trPr>
        <w:tc>
          <w:tcPr>
            <w:tcW w:w="3380" w:type="dxa"/>
            <w:vAlign w:val="bottom"/>
          </w:tcPr>
          <w:p>
            <w:pPr>
              <w:ind w:left="20"/>
              <w:spacing w:after="0" w:line="176" w:lineRule="exact"/>
              <w:rPr>
                <w:sz w:val="20"/>
                <w:szCs w:val="20"/>
                <w:color w:val="auto"/>
              </w:rPr>
            </w:pPr>
            <w:r>
              <w:rPr>
                <w:rFonts w:ascii="Arial" w:cs="Arial" w:eastAsia="Arial" w:hAnsi="Arial"/>
                <w:sz w:val="18"/>
                <w:szCs w:val="18"/>
                <w:color w:val="auto"/>
                <w:w w:val="92"/>
              </w:rPr>
              <w:t>Net loss per share attributable to Class A and</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5"/>
        </w:trPr>
        <w:tc>
          <w:tcPr>
            <w:tcW w:w="3380" w:type="dxa"/>
            <w:vAlign w:val="bottom"/>
          </w:tcPr>
          <w:p>
            <w:pPr>
              <w:ind w:left="180"/>
              <w:spacing w:after="0" w:line="176" w:lineRule="exact"/>
              <w:rPr>
                <w:sz w:val="20"/>
                <w:szCs w:val="20"/>
                <w:color w:val="auto"/>
              </w:rPr>
            </w:pPr>
            <w:r>
              <w:rPr>
                <w:rFonts w:ascii="Arial" w:cs="Arial" w:eastAsia="Arial" w:hAnsi="Arial"/>
                <w:sz w:val="18"/>
                <w:szCs w:val="18"/>
                <w:color w:val="auto"/>
                <w:w w:val="96"/>
              </w:rPr>
              <w:t>Class B common stockholders, basic and</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(0.64)</w:t>
            </w:r>
          </w:p>
        </w:tc>
      </w:tr>
    </w:tbl>
    <w:p>
      <w:pPr>
        <w:spacing w:after="0" w:line="229"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net loss per share because such securities have an anti-dilutive impact due to losses reported (in thousands):</w:t>
      </w: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800" w:type="dxa"/>
            <w:vAlign w:val="bottom"/>
            <w:gridSpan w:val="3"/>
          </w:tcPr>
          <w:p>
            <w:pPr>
              <w:jc w:val="right"/>
              <w:ind w:right="692"/>
              <w:spacing w:after="0"/>
              <w:rPr>
                <w:sz w:val="20"/>
                <w:szCs w:val="20"/>
                <w:color w:val="auto"/>
              </w:rPr>
            </w:pPr>
            <w:r>
              <w:rPr>
                <w:rFonts w:ascii="Arial" w:cs="Arial" w:eastAsia="Arial" w:hAnsi="Arial"/>
                <w:sz w:val="14"/>
                <w:szCs w:val="14"/>
                <w:b w:val="1"/>
                <w:bCs w:val="1"/>
                <w:color w:val="auto"/>
              </w:rPr>
              <w:t>As of September 30,</w:t>
            </w:r>
          </w:p>
        </w:tc>
      </w:tr>
      <w:tr>
        <w:trPr>
          <w:trHeight w:val="25"/>
        </w:trPr>
        <w:tc>
          <w:tcPr>
            <w:tcW w:w="8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190,477</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Outstanding stock 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52,426</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60,595</w:t>
            </w:r>
          </w:p>
        </w:tc>
      </w:tr>
      <w:tr>
        <w:trPr>
          <w:trHeight w:val="27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RSUs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20,921</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Unvested early exercised stock options subject to repurchase</w:t>
            </w:r>
          </w:p>
        </w:tc>
        <w:tc>
          <w:tcPr>
            <w:tcW w:w="136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Shares issuable pursuant to the ESPP</w:t>
            </w:r>
          </w:p>
        </w:tc>
        <w:tc>
          <w:tcPr>
            <w:tcW w:w="1360" w:type="dxa"/>
            <w:vAlign w:val="bottom"/>
          </w:tcPr>
          <w:p>
            <w:pPr>
              <w:jc w:val="right"/>
              <w:spacing w:after="0"/>
              <w:rPr>
                <w:sz w:val="20"/>
                <w:szCs w:val="20"/>
                <w:color w:val="auto"/>
              </w:rPr>
            </w:pPr>
            <w:r>
              <w:rPr>
                <w:rFonts w:ascii="Arial" w:cs="Arial" w:eastAsia="Arial" w:hAnsi="Arial"/>
                <w:sz w:val="18"/>
                <w:szCs w:val="18"/>
                <w:color w:val="auto"/>
              </w:rPr>
              <w:t>2,539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Contingently issuable shares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76,398</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256,569</w:t>
            </w: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provision for income taxes for interim periods was determined using an estimate of its annual effective tax rate, adjusted for discrete items, if any, that arose during the period. Each quarter, the Company updates its estimate of the annual effective tax rate, and if the estimated annual effective tax rate changes, the Company makes a cumulative adjustment in such period.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quarterly tax provision, and estimate of its annual effective tax rate, is subject to variation due to several factors, including variability in pretax income or loss, the mix of jurisdictions to which such income or loss relates, tax law developments and changes in how the Company does business, such as acquisitions, intercompany transactions, or the Company’s corporate structure.</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recorded an income tax expense for the three months ended September 30, 2022 and 2021 of $0.3 million and less than $0.1 million, respectively, both of which were primarily related to foreign taxes. The Company recorded an income tax expense for the nine months ended September 30, 2022 and 2021 of $0.4 million and less than $0.1 million, respectively, both of which were primarily related to foreign taxes.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Geographical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geography based on the customers’ location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342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8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4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4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52,205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126,885</w:t>
            </w:r>
          </w:p>
        </w:tc>
      </w:tr>
      <w:tr>
        <w:trPr>
          <w:trHeight w:val="229"/>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5,985</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53,954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159,495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132,870</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long-lived assets are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The following discussion and analysis provides information which our management believes is relevant to an assessment and understanding of our consolidated results of operations and financial condition. The discussion should be read together with our unaudited condensed consolidated financial statements and related notes that are included elsewhere in this Quarterly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Quarterly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Nextdoor, our purpose is to cultivate a kinder world where everyone has a neighborhood they can rely on. Neighbors around the world turn to Nextdoor to receive trusted information, give and get help, get things done, and build real world connections with those nearby — neighbors, businesses, and public services. By fostering these connections, both online and in the real world, Nextdoor builds stronger, more vibrant, and more resilient neighborhoods. As of September 30, 2022, Nextdoor was in more than 300,000 neighborhoods around the world and in 1 in 3 households in the United States.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business metrics for the three months ended September 30, 2022 are as follows:</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Weekly Active Users (“WAUs”) were 38.3 million, an increase of 17% compared to the three months ended September 30,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Average revenue per weekly active user (“ARPU”) was $1.41, a decrease of 12% compared to the three months ended September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 as of and for the three and nine months ended September 30, 2022 are as follows:</w:t>
      </w:r>
    </w:p>
    <w:p>
      <w:pPr>
        <w:spacing w:after="0" w:line="171" w:lineRule="exact"/>
        <w:rPr>
          <w:sz w:val="20"/>
          <w:szCs w:val="20"/>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for the three months ended September 30, 2022 was $54.0 million, an increase of 2% compared to the three months ended September 30, 2021. Revenue for the nine months ended September 30, 2022 was $159.5 million, an increase of 20% compared to the nine months ended September 30, 2021.</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costs and expenses for the three months ended September 30, 2022 were $90.3 million, an increase of 26% compared to the three months ended September 30, 2021. Total costs and expenses for the nine months ended September 30, 2022 were $267.4 million, an increase of 35% compared to the nine months ended September 30, 2021.</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loss for the three months ended September 30, 2022 increased 79% to $(34.7) million, compared to $(19.4) million for the three months ended September 30, 2021. Net loss for the nine months ended September 30, 2022 increased 58% to $(104.5) million, compared to $(66.0) million for the nine months ended September 30, 2021.</w:t>
      </w:r>
    </w:p>
    <w:p>
      <w:pPr>
        <w:spacing w:after="0" w:line="129"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loss for the three months ended September 30, 2022 increased 138% to $(18.4) million, compared to $(7.7) million for the three months ended September 30, 2021. Adjusted EBITDA loss for the nine months ended September 30, 2022 increased 63% to $(58.3) million, compared to $(35.8) million for the nine months ended September 30, 2021.</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cash equivalents, and marketable securities were $604.5 million as of September 30, 2022.</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Non-GAAP Financial Measure</w:t>
      </w:r>
      <w:r>
        <w:rPr>
          <w:rFonts w:ascii="Arial" w:cs="Arial" w:eastAsia="Arial" w:hAnsi="Arial"/>
          <w:sz w:val="18"/>
          <w:szCs w:val="18"/>
          <w:color w:val="auto"/>
        </w:rPr>
        <w:t>” below for more information and for a reconciliation of net loss, the most directly comparable financial measure calculated and presented in accordance with U.S. generally accepted accounting principles (“GAAP”), to Adjusted EBITDA.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Transactions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November 5, 2021, we consummated the Business Combination and the PIPE Investment (as described in the unaudited condensed consolidated financial statements included elsewhere in this Quarterly Report) (collectively, the “Reverse Recapitalization”). Reported results from operations included herein prior to the Reverse Recapitalization are those of Legacy Nextdoor. Each share of Legacy Nextdoor common stock that was issued and outstanding immediately prior to the Closing Date, after giving effect to the conversion of all issued and outstanding shares of Legacy Nextdoor preferred stock to Legacy Nextdoor common stock, was canceled and converted into a number of shares of Nextdoor Class B common stock equal to the exchange ratio of 3.1057 as calculated in accordance with the Merger Agreement (“Exchange Ratio”) multiplied by the number of shares of Legacy Nextdoor common stock.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Merger was accounted for as a reverse recapitalization in accordance with GAAP. Under this method of accounting, KVSB was treated as the “acquired” company for financial reporting purposes. Accordingly, the financial statements of Nextdoor represent the continuation of the financial statements of Legacy Nextdoor, with the Merger reflected as the equivalent of Nextdoor issuing common stock for the net assets of KVSB, accompanied by a recapitalization. The net assets of KVSB were recognized as of the Closing at historical cost, with no goodwill or other intangible assets recorded. Operations prior to the Merger are those of Legacy Nextdoor and Legacy Nextdoor’s operations are the only ongoing operations of Nextdoor.</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the measures presented in our unaudited condensed consolidated financial statements, we use the following key business metrics to evaluate our business, measure our performance, develop financial forecasts, and make strategic decisions: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Weekly Active Users</w:t>
      </w:r>
    </w:p>
    <w:p>
      <w:pPr>
        <w:spacing w:after="0" w:line="17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define a WAU as a Nextdoor user who opens our application, logs on to our website, or engages with an email with monetizable content at least once during a defined 7-day period.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We calculate average WAUs for a particular period by calculating the count of unique users, on a rolling basis for the past seven days, for each day of that period, and dividing that sum by the number of days in that period. We assess the health of our business by measuring WAUs because we believe that weekly usage best captures the cadence at which we expect a healthy user base to engage with, and derive the most utility from our platform, and by extension their neighborhood. We also present WAUs by geography because we are more advanced in engagement and monetization in the United States than internationally.</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September 2021, Apple released changes to the Apple email client available on its operating systems, including iOS 15 and iPadOS 15, which limit our ability to measure user engagement with emails containing monetizable content for users that use the Apple email client. The introduction of these changes impacts our ability to accurately calculate a portion of WAUs for periods following the adoption of the updated operating systems. Following this introduction, we use estimates for these user engagement numbers based on historical data sets, as well as data from users who engage with Nextdoor’s monetizable content on email clients other than Apple email.</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WAU for the three months ended September 30, 2022 and 2021 were 38.3 million and 32.8 million, respectively, which represents 17% growth period over period. As illustrated below, our international WAUs have generally grown at a faster rate than our U.S. WAUs, and we expect this international growth to continue to outpace U.S. growth in the near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8" w:lineRule="exact"/>
        <w:rPr>
          <w:sz w:val="20"/>
          <w:szCs w:val="20"/>
          <w:color w:val="auto"/>
        </w:rPr>
      </w:pPr>
    </w:p>
    <w:p>
      <w:pPr>
        <w:jc w:val="both"/>
        <w:ind w:firstLine="8"/>
        <w:spacing w:after="0" w:line="227" w:lineRule="auto"/>
        <w:tabs>
          <w:tab w:leader="none" w:pos="103"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Emails with monetizable content are emails with a primary purpose to regularly inform users about topics that are relevant to them, and are therefore appropriate for delivering ads to users. These emails comprise almost all of the emails that we send our users and include, but are not limited to, new, trending and top posts, weekly and anytime digests, welcome emails and urgent and emergency alerts. We earn revenue from delivery of ad impressions in emails with monetizable content on either a cost per thousand (“CPM”) basis, a cost per click (“CPC”) basis or on a fixed-fee basis. While we have the ability to serve ads in all emails with monetizable content, we currently only do so on a portion of the total.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Average Weekly Active Users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117475</wp:posOffset>
            </wp:positionV>
            <wp:extent cx="5314950" cy="5734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4950" cy="573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Weekly Active User (ARPU)</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generate revenue primarily from advertising. We measure monetization of our platform through our ARPU metric. We define ARPU as our total revenue in that geography during a period divided by the average of the number of WAUs in that geography during the same period. We present ARPU on a U.S. and international basis because we are more advanced in our monetization in the United States than internationally.</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U.S. ARPU is higher primarily due to our decision to focus our earliest monetization efforts there, the size and maturity of our audience in the United States, as well the size of the U.S. advertising market. For purposes of calculating ARPU, revenue by user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geography is apportioned to each region based on a determination of the location of the account where the revenue-generating activities occur. Our ARPU for the three months ended September 30, 2022 and 2021 was $1.41 and $1.61, respectively.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ARPU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120015</wp:posOffset>
            </wp:positionV>
            <wp:extent cx="5314950" cy="5726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4950" cy="572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We generate substantially all of our revenue from the delivery of advertisements on our platform which includes the delivery of advertising impressions sold on a CPM basis and CPC basis, as well as on a fixed-fee basis. The majority of our revenue is generated in the United States.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Cost of revenue consists primarily of expenses associated with the delivery of our revenue generating activities, including the third-party cost of hosting our platform and allocated personnel-related costs, which include salaries, benefits, and stock-based compensation for employees engaged in development of our revenue generating products. Cost of revenue also includes third-party costs associated with delivering and supporting our advertising products and credit card transaction fees related to processing customer transactions.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cost of revenue will increase on an absolute dollar basis as neighbor activity on our platform increases. While we expect to realize scale benefits over time, our cost of revenue as a percentage of revenue may vary from period-to-period and is expected to increase modestly over the near and medium term as we invest in new products and features to further increase platform engagement.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Research and development expenses consist primarily of personnel-related costs, including salaries, benefits,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spacing w:after="0" w:line="1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expect research and development expenses will increase on an absolute dollar basis due to investments that we are making in our platform. We expect that research and development expenses as a percentage of revenue will vary from period-to-period over the short term and decrease over the long term.</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Sales and marketing expenses consist of personnel-related and other costs which include salaries, commissions, benefits,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small and mid-sized customer acquisition, and neighbor services, which includes personnel-related costs for our neighbor support team, our outsourced neighbor support function, and verification costs.</w:t>
      </w:r>
    </w:p>
    <w:p>
      <w:pPr>
        <w:spacing w:after="0" w:line="1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Performance marketing costs related to user acquisition largely consist of the distribution of mailed invitations and, to a lesser extent, digital advertising. Performance marketing costs related to small and mid-sized customer acquisition largely consists of digital advertising and, to a lesser extent, direct mail campaigns.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sales and marketing expenses will increase on an absolute dollar basis due to continued investment in sales activities, increased investment in marketing to acquire users, small and mid-sized customers, and further investment in international expansion. We expect sales and marketing expenses as a percentage of revenue will vary from period-to-period over the short term and decrease over the long term.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General and administrative expenses consist primarily of personnel-related costs, including salaries, benefits,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spacing w:after="0" w:line="8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expect general and administrative expenses will increase on an absolute dollar basis for the foreseeable future to support our growth as well as due to additional costs associated with legal, accounting, compliance, investor relations, and other costs as a result of operating as a public company. We expect general and administrative expenses as a percentage of revenue will vary from period-to-period over the short term and decrease over the long term.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our cash, cash equivalents, and marketable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consists primarily of unrealized gains and losses from the re-measurement of monetary assets and liabilities denominated in non-functional currencies, and foreign currency transaction gains and losses.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results of operations presented below should be reviewed in conjunction with our unaudited condensed consolidated financial statements and related notes thereto included elsewhere in this Quarterly Report. The following table sets forth our unaudited condensed consolidated results of operations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5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line="230" w:lineRule="exact"/>
              <w:rPr>
                <w:sz w:val="20"/>
                <w:szCs w:val="20"/>
                <w:color w:val="auto"/>
              </w:rPr>
            </w:pPr>
            <w:r>
              <w:rPr>
                <w:rFonts w:ascii="Arial" w:cs="Arial" w:eastAsia="Arial" w:hAnsi="Arial"/>
                <w:sz w:val="18"/>
                <w:szCs w:val="18"/>
                <w:color w:val="auto"/>
              </w:rPr>
              <w:t>Costs and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20,308</w:t>
            </w:r>
          </w:p>
        </w:tc>
        <w:tc>
          <w:tcPr>
            <w:tcW w:w="0" w:type="dxa"/>
            <w:vAlign w:val="bottom"/>
          </w:tcPr>
          <w:p>
            <w:pPr>
              <w:spacing w:after="0"/>
              <w:rPr>
                <w:sz w:val="1"/>
                <w:szCs w:val="1"/>
                <w:color w:val="auto"/>
              </w:rPr>
            </w:pPr>
          </w:p>
        </w:tc>
      </w:tr>
      <w:tr>
        <w:trPr>
          <w:trHeight w:val="229"/>
        </w:trPr>
        <w:tc>
          <w:tcPr>
            <w:tcW w:w="53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69,612</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76,698</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31,793</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267,368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198,411</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(107,873)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(65,541)</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(65,906)</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(34,717)</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(104,508)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320" w:type="dxa"/>
            <w:vAlign w:val="bottom"/>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5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24"/>
                <w:szCs w:val="24"/>
                <w:color w:val="auto"/>
              </w:rPr>
            </w:pPr>
          </w:p>
        </w:tc>
        <w:tc>
          <w:tcPr>
            <w:tcW w:w="268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5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13,954</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The following table sets forth the components of our unaudited condensed consolidated statements of operations as a percentage of revenue for each of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12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100" w:type="dxa"/>
            <w:vAlign w:val="bottom"/>
            <w:gridSpan w:val="3"/>
          </w:tcPr>
          <w:p>
            <w:pPr>
              <w:jc w:val="right"/>
              <w:ind w:right="3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50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4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4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1520" w:type="dxa"/>
            <w:vAlign w:val="bottom"/>
          </w:tcPr>
          <w:p>
            <w:pPr>
              <w:ind w:left="10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14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14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95"/>
              </w:rPr>
              <w:t>(50)%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Note: Certain figures may not sum due to rounding.</w:t>
      </w:r>
    </w:p>
    <w:p>
      <w:pPr>
        <w:spacing w:after="0" w:line="177" w:lineRule="exact"/>
        <w:rPr>
          <w:sz w:val="20"/>
          <w:szCs w:val="20"/>
          <w:color w:val="auto"/>
        </w:rPr>
      </w:pPr>
    </w:p>
    <w:p>
      <w:pPr>
        <w:ind w:right="5100"/>
        <w:spacing w:after="0" w:line="459" w:lineRule="auto"/>
        <w:rPr>
          <w:sz w:val="20"/>
          <w:szCs w:val="20"/>
          <w:color w:val="auto"/>
        </w:rPr>
      </w:pPr>
      <w:r>
        <w:rPr>
          <w:rFonts w:ascii="Arial" w:cs="Arial" w:eastAsia="Arial" w:hAnsi="Arial"/>
          <w:sz w:val="18"/>
          <w:szCs w:val="18"/>
          <w:b w:val="1"/>
          <w:bCs w:val="1"/>
          <w:color w:val="auto"/>
        </w:rPr>
        <w:t xml:space="preserve">Comparison of the Three and Nine Months Ended September 30, 2022 and 2021 </w:t>
      </w:r>
      <w:r>
        <w:rPr>
          <w:rFonts w:ascii="Arial" w:cs="Arial" w:eastAsia="Arial" w:hAnsi="Arial"/>
          <w:sz w:val="18"/>
          <w:szCs w:val="18"/>
          <w:b w:val="1"/>
          <w:bCs w:val="1"/>
          <w:i w:val="1"/>
          <w:iCs w:val="1"/>
          <w:color w:val="auto"/>
        </w:rPr>
        <w:t>Revenue</w:t>
      </w:r>
    </w:p>
    <w:tbl>
      <w:tblPr>
        <w:tblLayout w:type="fixed"/>
        <w:tblInd w:w="0" w:type="dxa"/>
        <w:tblCellMar>
          <w:top w:w="0" w:type="dxa"/>
          <w:left w:w="0" w:type="dxa"/>
          <w:bottom w:w="0" w:type="dxa"/>
          <w:right w:w="0" w:type="dxa"/>
        </w:tblCellMar>
      </w:tblPr>
      <w:tr>
        <w:trPr>
          <w:trHeight w:val="145"/>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5"/>
          </w:tcPr>
          <w:p>
            <w:pPr>
              <w:jc w:val="center"/>
              <w:ind w:right="39"/>
              <w:spacing w:after="0" w:line="145" w:lineRule="exact"/>
              <w:rPr>
                <w:sz w:val="20"/>
                <w:szCs w:val="20"/>
                <w:color w:val="auto"/>
              </w:rPr>
            </w:pPr>
            <w:r>
              <w:rPr>
                <w:rFonts w:ascii="Arial" w:cs="Arial" w:eastAsia="Arial" w:hAnsi="Arial"/>
                <w:sz w:val="14"/>
                <w:szCs w:val="14"/>
                <w:b w:val="1"/>
                <w:bCs w:val="1"/>
                <w:color w:val="auto"/>
                <w:w w:val="93"/>
              </w:rPr>
              <w:t>Three Months Ended September</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8"/>
              </w:rPr>
              <w:t>Nine Months Ended September 30,</w:t>
            </w:r>
          </w:p>
        </w:tc>
        <w:tc>
          <w:tcPr>
            <w:tcW w:w="300" w:type="dxa"/>
            <w:vAlign w:val="bottom"/>
          </w:tcPr>
          <w:p>
            <w:pPr>
              <w:spacing w:after="0"/>
              <w:rPr>
                <w:sz w:val="12"/>
                <w:szCs w:val="12"/>
                <w:color w:val="auto"/>
              </w:rPr>
            </w:pPr>
          </w:p>
        </w:tc>
        <w:tc>
          <w:tcPr>
            <w:tcW w:w="126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w w:val="81"/>
              </w:rPr>
              <w:t>30,</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6"/>
            <w:vMerge w:val="continue"/>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840" w:type="dxa"/>
            <w:vAlign w:val="bottom"/>
          </w:tcPr>
          <w:p>
            <w:pPr>
              <w:ind w:left="20"/>
              <w:spacing w:after="0" w:line="122" w:lineRule="exact"/>
              <w:rPr>
                <w:sz w:val="20"/>
                <w:szCs w:val="20"/>
                <w:color w:val="auto"/>
              </w:rPr>
            </w:pPr>
            <w:r>
              <w:rPr>
                <w:rFonts w:ascii="Arial" w:cs="Arial" w:eastAsia="Arial" w:hAnsi="Arial"/>
                <w:sz w:val="14"/>
                <w:szCs w:val="14"/>
                <w:i w:val="1"/>
                <w:iCs w:val="1"/>
                <w:color w:val="auto"/>
              </w:rPr>
              <w:t>(in thousands, except</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262"/>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882"/>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184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1,249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159,495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26,625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Revenue increased by $1.2 million, or 2%, for the three months ended September 30, 2022 compared to the three months ended September 30, 2021. The increase was primarily due to increased advertiser demand for our product offerings, our growing sales team, and increased user engagement as measured by a 17% increase in Q3 WAUs. ARPU decreased 12% in the three months ended September 30, 2022 compared to the three months ended September 30, 2021, reflecting stronger year-over-year WAU growth relative to revenue growth.</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Revenue increased by $26.6 million, or 20%, for the nine months ended September 30, 2022 compared to the nine months ended September 30, 2021. The increase was primarily due to increased advertiser demand for our product offerings, and increased user engagement as measured by a 25% increase in WAUs. Year-to-date ARPU decreased 4% in the nine months ended September 30, 2022 compared to the nine months ended September 30, 2021, reflecting stronger year-over WAU growth relative to revenue growth.</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23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4"/>
              </w:rPr>
              <w:t>Three Months Ended September</w:t>
            </w:r>
          </w:p>
        </w:tc>
        <w:tc>
          <w:tcPr>
            <w:tcW w:w="300" w:type="dxa"/>
            <w:vAlign w:val="bottom"/>
          </w:tcPr>
          <w:p>
            <w:pPr>
              <w:spacing w:after="0"/>
              <w:rPr>
                <w:sz w:val="14"/>
                <w:szCs w:val="14"/>
                <w:color w:val="auto"/>
              </w:rPr>
            </w:pPr>
          </w:p>
        </w:tc>
        <w:tc>
          <w:tcPr>
            <w:tcW w:w="12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8"/>
              </w:rPr>
              <w:t>Nine Months Ended September 30,</w:t>
            </w:r>
          </w:p>
        </w:tc>
        <w:tc>
          <w:tcPr>
            <w:tcW w:w="580" w:type="dxa"/>
            <w:vAlign w:val="bottom"/>
          </w:tcPr>
          <w:p>
            <w:pPr>
              <w:spacing w:after="0"/>
              <w:rPr>
                <w:sz w:val="14"/>
                <w:szCs w:val="14"/>
                <w:color w:val="auto"/>
              </w:rPr>
            </w:pPr>
          </w:p>
        </w:tc>
        <w:tc>
          <w:tcPr>
            <w:tcW w:w="9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840" w:type="dxa"/>
            <w:vAlign w:val="bottom"/>
          </w:tcPr>
          <w:p>
            <w:pPr>
              <w:ind w:left="20"/>
              <w:spacing w:after="0" w:line="130" w:lineRule="exact"/>
              <w:rPr>
                <w:sz w:val="20"/>
                <w:szCs w:val="20"/>
                <w:color w:val="auto"/>
              </w:rPr>
            </w:pPr>
            <w:r>
              <w:rPr>
                <w:rFonts w:ascii="Arial" w:cs="Arial" w:eastAsia="Arial" w:hAnsi="Arial"/>
                <w:sz w:val="14"/>
                <w:szCs w:val="14"/>
                <w:i w:val="1"/>
                <w:iCs w:val="1"/>
                <w:color w:val="auto"/>
              </w:rPr>
              <w:t>(in thousands, except</w:t>
            </w:r>
          </w:p>
        </w:tc>
        <w:tc>
          <w:tcPr>
            <w:tcW w:w="2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8,816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56" w:lineRule="auto"/>
        <w:rPr>
          <w:sz w:val="20"/>
          <w:szCs w:val="20"/>
          <w:color w:val="auto"/>
        </w:rPr>
      </w:pPr>
      <w:r>
        <w:rPr>
          <w:rFonts w:ascii="Arial" w:cs="Arial" w:eastAsia="Arial" w:hAnsi="Arial"/>
          <w:sz w:val="16"/>
          <w:szCs w:val="16"/>
          <w:color w:val="auto"/>
        </w:rPr>
        <w:t>Cost of revenue increased by $2.5 million, or 34%, for the three months ended September 30, 2022 compared to the three months ended September 30, 2021. The increase was primarily due to $1.5 million higher third-party hosting costs due to increased user growth and engagement, a $0.7 million increase in allocated personnel-related costs, and a $0.3 million increase in third-party costs associated with delivering and supporting our advertising products.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56" w:lineRule="auto"/>
        <w:rPr>
          <w:sz w:val="20"/>
          <w:szCs w:val="20"/>
          <w:color w:val="auto"/>
        </w:rPr>
      </w:pPr>
      <w:r>
        <w:rPr>
          <w:rFonts w:ascii="Arial" w:cs="Arial" w:eastAsia="Arial" w:hAnsi="Arial"/>
          <w:sz w:val="16"/>
          <w:szCs w:val="16"/>
          <w:color w:val="auto"/>
        </w:rPr>
        <w:t>Cost of revenue increased by $8.8 million, or 43%, for the nine months ended September 30, 2022 compared to the nine months ended September 30, 2021. The increase was primarily due to $5.1 million higher third-party hosting costs due to increased user growth and engagement, a $1.9 million increase in allocated personnel-related costs, and a $1.1 million increase in third-party costs associated with delivering and supporting our advertising products.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3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Three Months Ended September</w:t>
            </w:r>
          </w:p>
        </w:tc>
        <w:tc>
          <w:tcPr>
            <w:tcW w:w="300" w:type="dxa"/>
            <w:vAlign w:val="bottom"/>
          </w:tcPr>
          <w:p>
            <w:pPr>
              <w:spacing w:after="0"/>
              <w:rPr>
                <w:sz w:val="14"/>
                <w:szCs w:val="14"/>
                <w:color w:val="auto"/>
              </w:rPr>
            </w:pPr>
          </w:p>
        </w:tc>
        <w:tc>
          <w:tcPr>
            <w:tcW w:w="122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8"/>
              </w:rPr>
              <w:t>Nine Months Ended September 30,</w:t>
            </w:r>
          </w:p>
        </w:tc>
        <w:tc>
          <w:tcPr>
            <w:tcW w:w="300" w:type="dxa"/>
            <w:vAlign w:val="bottom"/>
          </w:tcPr>
          <w:p>
            <w:pPr>
              <w:spacing w:after="0"/>
              <w:rPr>
                <w:sz w:val="14"/>
                <w:szCs w:val="14"/>
                <w:color w:val="auto"/>
              </w:rPr>
            </w:pPr>
          </w:p>
        </w:tc>
        <w:tc>
          <w:tcPr>
            <w:tcW w:w="124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6"/>
            <w:vMerge w:val="continue"/>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860" w:type="dxa"/>
            <w:vAlign w:val="bottom"/>
          </w:tcPr>
          <w:p>
            <w:pPr>
              <w:ind w:left="20"/>
              <w:spacing w:after="0" w:line="122" w:lineRule="exact"/>
              <w:rPr>
                <w:sz w:val="20"/>
                <w:szCs w:val="20"/>
                <w:color w:val="auto"/>
              </w:rPr>
            </w:pPr>
            <w:r>
              <w:rPr>
                <w:rFonts w:ascii="Arial" w:cs="Arial" w:eastAsia="Arial" w:hAnsi="Arial"/>
                <w:sz w:val="14"/>
                <w:szCs w:val="14"/>
                <w:i w:val="1"/>
                <w:iCs w:val="1"/>
                <w:color w:val="auto"/>
              </w:rPr>
              <w:t>(in thousands, except</w:t>
            </w: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186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8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Research and</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33,398</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7,937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25,445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Research and development expenses increased by $7.9 million, or 31%, for the three months ended September 30, 2022 compared to the three months ended September 30, 2021. The increase was primarily due to a $7.2 million increase in personnel-related costs primarily driven by an increase in headcount and a $0.5 million increase in third-party software costs.</w:t>
      </w:r>
    </w:p>
    <w:p>
      <w:pPr>
        <w:spacing w:after="0" w:line="134" w:lineRule="exact"/>
        <w:rPr>
          <w:sz w:val="20"/>
          <w:szCs w:val="20"/>
          <w:color w:val="auto"/>
        </w:rPr>
      </w:pPr>
    </w:p>
    <w:p>
      <w:pPr>
        <w:jc w:val="both"/>
        <w:spacing w:after="0" w:line="356" w:lineRule="auto"/>
        <w:rPr>
          <w:sz w:val="20"/>
          <w:szCs w:val="20"/>
          <w:color w:val="auto"/>
        </w:rPr>
      </w:pPr>
      <w:r>
        <w:rPr>
          <w:rFonts w:ascii="Arial" w:cs="Arial" w:eastAsia="Arial" w:hAnsi="Arial"/>
          <w:sz w:val="16"/>
          <w:szCs w:val="16"/>
          <w:color w:val="auto"/>
        </w:rPr>
        <w:t>Research and development expenses increased by $25.4 million, or 37%, for the nine months ended September 30, 2022 compared to the nine months ended September 30, 2021. The increase was primarily due to a $21.4 million increase in personnel-related costs primarily driven by an increase in headcount, a $2.2 million increase in third-party software costs, and a $0.9 million increase in allocated overhead costs reflecting an increase in headcount.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230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September</w:t>
            </w:r>
          </w:p>
        </w:tc>
        <w:tc>
          <w:tcPr>
            <w:tcW w:w="300" w:type="dxa"/>
            <w:vAlign w:val="bottom"/>
          </w:tcPr>
          <w:p>
            <w:pPr>
              <w:spacing w:after="0"/>
              <w:rPr>
                <w:sz w:val="14"/>
                <w:szCs w:val="14"/>
                <w:color w:val="auto"/>
              </w:rPr>
            </w:pPr>
          </w:p>
        </w:tc>
        <w:tc>
          <w:tcPr>
            <w:tcW w:w="12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8"/>
              </w:rPr>
              <w:t>Nine Months Ended September 30,</w:t>
            </w:r>
          </w:p>
        </w:tc>
        <w:tc>
          <w:tcPr>
            <w:tcW w:w="300" w:type="dxa"/>
            <w:vAlign w:val="bottom"/>
          </w:tcPr>
          <w:p>
            <w:pPr>
              <w:spacing w:after="0"/>
              <w:rPr>
                <w:sz w:val="14"/>
                <w:szCs w:val="14"/>
                <w:color w:val="auto"/>
              </w:rPr>
            </w:pPr>
          </w:p>
        </w:tc>
        <w:tc>
          <w:tcPr>
            <w:tcW w:w="124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840" w:type="dxa"/>
            <w:vAlign w:val="bottom"/>
          </w:tcPr>
          <w:p>
            <w:pPr>
              <w:ind w:left="20"/>
              <w:spacing w:after="0" w:line="130" w:lineRule="exact"/>
              <w:rPr>
                <w:sz w:val="20"/>
                <w:szCs w:val="20"/>
                <w:color w:val="auto"/>
              </w:rPr>
            </w:pPr>
            <w:r>
              <w:rPr>
                <w:rFonts w:ascii="Arial" w:cs="Arial" w:eastAsia="Arial" w:hAnsi="Arial"/>
                <w:sz w:val="14"/>
                <w:szCs w:val="14"/>
                <w:i w:val="1"/>
                <w:iCs w:val="1"/>
                <w:color w:val="auto"/>
              </w:rPr>
              <w:t>(in thousands, except</w:t>
            </w:r>
          </w:p>
        </w:tc>
        <w:tc>
          <w:tcPr>
            <w:tcW w:w="2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43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4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Personnel-related and</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19,451</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188"/>
        </w:trPr>
        <w:tc>
          <w:tcPr>
            <w:tcW w:w="1840" w:type="dxa"/>
            <w:vAlign w:val="bottom"/>
          </w:tcPr>
          <w:p>
            <w:pPr>
              <w:ind w:left="20"/>
              <w:spacing w:after="0" w:line="189" w:lineRule="exact"/>
              <w:rPr>
                <w:sz w:val="20"/>
                <w:szCs w:val="20"/>
                <w:color w:val="auto"/>
              </w:rPr>
            </w:pPr>
            <w:r>
              <w:rPr>
                <w:rFonts w:ascii="Arial" w:cs="Arial" w:eastAsia="Arial" w:hAnsi="Arial"/>
                <w:sz w:val="18"/>
                <w:szCs w:val="18"/>
                <w:color w:val="auto"/>
                <w:w w:val="95"/>
              </w:rPr>
              <w:t>Brand and performance</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marketing</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9,831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26,050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Neighbor services</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68"/>
        </w:trPr>
        <w:tc>
          <w:tcPr>
            <w:tcW w:w="1840" w:type="dxa"/>
            <w:vAlign w:val="bottom"/>
          </w:tcPr>
          <w:p>
            <w:pPr>
              <w:ind w:left="20"/>
              <w:spacing w:after="0" w:line="168" w:lineRule="exact"/>
              <w:rPr>
                <w:sz w:val="20"/>
                <w:szCs w:val="20"/>
                <w:color w:val="auto"/>
              </w:rPr>
            </w:pPr>
            <w:r>
              <w:rPr>
                <w:rFonts w:ascii="Arial" w:cs="Arial" w:eastAsia="Arial" w:hAnsi="Arial"/>
                <w:sz w:val="18"/>
                <w:szCs w:val="18"/>
                <w:color w:val="auto"/>
              </w:rPr>
              <w:t>Total sales and</w:t>
            </w:r>
          </w:p>
        </w:tc>
        <w:tc>
          <w:tcPr>
            <w:tcW w:w="260" w:type="dxa"/>
            <w:vAlign w:val="bottom"/>
            <w:vMerge w:val="restart"/>
          </w:tcPr>
          <w:p>
            <w:pPr>
              <w:jc w:val="right"/>
              <w:ind w:right="56"/>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29,000</w:t>
            </w:r>
          </w:p>
        </w:tc>
        <w:tc>
          <w:tcPr>
            <w:tcW w:w="40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27,448</w:t>
            </w:r>
          </w:p>
        </w:tc>
        <w:tc>
          <w:tcPr>
            <w:tcW w:w="80" w:type="dxa"/>
            <w:vAlign w:val="bottom"/>
          </w:tcPr>
          <w:p>
            <w:pPr>
              <w:spacing w:after="0"/>
              <w:rPr>
                <w:sz w:val="14"/>
                <w:szCs w:val="14"/>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1,553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vMerge w:val="restart"/>
          </w:tcPr>
          <w:p>
            <w:pPr>
              <w:jc w:val="right"/>
              <w:ind w:right="56"/>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92,688</w:t>
            </w:r>
          </w:p>
        </w:tc>
        <w:tc>
          <w:tcPr>
            <w:tcW w:w="80" w:type="dxa"/>
            <w:vAlign w:val="bottom"/>
          </w:tcPr>
          <w:p>
            <w:pPr>
              <w:spacing w:after="0"/>
              <w:rPr>
                <w:sz w:val="14"/>
                <w:szCs w:val="14"/>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76,698</w:t>
            </w:r>
          </w:p>
        </w:tc>
        <w:tc>
          <w:tcPr>
            <w:tcW w:w="100" w:type="dxa"/>
            <w:vAlign w:val="bottom"/>
          </w:tcPr>
          <w:p>
            <w:pPr>
              <w:spacing w:after="0"/>
              <w:rPr>
                <w:sz w:val="14"/>
                <w:szCs w:val="14"/>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15,990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line="203" w:lineRule="exact"/>
              <w:rPr>
                <w:sz w:val="20"/>
                <w:szCs w:val="20"/>
                <w:color w:val="auto"/>
              </w:rPr>
            </w:pPr>
            <w:r>
              <w:rPr>
                <w:rFonts w:ascii="Arial" w:cs="Arial" w:eastAsia="Arial" w:hAnsi="Arial"/>
                <w:sz w:val="18"/>
                <w:szCs w:val="18"/>
                <w:color w:val="auto"/>
              </w:rPr>
              <w:t>marketing</w:t>
            </w:r>
          </w:p>
        </w:tc>
        <w:tc>
          <w:tcPr>
            <w:tcW w:w="2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00" w:type="dxa"/>
            <w:vAlign w:val="bottom"/>
            <w:gridSpan w:val="3"/>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6 %</w:t>
            </w:r>
          </w:p>
        </w:tc>
        <w:tc>
          <w:tcPr>
            <w:tcW w:w="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and marketing expenses increased by $1.6 million, or 6%, for the three months ended September 30, 2022 compared to the three months ended September 30, 2021. The increase was primarily due to a $4.7 million increase in personnel-related and other costs, which was driven by an increase in headcount, a $0.2 million increase in performance marketing costs to attract small and mid-sized customers, partially offset by a $3.4 million decrease in performance marketing costs for user acquisition as focus shifted to organic user acquisition channels.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and marketing expenses increased by $16.0 million, or 21%, for the nine months ended September 30, 2022 compared to the nine months ended September 30, 2021. The increase was primarily due to a $16.0 million increase in personnel-related and other costs, which was driven by an increase in headcount, a $2.9 million increase in performance marketing costs to attract small and mid-sized customers, partially offset by a $3.1 million decrease in performance marketing costs for user acquisition as focus shifted to organic user acquisition channels.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3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Three Months Ended September</w:t>
            </w:r>
          </w:p>
        </w:tc>
        <w:tc>
          <w:tcPr>
            <w:tcW w:w="300" w:type="dxa"/>
            <w:vAlign w:val="bottom"/>
          </w:tcPr>
          <w:p>
            <w:pPr>
              <w:spacing w:after="0"/>
              <w:rPr>
                <w:sz w:val="14"/>
                <w:szCs w:val="14"/>
                <w:color w:val="auto"/>
              </w:rPr>
            </w:pPr>
          </w:p>
        </w:tc>
        <w:tc>
          <w:tcPr>
            <w:tcW w:w="122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8"/>
              </w:rPr>
              <w:t>Nine Months Ended September 30,</w:t>
            </w:r>
          </w:p>
        </w:tc>
        <w:tc>
          <w:tcPr>
            <w:tcW w:w="300" w:type="dxa"/>
            <w:vAlign w:val="bottom"/>
          </w:tcPr>
          <w:p>
            <w:pPr>
              <w:spacing w:after="0"/>
              <w:rPr>
                <w:sz w:val="14"/>
                <w:szCs w:val="14"/>
                <w:color w:val="auto"/>
              </w:rPr>
            </w:pPr>
          </w:p>
        </w:tc>
        <w:tc>
          <w:tcPr>
            <w:tcW w:w="124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860" w:type="dxa"/>
            <w:vAlign w:val="bottom"/>
          </w:tcPr>
          <w:p>
            <w:pPr>
              <w:ind w:left="20"/>
              <w:spacing w:after="0" w:line="130" w:lineRule="exact"/>
              <w:rPr>
                <w:sz w:val="20"/>
                <w:szCs w:val="20"/>
                <w:color w:val="auto"/>
              </w:rPr>
            </w:pPr>
            <w:r>
              <w:rPr>
                <w:rFonts w:ascii="Arial" w:cs="Arial" w:eastAsia="Arial" w:hAnsi="Arial"/>
                <w:sz w:val="14"/>
                <w:szCs w:val="14"/>
                <w:i w:val="1"/>
                <w:iCs w:val="1"/>
                <w:color w:val="auto"/>
              </w:rPr>
              <w:t>(in thousands, except</w:t>
            </w: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1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8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General and</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18,066</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6,561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18,706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General and administrative expenses increased by $6.6 million, or 57%, for the three months ended September 30, 2022 compared to the three months ended September 30, 2021. The increase was primarily due to a $3.7 million increase in personnel-related costs which was driven by an increase in headcount, a $1.6 million increase in insurance expenses, and a $0.4 million increase in business taxes and fees.</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General and administrative expenses increased by $18.7 million, or 59%, for the nine months ended September 30, 2022 compared to the nine months ended September 30, 2021. The increase was primarily due to a $9.4 million increase in personnel-related costs which was driven by an increase in headcount, a $5.0 million increase in insurance expenses, and a $1.9 million increase in professional fees primarily related to operating as a public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2340" w:type="dxa"/>
            <w:vAlign w:val="bottom"/>
            <w:gridSpan w:val="6"/>
          </w:tcPr>
          <w:p>
            <w:pPr>
              <w:ind w:left="20"/>
              <w:spacing w:after="0"/>
              <w:rPr>
                <w:sz w:val="20"/>
                <w:szCs w:val="20"/>
                <w:color w:val="auto"/>
              </w:rPr>
            </w:pPr>
            <w:r>
              <w:rPr>
                <w:rFonts w:ascii="Arial" w:cs="Arial" w:eastAsia="Arial" w:hAnsi="Arial"/>
                <w:sz w:val="14"/>
                <w:szCs w:val="14"/>
                <w:b w:val="1"/>
                <w:bCs w:val="1"/>
                <w:color w:val="auto"/>
                <w:w w:val="96"/>
              </w:rPr>
              <w:t>Three Months Ended September 30,</w:t>
            </w:r>
          </w:p>
        </w:tc>
        <w:tc>
          <w:tcPr>
            <w:tcW w:w="300" w:type="dxa"/>
            <w:vAlign w:val="bottom"/>
          </w:tcPr>
          <w:p>
            <w:pPr>
              <w:spacing w:after="0"/>
              <w:rPr>
                <w:sz w:val="16"/>
                <w:szCs w:val="16"/>
                <w:color w:val="auto"/>
              </w:rPr>
            </w:pPr>
          </w:p>
        </w:tc>
        <w:tc>
          <w:tcPr>
            <w:tcW w:w="1220" w:type="dxa"/>
            <w:vAlign w:val="bottom"/>
            <w:gridSpan w:val="3"/>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5"/>
              </w:rPr>
              <w:t>Nine Months Ended September 30,</w:t>
            </w:r>
          </w:p>
        </w:tc>
        <w:tc>
          <w:tcPr>
            <w:tcW w:w="600" w:type="dxa"/>
            <w:vAlign w:val="bottom"/>
          </w:tcPr>
          <w:p>
            <w:pPr>
              <w:spacing w:after="0"/>
              <w:rPr>
                <w:sz w:val="16"/>
                <w:szCs w:val="16"/>
                <w:color w:val="auto"/>
              </w:rPr>
            </w:pPr>
          </w:p>
        </w:tc>
        <w:tc>
          <w:tcPr>
            <w:tcW w:w="900" w:type="dxa"/>
            <w:vAlign w:val="bottom"/>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920" w:type="dxa"/>
            <w:vAlign w:val="bottom"/>
          </w:tcPr>
          <w:p>
            <w:pPr>
              <w:ind w:left="20"/>
              <w:spacing w:after="0"/>
              <w:rPr>
                <w:sz w:val="20"/>
                <w:szCs w:val="20"/>
                <w:color w:val="auto"/>
              </w:rPr>
            </w:pPr>
            <w:r>
              <w:rPr>
                <w:rFonts w:ascii="Arial" w:cs="Arial" w:eastAsia="Arial" w:hAnsi="Arial"/>
                <w:sz w:val="14"/>
                <w:szCs w:val="14"/>
                <w:i w:val="1"/>
                <w:iCs w:val="1"/>
                <w:color w:val="auto"/>
              </w:rPr>
              <w:t>(NM = Not Meaningful)</w:t>
            </w:r>
          </w:p>
        </w:tc>
        <w:tc>
          <w:tcPr>
            <w:tcW w:w="240" w:type="dxa"/>
            <w:vAlign w:val="bottom"/>
          </w:tcPr>
          <w:p>
            <w:pPr>
              <w:spacing w:after="0"/>
              <w:rPr>
                <w:sz w:val="17"/>
                <w:szCs w:val="17"/>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44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ind w:right="37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1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2,682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Interest income increased by $2.7 million for the three months ended September 30, 2022 compared to the three months ended September 30, 2021. The increase was primarily driven by an increase in marketable securities and an improvement in interest rates.</w:t>
      </w:r>
    </w:p>
    <w:p>
      <w:pPr>
        <w:spacing w:after="0" w:line="103"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Interest income increased by $5.3 million for the nine months ended September 30, 2022 compared to the nine months ended September 30, 2021. The increase was primarily driven by an increase in marketable securities and an improvement in interest rates.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2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Three Months Ended September</w:t>
            </w:r>
          </w:p>
        </w:tc>
        <w:tc>
          <w:tcPr>
            <w:tcW w:w="300" w:type="dxa"/>
            <w:vAlign w:val="bottom"/>
          </w:tcPr>
          <w:p>
            <w:pPr>
              <w:spacing w:after="0"/>
              <w:rPr>
                <w:sz w:val="14"/>
                <w:szCs w:val="14"/>
                <w:color w:val="auto"/>
              </w:rPr>
            </w:pPr>
          </w:p>
        </w:tc>
        <w:tc>
          <w:tcPr>
            <w:tcW w:w="12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8"/>
              </w:rPr>
              <w:t>Nine Months Ended September 30,</w:t>
            </w:r>
          </w:p>
        </w:tc>
        <w:tc>
          <w:tcPr>
            <w:tcW w:w="300" w:type="dxa"/>
            <w:vAlign w:val="bottom"/>
          </w:tcPr>
          <w:p>
            <w:pPr>
              <w:spacing w:after="0"/>
              <w:rPr>
                <w:sz w:val="14"/>
                <w:szCs w:val="14"/>
                <w:color w:val="auto"/>
              </w:rPr>
            </w:pPr>
          </w:p>
        </w:tc>
        <w:tc>
          <w:tcPr>
            <w:tcW w:w="126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30,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6"/>
            <w:vMerge w:val="continue"/>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860" w:type="dxa"/>
            <w:vAlign w:val="bottom"/>
          </w:tcPr>
          <w:p>
            <w:pPr>
              <w:ind w:left="20"/>
              <w:spacing w:after="0" w:line="157" w:lineRule="exact"/>
              <w:rPr>
                <w:sz w:val="20"/>
                <w:szCs w:val="20"/>
                <w:color w:val="auto"/>
              </w:rPr>
            </w:pPr>
            <w:r>
              <w:rPr>
                <w:rFonts w:ascii="Arial" w:cs="Arial" w:eastAsia="Arial" w:hAnsi="Arial"/>
                <w:sz w:val="14"/>
                <w:szCs w:val="14"/>
                <w:i w:val="1"/>
                <w:iCs w:val="1"/>
                <w:color w:val="auto"/>
              </w:rPr>
              <w:t>(in thousands, except</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60" w:type="dxa"/>
            <w:vAlign w:val="bottom"/>
          </w:tcPr>
          <w:p>
            <w:pPr>
              <w:ind w:left="20"/>
              <w:spacing w:after="0"/>
              <w:rPr>
                <w:sz w:val="20"/>
                <w:szCs w:val="20"/>
                <w:color w:val="auto"/>
              </w:rPr>
            </w:pPr>
            <w:r>
              <w:rPr>
                <w:rFonts w:ascii="Arial" w:cs="Arial" w:eastAsia="Arial" w:hAnsi="Arial"/>
                <w:sz w:val="14"/>
                <w:szCs w:val="14"/>
                <w:i w:val="1"/>
                <w:iCs w:val="1"/>
                <w:color w:val="auto"/>
              </w:rPr>
              <w:t>(NM = Not Meaningful)</w:t>
            </w:r>
          </w:p>
        </w:tc>
        <w:tc>
          <w:tcPr>
            <w:tcW w:w="240" w:type="dxa"/>
            <w:vAlign w:val="bottom"/>
          </w:tcPr>
          <w:p>
            <w:pPr>
              <w:spacing w:after="0"/>
              <w:rPr>
                <w:sz w:val="17"/>
                <w:szCs w:val="17"/>
                <w:color w:val="auto"/>
              </w:rPr>
            </w:pPr>
          </w:p>
        </w:tc>
        <w:tc>
          <w:tcPr>
            <w:tcW w:w="820" w:type="dxa"/>
            <w:vAlign w:val="bottom"/>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8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Other income (expense),</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(709)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357" w:lineRule="auto"/>
        <w:rPr>
          <w:sz w:val="20"/>
          <w:szCs w:val="20"/>
          <w:color w:val="auto"/>
        </w:rPr>
      </w:pPr>
      <w:r>
        <w:rPr>
          <w:rFonts w:ascii="Arial" w:cs="Arial" w:eastAsia="Arial" w:hAnsi="Arial"/>
          <w:sz w:val="17"/>
          <w:szCs w:val="17"/>
          <w:color w:val="auto"/>
        </w:rPr>
        <w:t>Other expense increased by $0.4 million, or 156%, for the three months ended September 30, 2022 compared to the three months ended September 30, 2021. The increase was primarily due to the periodic re-measurement of monetary assets and liabilities denominated in non-functional currencies.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Other expense increased by $1.2 million, or 255%, for the nine months ended September 30, 2022 compared to the nine months ended September 30, 2021.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due to the periodic re-measurement of monetary assets and liabilities denominated in non-functional currencies.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Three Months Ended September</w:t>
            </w:r>
          </w:p>
        </w:tc>
        <w:tc>
          <w:tcPr>
            <w:tcW w:w="300" w:type="dxa"/>
            <w:vAlign w:val="bottom"/>
          </w:tcPr>
          <w:p>
            <w:pPr>
              <w:spacing w:after="0"/>
              <w:rPr>
                <w:sz w:val="14"/>
                <w:szCs w:val="14"/>
                <w:color w:val="auto"/>
              </w:rPr>
            </w:pPr>
          </w:p>
        </w:tc>
        <w:tc>
          <w:tcPr>
            <w:tcW w:w="120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8"/>
              </w:rPr>
              <w:t>Nine Months Ended September 30,</w:t>
            </w:r>
          </w:p>
        </w:tc>
        <w:tc>
          <w:tcPr>
            <w:tcW w:w="660" w:type="dxa"/>
            <w:vAlign w:val="bottom"/>
          </w:tcPr>
          <w:p>
            <w:pPr>
              <w:spacing w:after="0"/>
              <w:rPr>
                <w:sz w:val="14"/>
                <w:szCs w:val="14"/>
                <w:color w:val="auto"/>
              </w:rPr>
            </w:pPr>
          </w:p>
        </w:tc>
        <w:tc>
          <w:tcPr>
            <w:tcW w:w="9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1"/>
              </w:rPr>
              <w:t>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6"/>
            <w:vMerge w:val="continue"/>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9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0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120" w:type="dxa"/>
            <w:vAlign w:val="bottom"/>
          </w:tcPr>
          <w:p>
            <w:pPr>
              <w:spacing w:after="0"/>
              <w:rPr>
                <w:sz w:val="15"/>
                <w:szCs w:val="15"/>
                <w:color w:val="auto"/>
              </w:rPr>
            </w:pPr>
          </w:p>
        </w:tc>
        <w:tc>
          <w:tcPr>
            <w:tcW w:w="90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1900" w:type="dxa"/>
            <w:vAlign w:val="bottom"/>
          </w:tcPr>
          <w:p>
            <w:pPr>
              <w:ind w:left="20"/>
              <w:spacing w:after="0"/>
              <w:rPr>
                <w:sz w:val="20"/>
                <w:szCs w:val="20"/>
                <w:color w:val="auto"/>
              </w:rPr>
            </w:pPr>
            <w:r>
              <w:rPr>
                <w:rFonts w:ascii="Arial" w:cs="Arial" w:eastAsia="Arial" w:hAnsi="Arial"/>
                <w:sz w:val="14"/>
                <w:szCs w:val="14"/>
                <w:i w:val="1"/>
                <w:iCs w:val="1"/>
                <w:color w:val="auto"/>
              </w:rPr>
              <w:t>(NM = Not Meaningful)</w:t>
            </w: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9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Provision for income</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Provision for income taxes increased by $0.3 million for the three months ended September 30, 2022 compared to the three months ended September 30, 2021. The increase was primarily due to foreign income tax expenses.</w:t>
      </w:r>
    </w:p>
    <w:p>
      <w:pPr>
        <w:spacing w:after="0" w:line="130"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Provision for income taxes increased by $0.3 million, or 296%, for the nine months ended September 30, 2022 compared to the nine months ended September 30, 2021. The increase was primarily due to foreign income tax expenses.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Since inception, we have generated negative cash flows from operations and have primarily financed our operations from net proceeds received from the sale of equity securities, proceeds from the Reverse Recapitalization, and payments received from our customers. We currently have no debt outstanding.</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generated losses from our operations, as reflected in our accumulated deficit of $584.8 million as of September 30, 2022. We incurred operating losses and cash outflows from operations by supporting the growth of our business. We expect these losses and operating cash outflows to continue for the foreseeable future. We also expect to incur significant research and development, sales and marketing, and general and administrative expenses over the next several years in connection with the continued development and expansion of our business.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As of September 30, 2022, we had $604.5 million in cash, cash equivalents, and marketable securities. We anticipate satisfying our short 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 future equity or debt financing.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and the continuing market adoption of our platform, the number of shares repurchased under our share repurchase program (the “Share Repurchase Program”), and our ability to obtain equity or debt financing.</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May 31, 2022, our Board of Directors authorized and approved the Share Repurchase Program to repurchase up to $100.0 million in aggregate of our Class A common stock, with the authorization to expire on June 30, 2024. The timing of any repurchases will depend on market conditions and other investment opportunities, and will be made at our discretion. We currently anticipate that the Share Repurchase Program will extend through June 30, 2024, or such shorter period if $100.0 million in aggregate of shares of our Class A common stock have been repurchased. The Share Repurchase Program does not obligate us to repurchase any dollar amount or number of shares, and the program may be extended, modified, suspended, or discontinued at any time. During the three and nine months ended September 30, 2022, we repurchased and retired 20,190,611 and 23,251,703 shares of Class A common stock at an average purchase price of $3.31 and $3.32 per share for an aggregate repurchase price of $66.7 million and $77.2 million, respectively. As of September 30, 2022, we had $22.8 million available for future share repurchases under the Share Repurchase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5"/>
        </w:trPr>
        <w:tc>
          <w:tcPr>
            <w:tcW w:w="84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(33,280)</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(325,407)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4,716</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used in operating activities during the nine months ended September 30, 2022 was $40.8 million which resulted from a net loss of $(104.5) million, adjusted for non-cash charges of $50.4 million and net cash inflows of $13.3 million from changes in operating assets and liabilities. Non-cash charges primarily consisted of $47.0 million of stock-based compensation expense and $4.2 million of depreciation and amortization expense. The net cash inflows from changes in operating assets and liabilities were primarily due to a $6.1 million decrease in prepaid expenses and other current assets, a $5.4 million increase in accrued expenses and other current liabilities, a $5.1 million decrease in operating lease right-of-use assets due to normal amortization, and a $2.8 million decrease in accounts receivable. These amounts were partially offset by a $5.3 million decrease in operating lease liabilities due to lease payments, and a $0.4 million decrease in accounts payable.</w:t>
      </w:r>
    </w:p>
    <w:p>
      <w:pPr>
        <w:spacing w:after="0" w:line="1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Cash used in operating activities during the nine months ended September 30, 2021 was $33.3 million which resulted from a net loss of $(66.0) million, adjusted for non-cash charges of $30.5 million and net cash inflows of $2.2 million from changes in operating assets and liabilities. Non-cash charges primarily consisted of $27.0 million of stock-based compensation expense and $3.2 million of depreciation and amortization expense. The net cash inflow from changes in operating assets and liabilities was primarily the result of a $5.5 million increase in accrued expenses and other current liabilities, a $4.9 million decrease in operating lease right-of-use assets due to normal amortization, and a $0.2 million increase in accounts payable. These amounts were partially offset by a $5.0 million increase in accounts receivable, net and a $4.1 million decrease in operating lease liabilities due to lease payments.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investing activities for the nine months ended September 30, 2022 was $325.4 million, which consisted of purchases of marketable securities of $555.1 million and the purchase of property and equipment of $2.2 million. This was partially offset by proceeds from maturities of marketable securities of $224.0 million and proceeds from sales of marketable securities of $7.8 million.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investing activities for the nine months ended September 30, 2021 was $4.7 million, which consisted of proceeds from maturities of marketable securities of $50.6 million and proceeds from sales of marketable securities of $2.4 million. This was partially offset by the purchases of marketable securities of $40.3 million and the purchase of property and equipment of $8.1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for the nine months ended September 30, 2022 was $65.7 million, which consisted of repurchases of common stock of $77.2 million, tax withholdings on release of restricted stock units of $0.7 million, and payment of deferred transaction costs of $0.3 million. This was partially offset by $11.2 million of proceeds from the exercise of stock options, net of repurchases and $1.4 million of proceeds from the issuance of common stock under the employee stock purchase plan.</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provided by financing activities for the nine months ended September 30, 2021 was $9.9 million, which consisted of $12.8 million of proceeds from the exercise of stock options, net of repurchases. This was partially offset by the payment of deferred transaction costs of $3.0 million.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Adjusted EBITDA is a non-GAAP financial measure that represents our net loss adjusted for depreciation and amortization, stock-based compensation, net interest income, provision for income taxes, and acquisition-related costs.</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loss, the most comparable GAAP measure, to Adjusted EBITDA: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55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(66,002)</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26,971</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(35,819)</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prepare our condensed consolidated financial statements in accordance with GAAP. Preparing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requiring estimates, assumptions, and judgments as compared to the critical accounting policies and estimates as described in our Annual Report on Form 10-K for the year ended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currently an “emerging growth company” as defined in Section 2(a) of the Securities Act, and have elected to take advantage of the benefits of the extended transition period for complying with new or revised accounting standards. We expect to use this extended transition period for complying with new or revised accounting standards until the earlier of the date we (a) are no longer an emerging growth company or (b) affirmatively and irrevocably opt out of the extended transition period provided for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1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Subject to certain conditions set forth in the JOBS Act, as an emerging growth company,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Dodd-Frank Wall Street Reform and Consumer Protection Act; and (c) disclose certain executive compensation-related items such as the comparison of the Chief Executive Officer’s compensation to median employee compensation.</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Because the market value of our common stock held by non-affiliates as of June 30, 2022, exceeded $700 million, we will lose emerging growth company status under the JOBS Act as of December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2 to our unaudited condensed consolidated financial statements included elsewhere in this Quarterly Report for more information regarding recently issued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we had cash and cash equivalents of $90.7 million and marketable securities of $513.7 million. Our cash and cash equivalents consist of cash in bank accounts, demand deposits, money market funds, corporate bonds, and commercial paper. The primary objectives of our investment activities are to preserve principal and provide liquidity without significantly increasing risk.</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We do not believe a 10% change in the relative value of the U.S. Dollar would have materially affected our unaudited condensed consolidated financial statements for the periods presented. To date, we have not had a formal hedging program with respect to foreign currency, but we may do so in the future if our exposure to foreign currency should become more significant.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Exchange Act Rules 13a-15(e) and 15d-15(e)) as of the end of the period covered by this Quarterly Report, and have concluded that, based on such evaluation, our disclosure controls and procedures were effective as of September 30, 2022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Disclosure Controls and Procedures</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or financial results.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Investing in our Class A common stock involves risks. You should carefully consider the risks and uncertainties described below, together with all of the other information in this Quarterly Report, including the section titled “Management’s Discussion and Analysis of Financial Condition and Results of Operations” and our unaudited condensed consolidated financial statements and related notes, before deciding whether to purchase shares of our Class A common stock. You should also carefully consider the following risk factors in addition to the other information included in this Quarterly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commenced operating the Nextdoor platform in 2011 and began supporting the platform with advertising in 2016. Our limited operating history at the current scale of our business may make it difficult to evaluate our current business and future prospects. We have encountered, and will continue to encounter, risks and difficulties frequently experienced by growing companies in rapidly evolving industries, including challenges in accurate financial planning and forecasting, increasing competition and expenses as we continue to grow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a business with a limited operating history. We cannot ensure that we will be successful in addressing these and other challenges we may face in the future, and our business, operating results, and financial condition may be adversely affected if we do not manage these risks successfully. We may not be able to maintain our current rate of growth, which is a risk characteristic often shared by companies with limited operating histories participating in rapidly evolving industries.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There can be no assurance that we will successfully increase monetization on our platform or that we will sustain or increase the current growth rate of our revenue.</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generate substantially all of our revenue from advertising. If advertisers reduce or eliminate their spending with us, our business, operating results, and financial condition would be adversely impacted.</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Substantially all of our revenue is currently generated from the sales of advertising on our platform in the form of online display advertisements, which include sponsored posts and local deals. Our advertisers typically do not have long-term advertising spend commitments with us. Many of our advertisers spend only a relatively small portion of their overall advertising budget with us. In addition, advertisers may view some of the features on our platform as experimental and unproven. Advertisers will not continue to do business with us, or they will reduce the prices they are willing to pay to advertise with us, if we do not deliver advertisements in an effective manner, or if advertisers do not believe that their investment in advertising with us will generate a competitive return relative to alternatives. Our ability to attract and retain advertisers, and ultimately generate revenue, may be adversely affected by a number of factors, including but not limited to:</w:t>
      </w:r>
    </w:p>
    <w:p>
      <w:pPr>
        <w:spacing w:after="0" w:line="14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decreases in neighbor or advertiser engagement on the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slower than anticipated growth in, or lack of growth or decreases in, the number of neighbors on the platform;</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platform changes (such as the migration to our proprietary ad server) or inventory management decisions that change the size, format, frequency, or relative prominence of advertisements displayed on the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competitors offering more attractive pricing for advertisements that we are unable or unwilling to match;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the quantity or quality of advertisements shown to neighbors;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laws, third-party policies or applications that limit our ability to deliver, target, or measure the effectiveness of advertising, including changes by mobile operating system and browser providers such as Apple and Google;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demographics of our neighbors that make us less attractive to advertisers;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neighbors who exercise opt-out rights under privacy laws to restrict the advertisements they receive;</w:t>
      </w:r>
    </w:p>
    <w:p>
      <w:pPr>
        <w:spacing w:after="0" w:line="171"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neighbors that upload content or take other actions that are deemed to be hostile, inappropriate, illicit, objectionable, illegal, or otherwise not consistent with the brand of our advertisers;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government actions or legislative, regulatory, or other legal developments;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neighbor behavior or changes to the platform that may affect, among other things, the safety and security of other neighbors or the cultivation of a positive and inclusive online community;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media reports or other negative publicity involving us;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implementing or enforcing policies, such as advertising policies, community guidelines, and other terms or service that are perceived negatively by advertisers;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and improve our products for advertisers;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in, or reductions to, the availability, accuracy, utility, and security of analytics and measurement solutions offered by us or third parties that are intended to demonstrate the value of our advertisements to advertisers;</w:t>
      </w:r>
    </w:p>
    <w:p>
      <w:pPr>
        <w:spacing w:after="0" w:line="116" w:lineRule="exact"/>
        <w:rPr>
          <w:rFonts w:ascii="Arial" w:cs="Arial" w:eastAsia="Arial" w:hAnsi="Arial"/>
          <w:sz w:val="18"/>
          <w:szCs w:val="18"/>
          <w:color w:val="auto"/>
        </w:rPr>
      </w:pPr>
    </w:p>
    <w:p>
      <w:pPr>
        <w:ind w:left="660" w:right="220" w:hanging="328"/>
        <w:spacing w:after="0" w:line="279"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to our data privacy practices that affect the type or manner of advertising that we are able to provide, including as a result of changes to laws, regulations or regulatory actions, such as the GDPR, European Directive 2002/58/EC (the “ePrivacy Directive”), UK General Data Protection Regulation (“UK GDPR”), UK Data Protection Act 2018, the CCPA, Nevada’s Online Privacy Law (“Nevada Privacy Law”), the CDPA, the VCPDA, the CPRA, and other newly enacted U.S. state privacy laws, or changes to third-party policies; and</w:t>
      </w:r>
    </w:p>
    <w:p>
      <w:pPr>
        <w:spacing w:after="0" w:line="117" w:lineRule="exact"/>
        <w:rPr>
          <w:rFonts w:ascii="Arial" w:cs="Arial" w:eastAsia="Arial" w:hAnsi="Arial"/>
          <w:sz w:val="17"/>
          <w:szCs w:val="17"/>
          <w:color w:val="auto"/>
        </w:rPr>
      </w:pPr>
    </w:p>
    <w:p>
      <w:pPr>
        <w:ind w:left="660" w:right="240" w:hanging="328"/>
        <w:spacing w:after="0" w:line="342"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impact of macroeconomic conditions, whether in the advertising industry in general, among specific types of advertisers or within particular geographies, including but not limited to labor shortages, supply chain disruptions, a potential recession, inflation and rising interest rates.</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certain of these factors have adversely affected our revenue to varying degrees. For example, during the second quarter of 2020, advertisers reduced their advertising spend with us as a result of the impact of the ongoing COVID-19 pandemic on global macroeconomic conditions and on the advertising industry in general.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attract and retain advertisers depends on our ability to collect and use data and develop products to enable us to effectively deliver and accurately measure advertisements on the Nextdoor platform.</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launched its Intelligent Tracking Prevention (“ITP”) feature in its Safari browser. ITP blocks some or all third-party cookies by default on mobile and desktop and ITP has become increasingly restrictive over time. Apple’s related Privacy-Preserving Ad Click attribution, intended to preserve some of the functionality lost with ITP, would, for example, prevent uniquely identifying individuals and devices across sites for the purpose of Ad Click attribution, prevent measurement outside a narrowly-defined attribution window, and prevent advertisement re-targeting and optimization. Further, Apple introduced an App Tracking Transparency framework that limits the ability of mobile applications to request an iOS device’s advertising identifier and may also affect our ability to track neighbors’ actions off our platform and connect their interactions with on-platform advertising. Similarly, Google has announced that it plans to stop supporting third-party cookies in its Google Chrome browser, likely by the end of 2024, and, more recently, that it intends to limit access by mobile applications to advertising identifiers on Android devices. These web and mobile browser developers have also implemented and may continue to implement changes and restrictions in browser or device functionality that limit our ability to communicate with or understand the identity of our neighbors.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add new neighbors or retain current neighbors, or if current neighbors engage less with the Nextdoor platform, our business, operating results, and financial condition would be adversely impacted.</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number of neighbors that use the Nextdoor platform and their level of engagement on the platform are critical to our success. We must continue to engage and retain existing neighbors on our platform as well as attract, engage and retain new neighbors. The number of neighbors on the Nextdoor platform may not continue to grow at the current growth rate, if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 Moreover, we are unable to predict the continued impact of the ongoing COVID-19 pandemic on neighbor growth and engagement with any certainty, and we expect these trends to continue to be subject to volatility.</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neighbor base slows or reverses, we may be required to incur significantly higher marketing expenses than we currently anticipate in order to acquire new neighbors or retain current neighbors.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There are many factors that could negatively impact our ability to grow, retain and engage current and prospective neighbors, including but not limited to:</w:t>
      </w:r>
    </w:p>
    <w:p>
      <w:pPr>
        <w:spacing w:after="0" w:line="19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neighbors increasing their engagement with competitor’s platforms, products or services instead of, or more frequently than, our platform;</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amount of time neighbors spend across all applications and platforms, including our platform;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2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failing to introduce platform enhancements that neighbors find engaging or if we introduce new features, terms, policies or procedures, or make changes to our platform, that are not favorably received by current or prospective neighbors;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technical or other problems frustrating the neighbor experience, such as problems that prevent us from delivering our service in a fast and reliable manner;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neighbors having difficulty installing, updating or otherwise accessing the Nextdoor platform on mobile devices through the app or web browsers;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neighbor behavior on the Nextdoor platform changing, including a decrease in the quality and frequency of content shares on the platform;</w:t>
      </w:r>
    </w:p>
    <w:p>
      <w:pPr>
        <w:spacing w:after="0" w:line="182"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decreases in neighbor or advertiser sentiment due to questions about the quality or usefulness of our platform, concerns about the nature of content made available on the platform, concerns related to privacy, safety, security, well-being or other factors;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mandated by legislation, government and regulatory authorities, or litigation that adversely impact our platform or neighbors;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 parties preventing their content from being displayed on the Nextdoor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we may make to how we promote different features on our platform;</w:t>
      </w:r>
    </w:p>
    <w:p>
      <w:pPr>
        <w:spacing w:after="0" w:line="171"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initiatives designed to attract and retain neighbors and engagement are unsuccessful or discontinued, whether as a result of actions by us, third parties, or otherwise;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other partners and companies in the industry are the subject of adverse media reports or other negative publicity;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unable to combat spam, harassment, cyberbullying or other hostile, inappropriate, abusive or offensive content or usage on our platform; or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cannot preserve and enhance our brand and reputation as a trusted neighborhood networking community.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highly competitive. Competition presents an ongoing threat to the success of our business.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compete with companies that provide a variety of internet products, services, content, and online advertising. In addition, aspects of our platform compete with other products and services, including home services, classifieds, real estate, recommendations, and search engines. Of these companies, we most directly compete with social media companies that offer local products to advertisers and users, including large companies such as Meta (including through Facebook and Instagram) and Alphabet (including through Google), and other companies that provide home services, classifieds, real estate,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and services or evolve their platforms, we may fail to engage or retain neighbors or attract new neighbors, which could harm our business, operating results, and financial condition.</w:t>
      </w:r>
    </w:p>
    <w:p>
      <w:pPr>
        <w:spacing w:after="0" w:line="1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 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introduced changes starting with iOS 14.5 that limit our ability, and the ability of others in the digital advertising industry, to track individual users and devices, and target and measure advertisements effectively. Additionally, effective June 30, 2022, the Apple App Store guidelines require apps that support account creation to also allow users to delete their account within the app. This change has and may continue to impact our ability to retain users. Moreover, Google recently announced that it intends to limit access by mobile applications to advertising identifiers on Android devices, likely by the end of 2024.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ability to compete depends upon many factors both within and beyond our control, including:</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popularity, usefulness, ease of use, performance, and reliability of our platform compared to our competitors’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composition of our neighbor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engagement of neighbors with our platform and competing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first- and third-party data available to us relative to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and retain advertisers who use our free or paid advertisements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market acceptance of developments and enhancements to our platform or our competitors’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safety and security efforts and our ability to protect neighbor data and to provide neighbors with control over their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distribute our platform to new and existing neighbors;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effectively monetize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successful implementation of platform changes, such as the migration to our proprietary ad server;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frequency, size, format, quality, and relative prominence of the advertisements displayed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service and support efforts;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and selling efforts, including our ability to measure the effectiveness of our advertisements and to provide advertisers with a compelling return on their investments;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and maintain publisher interest in integrating their content with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mandated by legislation, regulatory authorities, or litigation, some of which may have a disproportionate effect on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 particularly software engineers, designers, and managers;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cost-effectively manage and grow our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and brand strength relative to those of our competitors.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we are not able to compete effectively, our neighbor base and level of neighbor engagement may decrease, we may become less attractive to advertisers and our business, operating results,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13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geopolitical conflict (including the current war in Ukraine), other physical security threats, cyber-attacks, or other catastrophic events. If such an event were to occur, neighbors may be subject to service disruptions or outages and we may not be able to recover our technical infrastructure and neighbor data in a timely manner to restart or provide our services, which may adversely affect our financial results. In addition, the substantial majority of our employees are based in our headquarters located in San Francisco, California. If there is a catastrophic failure involving our systems or major disruptive event affecting our headquarters or the San Francisco area in general, we may be unable to operate our platform.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substantial portion of our network infrastructure is provided by third parties, including AWS.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have experienced rapid growth and expect to invest in our growth for the foreseeable future. If we fail to manage our growth effectively, our business, operating results, and financial condition would be adversely affected. We also may not be able to sustain our growth in the future.</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experienced rapid growth in recent periods and expect to continue to invest broadly across our organization to support our growth. Our revenue has grown from $52.7 million for the three months ended September 30, 2021 to $54.0 million for the three months ended September 30, 2022. Weekly Active Users (“WAUs”) on our platform have grown from 32.8 million for the three months ended September 30, 2021 to 38.3 million for the three months ended September 30, 2022. Moreover, the number of our full-time employees has grown from 583 as of September 30, 2021 to 723 as of September 30, 2022.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plan to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as we continue to grow, our business becomes increasingly complex and requires more resources. To manage any future growth effectively, we must continue to improve and expand our information technology and financial infrastructure, our operating and administrative systems and controls, and our ability to manage headcount, capital, and processes in an efficient manner. Failure to</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including video, we may not be able to do so cost-effectively. Effectively managing our growth may also be more difficult to accomplish the longer that our employees, our advertisers, neighbors and the overall economy is impacted due to macroeconomic conditions and factors, including but not limited to the impacts related to labor shortages, supply chain disruptions, a potential recession, rising interest rates and inflation, the war in Ukraine and the ongoing COVID-19 pandemic.</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efforts to build strong brand identity and reputation are not successful, we may not be able to attract or retain neighbors, and our business, operating results, and financial condition will be adversely affected.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maintaining and enhancing the “Nextdoor” brand and reputation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brand and reputation may also be negatively affected by the content or actions of neighbors that are deemed to be hostile or inappropriate to other neighbors, by the actions of neighbors acting under false or inauthentic identities, by the use of our platform to</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disseminate misleading or false information, the use of our platform for fraudulent schemes and scams, or by the use of our service for illicit, illegal or objectionable ends.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negatively affects our business from time to time.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Health epidemics, including the ongoing COVID-19 pandemic, have had or could have an adverse impact on our business, operations, and the markets and communities in which we, our partners and our customers operate. In addition, during the ongoing COVID-19 pandemic, we experienced an increase in neighbor growth and engagement and there is no guarantee that we will be able to maintain our neighbor growth and engagement as the ongoing COVID-19 pandemic subsides.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global COVID-19 pandemic outbreak and the various attempts to contain it have created significant volatility, uncertainty and economic disruption. It has adversely affected the broader economies, financial markets, and overall demand for advertising.</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COVID-19 pandemic, in 2020, we temporarily closed all our offices (including our corporate headquarters) globally and implemented certain travel restrictions, both of which temporarily disrupted how we operate our business, including limiting certain of our sales and marketing plans and requiring us to manage a significant majority of our workforce remotely. We have since reopened certain offices in a phased manner. Our efforts to reopen these offices safely may not be successful, could expose our employees to health risks, and us to associated liability, and could involve additional financial burdens.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as a result of the ongoing COVID-19 pandemic, the ability and willingness of advertisers to spend on the Nextdoor platform has fluctuated. For example, during the second quarter of 2020, advertisers reduced their advertising spend with us as a result of the impact of the ongoing COVID-19 pandemic on global macroeconomic conditions and on the advertising industry in general. Certain advertisers have been impacted by the ongoing COVID-19 pandemic and have experienced supply chain issues, rising commodity prices and inventory and labor shortages. This affects the ability and willingness of such impacted advertisers to spend on our platform. We cannot predict how evolving events related to the ongoing COVID-19 pandemic will continue to affect neighbor and advertiser behavior in the future. The pandemic has, and could in the future, adversely affect our business, revenue growth rate, financial performance and stock price.</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initially during the ongoing COVID-19 pandemic and the related shelter-in-place order, we saw an increase in neighbor growth and engagement on our platform. As the ongoing COVID-19 pandemic evolves, that may present challenges such as neighbor growth and engagement declining or neighbor behavior changing unexpectedly and in ways that are difficult for us to anticipate or measure, resulting in a decrease in engagement with or reduced or different usage of our platform. Our neighbor and revenue growth rates may continue to be volatile as the ongoing COVID-19 pandemic evolves, although we are unable to predict the duration or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degree of such volatility with any certainty. Further, given the uncertainties relating to the ongoing COVID-19 pandemic and its new variants, we may not be able to accurately measure and forecast our key metrics, including WAUs. As a result, our engagement metrics, as well as financial and operating measures may not be indicative of results for future periods.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currently unable to accurately predict the full impact that the ongoing COVID-19 pandemic will have on our business, operating results, and financial condition due to numerous uncertainties, including variants of the COVID-19 virus, any resurgences, the extent and effectiveness of containment actions and other public health measures, the distribution and public acceptance of vaccines and treatments, and the impact of these and other factors on our employees, neighbors, advertisers. The ongoing COVID-19 pandemic, as well as any subsequent recovery period, may also have the effect of heightening many of the other risks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plan to continue expanding our international operations where we have limited operating experience and may be subject to increased business, regulatory, and economic risks that could seriously harm our business, operating results, and financial condition.</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plan to continue expanding our business operations abroad by opening new and expanding within existing neighborhoods outside of the United States. As of September 30, 2022, the Nextdoor platform was accessible in 11 countries (including the United States) and had over 300,000 neighborhoods. We plan to enter new international markets and expand in existing markets where we have limited or no experience in marketing, selling, advertising and deploying our platform or selling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our international operations and sales to advertisers continue to grow, we will be subject to a variety of risks inherent in doing business internationally, including:</w:t>
      </w:r>
    </w:p>
    <w:p>
      <w:pPr>
        <w:spacing w:after="0" w:line="1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acts of war or terrorism, including the war in Ukraine;</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damage to our brand and reputation due to compliance with local laws, including potential censorship and requirements to provide neighbor information to local authorities;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enhanced difficulty in reviewing content on the Nextdoor platform and enforcing community standards across different languages and countries;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right="340" w:hanging="328"/>
        <w:spacing w:after="0" w:line="30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multiple U.S. and international tax jurisdictions and management of tax impact of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higher levels of credit risk and payment fraud;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integrating any foreign acquisitions;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burdens of complying with a variety of foreign laws, including laws related to taxation, content removal, data localization, data transfer, consents, payments, and regulatory oversight;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20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legal compliance costs associated with multiple international locations.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(“Bribery Act”).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need additional capital in the future, it may not be available on favorable terms, if at all.</w:t>
      </w:r>
    </w:p>
    <w:p>
      <w:pPr>
        <w:spacing w:after="0" w:line="158"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plan to continue to make acquisitions, which could harm our financial condition or operating results and may adversely affect the price of our Class A common stock.</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our business strategy, we have made, and intend to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depends largely on our ability to attract and retain talented employees, including senior management. If we lose the services of Sarah Friar, our Chief Executive Officer and President, or other members of our senior management team, we may not be able to execute on our business strategy.</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realize the benefit of our investment in recruiting and training them. As we move into new geographies, we will need to attract and recruit skilled personnel in those areas. Further, labor is subject to external factors that are beyond our control, including our industry’s highly competitive market for skilled workers and leaders, cost inflation, the ongoing COVID-19 pandemic, and workforce participation rates. If we are unable to attract and retain suitably qualified individuals who are capable of meeting our growing technical, operational, and managerial requirements, on a timely basis or at all, our business, operating results, and financial condition may be adversely affected.</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future success also depends in large part on the continued services of senior management and other key personnel. In particular, we are dependent on the services of Sarah Friar, our Chief Executive Officer and President, who is critical to the future vision and strategic direction of our business. We rely on our leadership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If we lose the services of senior management or other key personnel, or if we are unable to attract, train, assimilate, and retain the highly skilled personnel that we need, our business, operating results, and financial condition could be adversely affected.</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core values may conflict with the short-term interests of our 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core values as a guide to the decisions we make, which we believe is essential to our success in increasing our neighbor growth rate and engagement and in serving the best, long-term interests of Nextdoor and our stockholders. In the past, we have forgone, and may in the future forgo, certain expansion or revenue opportunities that we do not believe are aligned with our core values, even if our decision may negatively impact our operating results in the short term. Our decisions may not result in the long-term benefits that we expect, in which case our neighbor engagement, business, operating results, and financial condition could be harmed.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Security and Technology</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dependent on third-party software and service providers, including the Google Ad Manager (“GAM”) platform, for management and delivery of advertisements on the Nextdoor platform. Any failure or interruption experienced by such third-parties, including as a result of the ongoing COVID-19 pandemic, could result in the inability of certain businesses to advertise on our platform, and adversely impact our business, operating results, and financial condition.</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Currently, we are dependent on third-party software and service providers, including the GAM platform, for management and delivery of advertisements on the Nextdoor platform. As such, the continued use of third-party software and service providers, including GAM,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spacing w:after="0" w:line="1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rely on third-party software and service providers, including AWS, to provide systems, storage and services for our platform. Any failure or interruption experienced by such third parties, including as a result of the ongoing COVID-19 pandemic, could result in the inability of neighbors and advertisers to access or utilize our platform, and adversely impact our business, operating results, and financial condition.</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third-party software and service providers, including AWS, to provide systems, storage and services, including neighbor login authentication, for our website. Any technical problem with, cyber-attack on or loss of access to such third parties’ systems, servers, or technologies could result in the inability of neighbors to access the Nextdoor platform or result in the theft of neighbors’ personal information.</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Because we rely on third-party technology providers in our business, we rely on the cybersecurity practices and policies adopted by these third parties. Our ability to monitor our third-party technology providers’ cybersecurity practices is limited.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If neighbors or advertisers are not able to access our platform or encounter difficulties in doing so, we may lose neighbors or advertisers, which could harm our reputation, business, operating results, and financial condition.</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utilize data center hosting facilities operated by AWS, located in various facilities.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rely on third parties, including email providers, mobile data networks, geolocation providers, and the United States Postal Service (“USPS”) to complete the verification process for our neighbors’ accounts. Any failure or interruption experienced by such third parties, including the USPS, could result in the inability of neighbors to join our platform, resulting in harm to our reputation and an adverse impact to our business, operating results, and financial condition.</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on third parties to verify our neighbors’ accounts through several methods, including but not limited to email, SMS text message, phone calls, geolocation and mailed invitations. For example, we utilize email providers, mobile data networks, geolocation providers and the USPS to verify neighbors’ accounts. Account verification is a critical feature of our platform because it demonstrates that neighbors actually live in the neighborhood they desire to join. Any failure, interruption, or loss of access to such third parties or their software or the USPS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geolocation providers or postal providers may be more costly to use than our current providers, including the USPS. Any disruption in the third parties, including the USPS, could harm our neighbor growth, which in turn could make us a less attractive advertising platform and harm our reputation, and could harm our business, operating results, and financial condition.</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Technologies have been developed that can block the display of advertisements on the Nextdoor platform, which could adversely impact our business, operating results, and financial condition.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 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Security breaches, including improper access to or disclosure of our data or our neighbors’ data, or other hacking and phishing attacks on our or third-party systems, could harm our reputation and adversely affect our business.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collect, store and otherwise process personal data relating to a number of individuals such as our neighbors, employees and partners, including, but not limited to, neighbor contact details, network details, and location data. The evolution of technology systems introduces unknown and complex security risks that can be unpredictable and difficult to defend against. Cyber-attacks continue to evolve in sophistication and volume, and inherently may be difficult to detect for long periods of time. In particular, social media companies, like us, are prone to cyber-attacks by third parties seeking unauthorized access to company or user data or to disrupt their ability to provide access to their products and services.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trend towards working from home and using private residential networks to access the Internet, which has arisen in response to the ongoing COVID-19 pandemic and other global economic and labor market conditions, may further exacerbate risks associated with cyberattacks and data security breaches, because we cannot guarantee these private work environments and electronic connections to our work environment have the same robust security measures deployed in our physical offices.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take a variety of technical and organizational security measures and other measures to protect our data. Although we have implemented systems and processes that are designed to protect our data and our neighbors’ data, prevent data loss, disable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(predominantly spear phishing attacks), ransomware,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 objectionable ends. Our efforts to protect our company data or the information that we receive may also be unsuccessful due to software bugs or other technical malfunctions; employee, contractor, or vendor error or malfeasance; government surveillance; or other threats that evolve.</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third parties, including advertisers and vendors, may store information that we share with them on their networks. If these third parties fail to implement adequate data-security practices or fail to comply with their contractual obligations and/or, where applicable, our terms and policies, neighbor data may be improperly accessed, used or disclosed. Even if these third parties take all the necessary precautions and comply with their applicable obligations, their networks may still suffer a breach, which could compromise neighbor data.</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Security breaches may cause interruptions to our platform, degrade the neighbor experience, cause neighbors or advertisers to lose confidence and trust in our platform, impair our internal systems, or result in financial harm to our company.</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that may not be fully covered by insurance, if at all,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 effect on our business, operating results, financial condition, market acceptance of our products or revenues and may also divert development resources and increase service and support costs.</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security breach of our system could trigger a breach of our agreements with partners that we rely on to deliver our services and expose us to significant loss.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an incident that triggers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or placement of advertisements could materially adversely affect the usage of our platform on mobile devices, our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business, operating results, and financial condition. For example, the release of iOS 14.5 brought with it a number of new changes, including the need for neighbors using the app to opt in before their identifier for advertisers (“IDFA”) can be accessed by an app (which came into effect in April 2021). Apple’s IDFA is a string of numbers and letters assigned to Apple devices which advertisers use to identify app users to deliver personalized and targeted advertising. As a consequence, the ability of advertisers to accurately target and measure their advertising campaigns at the neighbor level will depend on the opt-in rate to grant IDFA access and if the opt-in rate is low, advertisers’ ability to target and measure advertising campaigns on the Nextdoor platform may become significantly limited. We did not observe any directly attributable negative impact on our business, operating results or financial condition, including our revenue, revenue growth rates, and operating income (loss), related to the introduction of IDFA during the nine months ended September 30, 2022, though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any such changes. Further, Apple recently introduced changes for the Apple mail client available on its operating systems, including iOS 15, iPadOS 15, and macOS 12, which have impacted, and are expected to continue to impact our ability to track individual users and devices, and measure the effectiveness of our advertisements. Moreover, Google recently announced that it intends to limit access by mobile applications to advertising identifiers on Android devices, likely by the end of 2024. As a result, advertisers may find our products less appealing and may seek alternative platforms on which to run their advertising campaigns.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platform and internal systems rely on software and hardware that is highly technical, and any errors, bugs, or vulnerabilities in these systems, or failures to address or mitigate technical limitations in our systems, could adversely affect our business.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 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inquiries, litigation, or liability for fines, damages, or other remedies, any of which could adversely affect our business, operating results,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 and ethical issues may result in reputational harm and liability.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Positions we may take (or choose not to take) on social and ethical issues may be unpopular with some of our employees, neighbors, or with our advertisers or potential advertisers, which may in the future impact our ability to attract or retain employees, neighbors or advertisers. Further, actions taken by our customers or partners, including through the use or misuse of our products, may result in reputational harm or possible liability. Any such claims could cause reputational harm to our brand or result in liability.</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disclosures on environmental, social, and governance (“ESG”) matters, and any standards we may set for ourselves or a failure to meet these standards, may influence our reputation and the value of our brand. For example, we have elected to share publicly certain information about our ESG initiatives and information, and our commitment to the recruitment, engagement and retention of a diverse board and workforce. In addition, the SEC has also proposed additional disclosure requirements regarding, among other ESG topics, the impact our business has on the environment.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To the extent the SEC proposals become effective for our company, we will be required to establish additional internal controls, engage additional consultants, and incur additional costs related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evaluating our environmental impact and preparing such disclosures. If we fail to implement sufficient internal controls or accurately capture and disclose, among other things, our environmental impact, our reputation, business, operating results and financial condition may be materially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and Accounting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results difficult to predict.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quarterly and annual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spacing w:after="0" w:line="12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generate revenues from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acquire, retain, and grow our neighbors and neighbor engagement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attract and retain advertisers;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recognize revenue or collect payments from advertisers in a particular period;</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spending by our advertisers due to seasonality, episodic regional or global events, including the ongoing COVID-19 pandemic, or other factors;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internet usage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prominence, size, format, quality and relevancy of advertisements shown to neighbors;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technologies designed to block the display of advertisements;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third-party policies or applications that limit our ability to deliver, target, or measure the effectiveness of advertising, including changes by mobile operating system and browser providers such as Apple and Google;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pricing of our advertisements;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cost of and mix of new and existing sales and marketing and promotional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our platform and app on mobile devices and other third-party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our platform or the development and introduction of new products or services by our competitors;</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advertising industry association rules and standards that limit our ability to deliver, target or measure the effectiveness of advertising, such as the Network Advertising Initiative, and Interactive Advertising Bureau;</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neighbor behavior or platform changes that may reduce traffic to features of the platform that we monetize;</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system failures, disruptions, breaches of security or privacy, whether on our platform or on those of third parties, and the costs associated with any such breaches and remediation;</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publicity associated with our platform, including as a result of content on our platform, security breaches and neighbor privacy concerns that may result in advertisers reducing or eliminating their spend with us;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health epidemics, such as the ongoing COVID-19 pandemic, influenza, and other highly communicable diseases or viruses;</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incurring additional expenses, such as increases in sales and marketing or research and development, including as a result of the ongoing COVID-19 pandemic;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litigation judgments, settlements, or other litigation-related costs;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8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and cybersecurity, or actions by governments or regulators, including fines, orders, or consent decrees;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U.S. generally accepted accounting principles; and</w:t>
      </w:r>
    </w:p>
    <w:p>
      <w:pPr>
        <w:spacing w:after="0" w:line="171"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domestic and global business and macroeconomic conditions, including as a result of the ongoing COVID-19 pandemic, the war in Ukraine and the continued rise of inflation and interest rates.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we believe that our rapid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 third to fourth quarter 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our market opportunities and key metric estimates could prove to be inaccurate, and any real or perceived inaccuracies may harm our reputation and negatively affect our business.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section, which could cause actual results to differ materially from our estimates. Unfavorable changes in any of these or other assumptions, most</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 significant uncertainty and are based on assumptions that may not prove to be accurate. In particular, our estimates regarding our market penetration in new and existing markets are difficult to predict.</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regularly review key business and other metrics, including WAUs, Verified Users and Average Revenue per Weekly Active User (“ARPU”)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For example, in September 2021, Apple introduced changes for the Apple mail client available on its operating systems, including iOS 15, iPadOS 15, and macOS 12, which have limited, and are expected to continue to limit, our ability to track individual users and devices, and measure user engagement with our emails containing monetizable content for users that use the Apple email client. These changes have affected our ability to calculate WAUs, a key business metric. Because of the introduction of these changes, we are required to rely on estimates based on past user behavior and behavior of users engaging with our monetizable content on email clients other than the Apple email client in order to determine the portion of our WAU figure relating to users that engage solely with emails with monetizable content, which may impact the effectiveness of our analytics platform, as well as the accuracy of our WAU calculations. If we fail to maintain an effective analytics platform, our key metrics calculations may be inaccurate, and we may not be able to identify those inaccuracies.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regularly review and may adjust our processes for calculating our estimates to improve their accuracy. Our estimates may differ from estimates published by third parties or from similarly titled metrics of our competitors due to differences in methodology. If</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investors or analysts do not perceive our estimates to be accurate representations of our business, or if we discover material inaccuracies in our estimates, our reputation, business, operating results, and financial condition would be adversely affected.</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experienced significant net losses each year since we began operations in 2007, including net losses of $(104.5) million and $(66.0) million for the nine months ended September 30, 2022 and 2021, respectively. We have an accumulated deficit of $584.8 million as of September 30, 2022. We anticipate that our operating expenses and capital expenditures will increase substantially in the foreseeable future as we continue to invest in acquiring additional neighbors, increasing engagement on our platform, increasing monetization on our platform, expanding our platform and operations internationally, hiring additional team members, developing and enhancing our platform, marketing and sales, and enhancing our infrastructure. Our expansion efforts may prove more expensive than we anticipate, and we may not succeed in increasing our revenues sufficiently to offset these higher expenses.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use our U.S. federal and state net operating losses to offset future taxable income may be subject to certain limitations which could subject our business to higher tax liability.</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2021, we had gross U.S. federal net operating loss (“NOL”) carryforwards of approximately $390.0 million and gross state NOL carryforwards of approximately $226.0 million, which if not utilized, will begin to expire for federal and state income tax purposes beginning in 2028. To the extent that we continue to generate taxable losses, unused losses will carry forward to offset future taxable income, if any. Under the 2017 Tax Cuts and Jobs Act (the “Tax Act”), as modified by the Coronavirus Aid, Relief, and Economic Security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Section 382 of the Code, and corresponding provisions of state law,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We recently completed a Section 382 study that supports that our use of NOLs will not be subject to limitation.</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experience ownership change(s) in the future as a result of subsequent shifts in our stock ownership, some of which may be outside our control. Therefore, it is possible that such an ownership change could limit the amount of NOLs we can use to offset future taxable income. Our current NOL carryforwards, and any NOL carryforwards of companies we have acquired, may be subject to limitations, thereby increasing our overall tax liability. Our NOL carryforwards may also be impaired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may be adversely affected by changes in accounting principles generally accepted in the United States and our financial estimates may be different from our financial results.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currency exchange rates fluctuate substantially in the future, our operating results, which are reported in U.S. dollars, could be adversely affected.</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we continue to expand our international operations, we will become more exposed to the effects of fluctuations in currency exchange rates. A substantial majority of our revenues to date have been denominated in U.S. dollars and, therefore, we have not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been subject to foreign currency risk. In addition, as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greater than anticipated tax liabilities, which could harm our business, revenue and financial results.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operate in a number of tax jurisdictions globally, including in the United States at the federal, state and local levels, and in many foreign countries, and plan to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w:t>
      </w:r>
    </w:p>
    <w:p>
      <w:pPr>
        <w:spacing w:after="0" w:line="1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which would negatively affect our financial results.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consummated or that it will enhance long-term stockholder value. Share repurchases could also increase the volatility of the trading price of our stock and diminish our cash reserves.</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31, 2022, our Board of Directors authorized and approved the Share Repurchase Program pursuant to which we may repurchase up to $100.0 million in aggregate of shares of our Class A common stock, with the authorization to expire on June 30, 2024, or such shorter period if $100.0 million in aggregate of shares of our Class A common stock have been repurchased. Although our Board of Directors has authorized this Share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war in Ukraine and the ongoing COVID-19 pandemic. The Share Repurchase Program may be modified, suspended, or terminated at any time, and we cannot guarantee that the Share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as a result of content or information that is published or made available on our platform.</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many U.S. federal and state and foreign laws and regulations that involve matters central to our business, including laws and regulations that involve data privacy and protection, intellectual property (including copyright and patent laws), content regulation, rights of publicity, advertising, marketing, health and safety, competition, protection of minors,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defamation, disparagement, intellectual property infringement, breach of our privacy commitments, breach of privacy and data security laws, or other alleged damages could be asserted against us. Our systems, tools and personnel that help us to proactively detect potentially policy-violating or otherwise inappropriate content cannot identify all such content on our service, and in many cases this content will appear on the Nextdoor platform. This risk may increase as we develop and increase the use of certain features, such as video, for which identifying such content and obtaining appropriate consents is challenging. Additionally, some controversial content may not be banned on the Nextdoor platform and, even if it is not featured in advertisements to neighbors, it may still appear in the newsfeed or elsewhere. This risk is enhanced in certain jurisdictions outside of the United States where our protection from liability for content published on our platform by third parties may be unclear and where we may be less protected under local 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rely on a variety of statutory and common-law frameworks and defenses, including those provided by the DMCA, the CDA, the fair-use doctrine in the United States and the Electronic 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third-parties to our platform.</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Actions by governments that restrict access to the Nextdoor platform in their countries, or that otherwise impair our ability to sell advertising in their countries, could substantially harm our business, operating results, and financial condition.</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 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spacing w:after="0" w:line="13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business is subject to complex and evolving U.S. and foreign laws, regulations, and industry standards, many of which are subject to change and uncertain interpretations, which uncertainty could harm our business, operating results, and financial condition.</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many U.S. federal and state and foreign laws, regulations and industry standards that involve matters central to our business, including laws and regulations that involve data privacy, data security, intellectual property (including copyright and patent laws), content, rights of publicity, advertising, marketing, competition, protection of minors, consumer protection, taxation, and telecommunications. These laws and regulations are constantly evolving and may be interpreted, applied, created, or amended, in a manner that could harm our business. In addition, the introduction of new products, expansion of our activities in certain jurisdictions, or other actions that we may take may subject the company to additional laws, regulations, or other government scrutiny.</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rely on a variety of statutory and common-law frameworks and defenses relevant to the content available on the Nextdoor platform, including the DMCA, the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Moreover, the U.S. Supreme Court recently agreed to hear a case concerning the scope of CDA protection; an eventual ruling in that case might narrow the judicial interpretation of the statute, exposing us to additional lawsuits and potential judgments that could seriously harm our business. We could incur significant costs investigating and defending such claims and, if we are found liable, significant damages.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July 5, 2022, the European Parliament voted to adopt the Digital Services Act (the “DSA”), a package of legislation intended to update the liability and safety rules for digital platforms, products, and services, which could negatively impact the scope of the limited immunity provided by the E-Commerce Directive, limit targeted advertising, and require us to expend resources to try to comply with the new regulations or incur liability. On October 4, 2022, the Council of the European Union adopted the DSA and it was formally signed into law on October 19, 2022. The United Kingdom, similarly, has proposed a draft Online Safety Bill, which, if passed, would create requirements around monitoring and handling harmful content and require us to expend resources to try to comply with the new regulations or incur liability. Similarly, Australia’s Online Safety Act 2021, which went into effect in January 2022, may impose new obligations and liabilities on platforms with respect to certain types of harmful content. These new and proposed laws, together with any changes to the existing laws and regulations within the jurisdictions in which we operate could require us to expend additional resources to maintain compliance with any new or evolving regulations. As a result, we may incur additional liability, and our business, operating results, and financial condition could be harmed.</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collect, store, use, share and otherwise process data, some of which contains personal information about individuals including, but not limited to, our neighbors, employees and partners including, contact details, network details, and location data. We are therefore subject to U.S. (federal, state, local) and foreign laws and regulations regarding data privacy and security and the processing of personal information and other data from neighbors, employees or business partners. The regulatory framework for privacy, information security, data protection and processing worldwide and interpretations of existing laws and regulations is likely to continue to be uncertain and current or future legislation or regulations in the United States and other jurisdictions, or new interpretations of existing laws and regulations, could significantly restrict or impose conditions on our ability to process data and increase notice or consent requirements before we can utilize advertising technologies.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internal and publicly posted policies regarding our collection, processing, use, disclosure, deletion and security of information. Although we endeavor to comply with our policies and documentation, we may at times fail to do so or be accused of having failed to do so. The publication of our privacy policies and other documentation that provide commitments about data privacy and security can subject us to potential actions if they are found to be deceptive, unfair, or otherwise misrepresent our actual practices, which could materially and adversely affect our business, operating results, and financial condition.</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United States, we are subject to numerous federal, state and local data privacy and security laws and regulations governing the processing of information about individuals. For example, the CCPA establishes certain transparency obligations and creates data privacy rights for users, including rights to access and delete their personal information as well as opt-out of certain sales or transfers of their personal information. The law also prohibits covered businesses from discriminating against consumers (for example, charging more for services) for exercising any of their CCPA rights. The CCPA imposes statutory damages for certain violations of the law as well as a private right of action for certain data breaches that result in the loss of personal information, which increases the likelihood of, and risks associated with, data breach litigation. Additionally, California voters approved a new privacy law, the CPRA, which becomes effective January 1, 2023 (with a look back to January 1, 2022). The CPRA will significantly modify the CCPA, including by expanding consumers’ rights and establishing a new state agency that will be vested with authority to implement and enforce the CPRA. Other states have also passed comparable legislation, with unique compliance requirements relevant to our business. For example, Virginia, Colorado, Connecticut, and Utah have all passed data privacy laws that go into effect at various times in 2023, which may impose obligations similar to or more stringent than those we may face under other data protection laws. Additionally, the Federal Trade Commission and many state attorneys general are interpreting federal and state consumer protection laws to impose standards for the online collection, use, dissemination and security of data. Compliance with these laws and any newly enacted privacy and data security laws or regulations may be challenging and cost- and time-intensive, and may require us to modify our data processing practices and policies and to incur substantial costs and potential liability in an effort to comply with such legislation.</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Outside the United States, we are subject to an increasing number of laws, regulations and industry standards that apply to data privacy and security. In Canada, we are subject to the Personal Information Protection and Electronic Documents Act, which governs the collection, use and disclosure of Canadian residents’ personal information in the course of commercial activities. In Australia, we are also subject to, among other laws, Australia’s “Privacy Act 1988” (“Privacy Act”) and Australian Privacy Principles (“APPs”), which require us to, among other things: (a) establish a governance framework for managing privacy and data protection; (b) give individuals the option of not identifying themselves or using a pseudonym (unless certain exceptions apply);</w:t>
      </w:r>
    </w:p>
    <w:p>
      <w:pPr>
        <w:spacing w:after="0" w:line="2" w:lineRule="exact"/>
        <w:rPr>
          <w:sz w:val="20"/>
          <w:szCs w:val="20"/>
          <w:color w:val="auto"/>
        </w:rPr>
      </w:pPr>
    </w:p>
    <w:p>
      <w:pPr>
        <w:jc w:val="both"/>
        <w:ind w:firstLine="8"/>
        <w:spacing w:after="0" w:line="252" w:lineRule="auto"/>
        <w:tabs>
          <w:tab w:leader="none" w:pos="266"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destroy or de-identify unsolicited personal information that was not obtained for a purpose reasonably necessary or directly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In the EEA, we are subject to the GDPR and in the United Kingdom, we are subject to the United Kingdom data protection regime consisting primarily of the UK GDPR and the UK Data Protection Act 2018, in each case in relation to our collection, control, processing, sharing, disclosure and other use of data relating to an identifiable living individual (personal data). The GDPR, and national implementing legislation in EEA member states and the United Kingdom, imposes a strict data protection compliance regime,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grants new rights for data subjects in regard to their personal data (including the right to be “forgotten” and the right to data portability) and enhances current rights (e.g., data subject access requests).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also subject to European Union rules with respect to cross-border transfers of personal data out of the EEA and the United Kingdom. Recent legal developments in Europe have created complexity and uncertainty regarding transfers of personal data from the EEA and the United Kingdom to the United States. On July 16, 2020, the Court of Justice of the European Union (the “CJEU”) invalidated the EU-U.S. Privacy Shield Framework (the “Privacy Shield”) under which personal data could be transferred from the EEA to U.S. entities who had self-certified under the Privacy Shield scheme. While the CJEU upheld the adequacy of the standard contractual clauses (a standard form of contract approved by the EU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To safeguard data transfers from the EEA to other jurisdictions, including the USA, we currently utilize standard contractual contracts approved by the EU Commission.</w:t>
      </w:r>
    </w:p>
    <w:p>
      <w:pPr>
        <w:spacing w:after="0" w:line="11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CJEU decision may result in different EEA data protection regulators applying differing standards for the transfer of personal data from the EEA to the United States, and even require ad hoc verification of measures taken with respect to data flows. Therefore, as a result of this CJEU decision, we may be required to review, amend and take additional steps to legitimize impacted personal data transfers. As supervisory authorities issue further guidance on personal data export mechanisms, including circumstances where the standard contractual clauses cannot be used, and/or start taking enforcement action, we could suffer increased costs to ensure compliance as well as additional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business, financial condition and results of operations. The EU Commission has also published revised standard contractual clauses for data transfers from the EEA: the revised clauses must be used for relevant new data transfers from September 27, 2021; existing standard contractual clauses arrangements must be migrated to the revised clauses by December 27, 2022. Although the EU Commission and the United States have made progress in their negotiations to reach a new agreement on a framework for data privacy for trans-Atlantic data transfers by agreeing to the Trans-Atlantic Data Privacy Framework in March 2022, and President Biden signed an Executive Order on Enhancing Safeguards for United States Signals Intelligence Activities on October 7, 2022, the timeline for both parties to finalize a framework for data privacy for trans-Atlantic data transfers remains uncertain. Thus, where we continue to rely on standard contractual clauses, we will need to implement the revised standard contractual clauses, in relation to relevant existing contracts and vendor/customer arrangements, within the relevant time frames. There is some uncertainty around whether the revised clauses can be used for all types of data transfers, particularly whether they can be relied on for data transfers to non-EEA entities subject to the GDPR.</w:t>
      </w:r>
    </w:p>
    <w:p>
      <w:pPr>
        <w:spacing w:after="0" w:line="1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relationship between the United Kingdom and the European Union in relation to certain aspects of data protection law remains unclear, and it is unclear how U.K. data protection laws and regulations, including those regarding data transfers to and from the United Kingdom, will develop in the medium to longer term. For example, while the EU Commission has adopted an adequacy decision in favor of the United Kingdom, enabling data transfers from EU member states to the United Kingdom without additional safeguards, the decision will automatically expire in June 2025 unless the EU Commission re-assesses and renews/extends it. These developments and this uncertainty will lead to additional costs and increase our overall risk exposure.</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also subject to evolving E.U. and U.K. privacy laws on cookies and e-marketing. In the E.U. and the U.K., regulators are increasingly focusing on compliance with current national laws that implement the ePrivacy Directive. The ePrivacy Directive may be replaced by an EU regulation known as the ePrivacy Regulation that will significantly increase fines for non-compliance. In the E.U. and the U.K., informed consent is required for the placement of certain cookies or similar technologies on a user’s device and for direct electronic marketing and (under the UK GDPR and the GDPR) valid consent is tightly defined, including, a prohibition on pre-checked consents and, in the context of cookies, a requirement to obtain separate consents for each type of cookie or similar technology. While the text of the ePrivacy Regulation is still under development, a recent European court decision and regulators’ recent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have put in efforts to comply with these regulations, the uncertainty surrounding enforcement and changing privacy landscapes could change our compliance status. Similarly, there are a number of legislative proposals in the European Union, the United States, at both the federal and state level, as well as other jurisdictions that could impose new obligations or limitations in areas affecting our business.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The impact of these laws and regulations may disproportionately affect our business in comparison to our peers in the technology sector that have greater resources. Even though we communicate with lawmakers and regulators in countries and regions in which we conduct business, and despite having a dedicated policy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be involved in legal disputes that are expensive and time consuming, and, if resolved adversely, could harm our business, operating results, and financial condition.</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currently involved in, and may in the future be involved in, actual and threatened legal proceedings, claims, investigations and government inquiries arising in the ordinary course of our business, including intellectual property, data privacy, cybersecurity,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w:t>
      </w:r>
    </w:p>
    <w:p>
      <w:pPr>
        <w:spacing w:after="0" w:line="1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Exposure to United Kingdom political developments, including the effect of its withdrawal from the European Union, could be costly and difficult to comply with and could adversely impact our business, operating results, and financial condition.</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a referendum was passed in the United Kingdom to leave the European Union, commonly referred to as “Brexit.” This decision created an uncertain political and economic environment in the United Kingdom and other European Union countries, and the formal process for leaving the European Union has taken years to complete. Although the United Kingdom and the European Union have recently entered into a trade and cooperation agreement, the long-term nature of the United Kingdom’s relationship with the European Union remains unclear and there is considerable uncertainty as to their future political and economic relations. The political and economic instability created by Brexit has caused and may continue to cause significant volatility in global financial markets and uncertainty regarding the regulation of cybersecurity in the United Kingdom. In addition, Brexit could lead to legal uncertainty and potentially divergent national laws and regulations as the United Kingdom determines which European Union laws to replace 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replicate. For example, as discussed above, although the European Commission has adopted an adequacy decision in favor of the United Kingdom, enabling data transfers from EU member states to the United Kingdom without additional safeguards, uncertainty remains regarding how data transfers to and from the United Kingdom will be regulated in the long term. Brexit could also have the effect of disrupting the free movement of goods, services, capital, and people between the United Kingdom, the European Union, and elsewhere. The full effect of Brexit is uncertain and depends on any current and future agreements the United Kingdom makes with the European Union and others. Consequently, no assurance can be given about the impact of these developments, and our operational, tax, and other policies may require reassessment and our business, operating results, and financial condition may be seriously harmed.</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obligations associated with operating as a public company require significant resources and management attention and have, and will continue to, cause us to incur additional expenses, which will adversely affect our profitability.</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Operating as a public company will increase our expenses as a result of the additional accounting, legal and various other additional expenses associated with operating as a public company and complying with public company disclosure obligations. We are required to comply with certain requirements of the Exchange Act, the Sarbanes-Oxley Act, the Dodd-Frank Wall Street Reform and Consumer Protection Act of 2010, the listing requirements of the NYSE and other applicable securities rules and regulations. The Exchange Act requires, among other things, that we file annual, quarterly, and current 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has increased, and will continue to increase, our legal and financial compliance costs, make some activities more difficult, time-consuming or costly and increase demand on our systems and resources. As a public company, we have and will continue to, among other things:</w:t>
      </w:r>
    </w:p>
    <w:p>
      <w:pPr>
        <w:spacing w:after="0" w:line="124" w:lineRule="exact"/>
        <w:rPr>
          <w:sz w:val="20"/>
          <w:szCs w:val="20"/>
          <w:color w:val="auto"/>
        </w:rPr>
      </w:pPr>
    </w:p>
    <w:p>
      <w:pPr>
        <w:ind w:left="660" w:right="70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prepare and distribute periodic public reports and other stockholder communications in compliance with our obligations under the federal securities laws;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or expand the roles and duties of our Board of Directors and committees of the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functions;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new and enhance existing internal policies, including those relating to disclosure controls and procedures.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These changes, and the additional involvement of accountants and legal advisors, will require a significant commitment of additional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ambiguities related to practice, regulatory authorities may initiate legal proceedings against us, and our business may be harmed. Moreover, the cost of our directors’ and officers’ insurance coverage has increased as a public company.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effective systems of internal controls and disclosure controls could have a material adverse effect on our business, operating results, and financial condition.</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spacing w:after="0" w:line="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We are currently an “emerging growth company,” and, so long as we remain an “emerging growth company” we will not be required to include an attestation report on internal control over financial reporting issued by our independent registered public accounting firm. We expect that our independent registered public accounting firm will be required to formally attest to the effectiveness of our internal control over financial reporting for the year ended December 31, 2022, as we will be a “large accelerated filer” as of December 31, 2022, based on the assessment of our public float as of June 30, 2022. Our independent registered public</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to incur significant expenses and devote substantial management effort toward ensuring compliance with the requirements of Section 404 of the Sarbanes-Oxley Act, which will increase when we are no longer an “emerging growth company.” As a result, management’s attention may be diverted from other business concerns, which could harm our business, operating results and financial condition.</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obligated to develop and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KVSB’s management previously identified a material weakness in its internal control over financial reporting. Although we determined the material weakness in internal control over financial reporting did not exist following the completion of the Business Combination with KVSB, we cannot assure you that the measures we have taken to date, or any measures we may take in the future, will be sufficient to identify or prevent future material weaknesses. If other material weaknesses or other deficiencies occur, our ability to accurately and timely report our financial statements could be impaired, which could result in a material misstatement of our financial statements that may not be prevented or detected on a timely basis.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intellectual property, the value of our brands and other intangible assets may be diminished, and our business, operating results, and financial condition may be adversely affected.</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proprietary information.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 parties may claim that the Nextdoor platform infringes their intellectual property rights, and such claims may result in legal claims against us and our technology partners and customers. These claims may damage our brand and reputation and create liability for us. We expect the number of such claims to increase as the functionality of our platform overlaps with that of other products and services, and as the volume of issued software patents and patent applications continues to increase.</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also face exposure to third-party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spacing w:after="0" w:line="1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subject us to possible litigation or could prevent us from offering products that include open source software or require us to obtain licenses on unfavorable terms.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 or using the open source software, or that we license such modifications or derivative works under the terms of the particular open source license. From time to time, companies that use third-party open source software have also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w:t>
      </w:r>
    </w:p>
    <w:p>
      <w:pPr>
        <w:spacing w:after="0" w:line="1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of many open source licenses have not been interpreted by U.S. or foreign courts, and accordingly there is a risk that those licenses could be construed in a manner that imposes unanticipated conditions or restrictions on our ability to commercialize our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As a result, our business, operating results and financial condition would be adversely affected.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Class A common stock has been and may continue to be volatile.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spacing w:after="0" w:line="13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user growth, retention, engagement, revenue, or other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involving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between our actual operating results and the expectations of securities analysts, investors, and the financial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our competitors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shares of our Class A common stock being sold into the market by us or our existing stockholders, or the anticipation of such sales, or if existing stockholders subject to a lock-up sell shares into the market when applicable “lock-up” periods end;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volume of shares of our Class A common stock available for public sale;</w:t>
      </w:r>
    </w:p>
    <w:p>
      <w:pPr>
        <w:spacing w:after="0" w:line="171"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announcements by us or estimates by third parties of actual or anticipated changes in the size of our user base or the level of user engagement;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technology companies in our industry, including our partners and competitors;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interest rate increases on the overall stock market and the market for technology company stocks;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194" w:lineRule="exact"/>
        <w:rPr>
          <w:rFonts w:ascii="Arial" w:cs="Arial" w:eastAsia="Arial" w:hAnsi="Arial"/>
          <w:sz w:val="16"/>
          <w:szCs w:val="16"/>
          <w:color w:val="auto"/>
        </w:rPr>
      </w:pPr>
    </w:p>
    <w:p>
      <w:pPr>
        <w:ind w:left="660" w:right="40" w:hanging="328"/>
        <w:spacing w:after="0" w:line="342"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effects of the ongoing COVID-19 pandemic, the war in Ukraine, recessions, rising inflation, interest rates, local and national elections, international currency fluctuations, corruption, political instability and acts of war or terrorism.</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S&amp;P Dow Jones and FTSE Russell limit their eligibility criteria for inclusion of shares of public companies on certain indices, including the S&amp;P 500, namely, to exclude companies with multiple classes of shares of common stock from being added to such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spacing w:after="0" w:line="12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December 31, 2021.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spacing w:after="0" w:line="1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currently intend to retain our future earnings, if any, to finance the further development and expansion of our business, as well as to fund our Share Repurchase Program,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 stock price and trading volume may decline. Similar results may occur if one or more of these analysts stop covering us in the future or fail to publish reports on us regularly.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7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resales of our Class A common stock may cause the market price of our securities to drop significantly, even if our business is doing well.</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These sales, or the perception in the market that the holders of a large number of our Class A common stock intend to sell shares, could reduce the market price of our Class A common stock. As of September 30, 2022, we had 149,825,182 shares of our Class A common stock outstanding. We have filed a registration statement related to the offer and sale from time to time by the selling securityholders named in the prospectus that forms a part of the registration statement of up to 232,826,486 shares of our Class A common stock, which registration statement has been declared effective by the SEC. Pursuant to the lock-up agreement entered into with Khosla Ventures SPAC Sponsor II LLC (the “Sponsor”), and subject to certain customary exceptions, such lockup restrictions applicable to the shares held by the Sponsor began on the closing date of the Business Combination (the “Closing Date”) and end on November 5, 2022, the one year anniversary of the Closing Date. An aggregate of 11,541,291 shares of our Class A common stock and an aggregate of 8,580 shares of our Class B common stock are subject to lock-up restrictions under the Sponsor lock-up agreement. Following the expiration of the lockup applicable to the Sponsor, the Sponsor will not be restricted from selling shares of our Class A common stock, other than by applicable securities laws. To the extent shares are sold into the market pursuant to a registration statement that has been declared effective by the SEC, under Rule 144 or otherwise, particularly in substantial quantities, the market price of our Class A common stock could decline.</w:t>
      </w:r>
    </w:p>
    <w:p>
      <w:pPr>
        <w:spacing w:after="0" w:line="1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are currently an emerging growth company and a smaller reporting company within the meaning of the Securities Act, and we take advantage of certain exemptions from disclosure requirements available to emerging growth companies or smaller reporting companies, which could make our securities less attractive to investors and may make it more difficult to compare our performance with other public companies.</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currently an “emerging growth company” within the meaning of the Securities Act, as modified by the JOBS Act, and we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Because the market value of our common stock held by non-affiliates as of June 30, 2022, exceeded $700 million, we will lose emerging growth company status as of December 31, 2022. Until such time, we cannot predict whether investors will find our Class A common stock less attractive because we will rely on these exemptions. If some investors find our Class A common stock less attractive as a result of our reliance on these exemptions, the trading price of our Class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common stock may be lower than it otherwise would be, there may be a less active trading market for our Class A common stock and the trading price of our Class A common stock may be more volatile.</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December 31, 2022. To the extent we take advantage of such reduced disclosure obligations, it may also make comparison of our financial statements with other public companies difficult or impossible.</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Provisions in our Certificate of Incorporation and our Restated Bylaws (the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spacing w:after="0" w:line="13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 with staggered three-year terms;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 created directorships;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Certificate of Incorporation and Bylaws;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only our chairperson of the Board of Directors, our chief executive officer, the lead independent director or a majority of our Board of Directors will be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 not provide for cumulative voting;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71" w:lineRule="exact"/>
        <w:rPr>
          <w:rFonts w:ascii="Arial" w:cs="Arial" w:eastAsia="Arial" w:hAnsi="Arial"/>
          <w:sz w:val="18"/>
          <w:szCs w:val="18"/>
          <w:color w:val="auto"/>
        </w:rPr>
      </w:pPr>
    </w:p>
    <w:p>
      <w:pPr>
        <w:ind w:left="660" w:right="340" w:hanging="328"/>
        <w:spacing w:after="0" w:line="31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our Board of Directors is expressly authorized to make, alter, or repeal our Bylaws; and</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contains exclusive forum provisions for certain claims, which may limit our stockholders’ ability to obtain a favorable judicial forum for disputes with us or our directors, officers, or employees.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Our stockholders will not be deemed to have waived our compliance with the federal securities laws and the regulations promulgated thereunder.</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March 26, 2021, Khosla Ventures Acquisition Co. II (“KVSB”) consummated its initial public offering of 40,000,000 public shares. On March 30, 2021 in connection with the underwriters’ election to partially exercise their over-allotment option, KVSB sold an additional 1,634,412 public shares to cover over-allotments. The public shares were sold at a price of $10.00 per share, generating total gross proceeds of $416.3 million from the initial public offering and partial exercise of the underwriters’ over-allotment option. The securities sold in the offering were registered under the Securities Act on a registration statement on Form S-1 (No. 333-253098). The registration statement became effective on March 23, 2021.</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Simultaneously with the consummation of the initial public offering, KVSB consummated a private placement of 1,100,000 private placement shares, at a price of $10.00 per share, to the Sponsor, generating gross proceeds to KVSB of $11.0 million. In connection with the underwriters’ partial exercise of their over-allotment option that closed on March 30, 2021, KVSB also consummated the sale of an additional 32,688 private placement shares to the Sponsor, generating gross proceeds of $0.3 million. Such securities were issued pursuant to the exemption from registration contained in Section 4(a)(2)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KVSB incurred $23.6 million in offering costs for its initial public offering including $14.6 million of deferred underwriting fees, $8.3 million of underwriting discounts and commissions, and $0.7 million of other costs. Following the initial public offering, the partial exercise of the over-allotment option, and the sale of the private placement shares, a total of $416.3 million was deposited into the trust account for the purpose of effecting an initial business combination. As of November 5, 2021, the record date of the Business Combination, there was $416.4 million held in the trust account. After deducting payments to existing KVSB shareholders of $12.2 million in connection with their exercise of redemption rights, the payment of the $14.6 million of deferred underwriting fees, and $28.9 million of expenses in connection with the Business Combination paid from the trust account, the remainder of the trust account is now held on our balance sheet to fund our operations and continued growth.</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 repurchase activity for the three months ended September 30,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auto"/>
        </w:rPr>
        <w:t>Period</w:t>
      </w:r>
    </w:p>
    <w:p>
      <w:pPr>
        <w:spacing w:after="0" w:line="40" w:lineRule="exact"/>
        <w:rPr>
          <w:sz w:val="20"/>
          <w:szCs w:val="20"/>
          <w:color w:val="auto"/>
        </w:rPr>
      </w:pPr>
    </w:p>
    <w:p>
      <w:pPr>
        <w:jc w:val="center"/>
        <w:ind w:left="20"/>
        <w:spacing w:after="0"/>
        <w:rPr>
          <w:sz w:val="20"/>
          <w:szCs w:val="20"/>
          <w:color w:val="auto"/>
        </w:rPr>
      </w:pPr>
      <w:r>
        <w:rPr>
          <w:rFonts w:ascii="Arial" w:cs="Arial" w:eastAsia="Arial" w:hAnsi="Arial"/>
          <w:sz w:val="16"/>
          <w:szCs w:val="16"/>
          <w:color w:val="auto"/>
        </w:rPr>
        <w:t>July 1, 2022 to July 31, 2022</w:t>
      </w:r>
    </w:p>
    <w:p>
      <w:pPr>
        <w:spacing w:after="0" w:line="46" w:lineRule="exact"/>
        <w:rPr>
          <w:sz w:val="20"/>
          <w:szCs w:val="20"/>
          <w:color w:val="auto"/>
        </w:rPr>
      </w:pPr>
    </w:p>
    <w:p>
      <w:pPr>
        <w:ind w:left="20" w:right="240"/>
        <w:spacing w:after="0" w:line="234" w:lineRule="auto"/>
        <w:rPr>
          <w:sz w:val="20"/>
          <w:szCs w:val="20"/>
          <w:color w:val="auto"/>
        </w:rPr>
      </w:pPr>
      <w:r>
        <w:rPr>
          <w:rFonts w:ascii="Arial" w:cs="Arial" w:eastAsia="Arial" w:hAnsi="Arial"/>
          <w:sz w:val="18"/>
          <w:szCs w:val="18"/>
          <w:color w:val="auto"/>
        </w:rPr>
        <w:t>August 1, 2022 to August 31, 2022</w:t>
      </w:r>
    </w:p>
    <w:p>
      <w:pPr>
        <w:spacing w:after="0" w:line="14" w:lineRule="exact"/>
        <w:rPr>
          <w:sz w:val="20"/>
          <w:szCs w:val="20"/>
          <w:color w:val="auto"/>
        </w:rPr>
      </w:pPr>
    </w:p>
    <w:p>
      <w:pPr>
        <w:ind w:left="20" w:right="560"/>
        <w:spacing w:after="0" w:line="289" w:lineRule="auto"/>
        <w:rPr>
          <w:sz w:val="20"/>
          <w:szCs w:val="20"/>
          <w:color w:val="auto"/>
        </w:rPr>
      </w:pPr>
      <w:r>
        <w:rPr>
          <w:rFonts w:ascii="Arial" w:cs="Arial" w:eastAsia="Arial" w:hAnsi="Arial"/>
          <w:sz w:val="16"/>
          <w:szCs w:val="16"/>
          <w:color w:val="auto"/>
        </w:rPr>
        <w:t>September 1, 2022 to September 30, 2022</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Approximate Dollar Value</w:t>
            </w:r>
          </w:p>
        </w:tc>
      </w:tr>
      <w:tr>
        <w:trPr>
          <w:trHeight w:val="189"/>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Total Number of Shares</w:t>
            </w:r>
          </w:p>
        </w:tc>
        <w:tc>
          <w:tcPr>
            <w:tcW w:w="80" w:type="dxa"/>
            <w:vAlign w:val="bottom"/>
          </w:tcPr>
          <w:p>
            <w:pPr>
              <w:spacing w:after="0"/>
              <w:rPr>
                <w:sz w:val="16"/>
                <w:szCs w:val="16"/>
                <w:color w:val="auto"/>
              </w:rPr>
            </w:pPr>
          </w:p>
        </w:tc>
        <w:tc>
          <w:tcPr>
            <w:tcW w:w="2180" w:type="dxa"/>
            <w:vAlign w:val="bottom"/>
            <w:gridSpan w:val="2"/>
          </w:tcPr>
          <w:p>
            <w:pPr>
              <w:jc w:val="right"/>
              <w:ind w:right="10"/>
              <w:spacing w:after="0" w:line="189" w:lineRule="exact"/>
              <w:rPr>
                <w:sz w:val="20"/>
                <w:szCs w:val="20"/>
                <w:color w:val="auto"/>
              </w:rPr>
            </w:pPr>
            <w:r>
              <w:rPr>
                <w:rFonts w:ascii="Arial" w:cs="Arial" w:eastAsia="Arial" w:hAnsi="Arial"/>
                <w:sz w:val="18"/>
                <w:szCs w:val="18"/>
                <w:b w:val="1"/>
                <w:bCs w:val="1"/>
                <w:color w:val="auto"/>
                <w:w w:val="93"/>
              </w:rPr>
              <w:t>of Shares that May Yet Be</w:t>
            </w:r>
          </w:p>
        </w:tc>
      </w:tr>
      <w:tr>
        <w:trPr>
          <w:trHeight w:val="176"/>
        </w:trPr>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Purchased as Part of the</w:t>
            </w:r>
          </w:p>
        </w:tc>
        <w:tc>
          <w:tcPr>
            <w:tcW w:w="80" w:type="dxa"/>
            <w:vAlign w:val="bottom"/>
          </w:tcPr>
          <w:p>
            <w:pPr>
              <w:spacing w:after="0"/>
              <w:rPr>
                <w:sz w:val="15"/>
                <w:szCs w:val="15"/>
                <w:color w:val="auto"/>
              </w:rPr>
            </w:pPr>
          </w:p>
        </w:tc>
        <w:tc>
          <w:tcPr>
            <w:tcW w:w="218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w w:val="90"/>
              </w:rPr>
              <w:t>Purchased Under the Pans</w:t>
            </w:r>
          </w:p>
        </w:tc>
      </w:tr>
      <w:tr>
        <w:trPr>
          <w:trHeight w:val="189"/>
        </w:trPr>
        <w:tc>
          <w:tcPr>
            <w:tcW w:w="2160" w:type="dxa"/>
            <w:vAlign w:val="bottom"/>
          </w:tcPr>
          <w:p>
            <w:pPr>
              <w:jc w:val="right"/>
              <w:ind w:right="70"/>
              <w:spacing w:after="0" w:line="189" w:lineRule="exact"/>
              <w:rPr>
                <w:sz w:val="20"/>
                <w:szCs w:val="20"/>
                <w:color w:val="auto"/>
              </w:rPr>
            </w:pPr>
            <w:r>
              <w:rPr>
                <w:rFonts w:ascii="Arial" w:cs="Arial" w:eastAsia="Arial" w:hAnsi="Arial"/>
                <w:sz w:val="18"/>
                <w:szCs w:val="18"/>
                <w:b w:val="1"/>
                <w:bCs w:val="1"/>
                <w:color w:val="auto"/>
                <w:w w:val="97"/>
              </w:rPr>
              <w:t>Total 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89"/>
              </w:rPr>
              <w:t>Average Price Paid per</w:t>
            </w:r>
          </w:p>
        </w:tc>
        <w:tc>
          <w:tcPr>
            <w:tcW w:w="21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Publicly Announced Plans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jc w:val="right"/>
              <w:ind w:right="550"/>
              <w:spacing w:after="0" w:line="189" w:lineRule="exact"/>
              <w:rPr>
                <w:sz w:val="20"/>
                <w:szCs w:val="20"/>
                <w:color w:val="auto"/>
              </w:rPr>
            </w:pPr>
            <w:r>
              <w:rPr>
                <w:rFonts w:ascii="Arial" w:cs="Arial" w:eastAsia="Arial" w:hAnsi="Arial"/>
                <w:sz w:val="18"/>
                <w:szCs w:val="18"/>
                <w:b w:val="1"/>
                <w:bCs w:val="1"/>
                <w:color w:val="auto"/>
              </w:rPr>
              <w:t>or Programs</w:t>
            </w:r>
          </w:p>
        </w:tc>
      </w:tr>
      <w:tr>
        <w:trPr>
          <w:trHeight w:val="229"/>
        </w:trPr>
        <w:tc>
          <w:tcPr>
            <w:tcW w:w="2160" w:type="dxa"/>
            <w:vAlign w:val="bottom"/>
          </w:tcPr>
          <w:p>
            <w:pPr>
              <w:jc w:val="right"/>
              <w:ind w:right="490"/>
              <w:spacing w:after="0" w:line="230" w:lineRule="exact"/>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23"/>
                <w:szCs w:val="23"/>
                <w:b w:val="1"/>
                <w:bCs w:val="1"/>
                <w:color w:val="auto"/>
                <w:vertAlign w:val="superscript"/>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center"/>
              <w:ind w:right="220"/>
              <w:spacing w:after="0" w:line="230" w:lineRule="exact"/>
              <w:rPr>
                <w:sz w:val="20"/>
                <w:szCs w:val="20"/>
                <w:color w:val="auto"/>
              </w:rPr>
            </w:pPr>
            <w:r>
              <w:rPr>
                <w:rFonts w:ascii="Arial" w:cs="Arial" w:eastAsia="Arial" w:hAnsi="Arial"/>
                <w:sz w:val="18"/>
                <w:szCs w:val="18"/>
                <w:b w:val="1"/>
                <w:bCs w:val="1"/>
                <w:color w:val="auto"/>
                <w:w w:val="86"/>
              </w:rPr>
              <w:t xml:space="preserve">Share </w:t>
            </w:r>
            <w:r>
              <w:rPr>
                <w:rFonts w:ascii="Arial" w:cs="Arial" w:eastAsia="Arial" w:hAnsi="Arial"/>
                <w:sz w:val="23"/>
                <w:szCs w:val="23"/>
                <w:b w:val="1"/>
                <w:bCs w:val="1"/>
                <w:color w:val="auto"/>
                <w:w w:val="86"/>
                <w:vertAlign w:val="superscript"/>
              </w:rPr>
              <w:t>(2)</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ind w:right="450"/>
              <w:spacing w:after="0"/>
              <w:rPr>
                <w:sz w:val="20"/>
                <w:szCs w:val="20"/>
                <w:color w:val="auto"/>
              </w:rPr>
            </w:pPr>
            <w:r>
              <w:rPr>
                <w:rFonts w:ascii="Arial" w:cs="Arial" w:eastAsia="Arial" w:hAnsi="Arial"/>
                <w:sz w:val="18"/>
                <w:szCs w:val="18"/>
                <w:b w:val="1"/>
                <w:bCs w:val="1"/>
                <w:color w:val="auto"/>
              </w:rPr>
              <w:t>(in thousands)</w:t>
            </w:r>
          </w:p>
        </w:tc>
      </w:tr>
      <w:tr>
        <w:trPr>
          <w:trHeight w:val="224"/>
        </w:trPr>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4,547,680</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9"/>
                <w:szCs w:val="19"/>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4,547,680</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73,003</w:t>
            </w:r>
          </w:p>
        </w:tc>
      </w:tr>
      <w:tr>
        <w:trPr>
          <w:trHeight w:val="418"/>
        </w:trPr>
        <w:tc>
          <w:tcPr>
            <w:tcW w:w="2160" w:type="dxa"/>
            <w:vAlign w:val="bottom"/>
          </w:tcPr>
          <w:p>
            <w:pPr>
              <w:jc w:val="right"/>
              <w:spacing w:after="0"/>
              <w:rPr>
                <w:sz w:val="20"/>
                <w:szCs w:val="20"/>
                <w:color w:val="auto"/>
              </w:rPr>
            </w:pPr>
            <w:r>
              <w:rPr>
                <w:rFonts w:ascii="Arial" w:cs="Arial" w:eastAsia="Arial" w:hAnsi="Arial"/>
                <w:sz w:val="18"/>
                <w:szCs w:val="18"/>
                <w:color w:val="auto"/>
              </w:rPr>
              <w:t>6,938,173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6,938,173</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50,280</w:t>
            </w:r>
          </w:p>
        </w:tc>
      </w:tr>
      <w:tr>
        <w:trPr>
          <w:trHeight w:val="418"/>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8,704,758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4"/>
                <w:szCs w:val="24"/>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8,704,758</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22,768</w:t>
            </w:r>
          </w:p>
        </w:tc>
      </w:tr>
      <w:tr>
        <w:trPr>
          <w:trHeight w:val="223"/>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20,190,611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20,190,611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-453390</wp:posOffset>
            </wp:positionV>
            <wp:extent cx="7089140" cy="265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9140" cy="26543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-873760</wp:posOffset>
            </wp:positionV>
            <wp:extent cx="708914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120"/>
            <w:col w:w="9000"/>
          </w:cols>
          <w:pgMar w:left="320" w:top="125" w:right="339" w:bottom="1440" w:gutter="0" w:footer="0" w:header="0"/>
          <w:type w:val="continuous"/>
        </w:sectPr>
      </w:pPr>
    </w:p>
    <w:p>
      <w:pPr>
        <w:spacing w:after="0" w:line="42" w:lineRule="exact"/>
        <w:rPr>
          <w:sz w:val="20"/>
          <w:szCs w:val="20"/>
          <w:color w:val="auto"/>
        </w:rPr>
      </w:pPr>
    </w:p>
    <w:p>
      <w:pPr>
        <w:ind w:right="100" w:firstLine="8"/>
        <w:spacing w:after="0" w:line="277" w:lineRule="auto"/>
        <w:tabs>
          <w:tab w:leader="none" w:pos="181"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On May 31, 2022, our Board of Directors authorized a program to repurchase up to $100.0 million in aggregate of our Class A common stock, with the authorization to expire on June 30, 2024. The timing of any repurchases will depend on market conditions and other investment opportunities, and will be made at our discretion. The Company currently anticipates that the Share Repurchase Program will extend through June 30, 2024, or such shorter period if $100.0 million in aggregate of shares of our Class A common stock have been repurchased. The Share Repurchase Program does not obligate us to repurchase any dollar amount or number of shares, and the program may be extended, modified, suspended, or discontinued at any time. Please refer to Note 9 of the Notes to Condensed Consolidated Financial Statements included in Part I, Item 1 of this Quarterly Report on Form 10-Q for additional information.</w:t>
      </w:r>
    </w:p>
    <w:p>
      <w:pPr>
        <w:spacing w:after="0" w:line="110"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Average price paid per share includes costs associated with the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Incorporated by Reference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20" w:type="dxa"/>
            <w:vAlign w:val="bottom"/>
            <w:gridSpan w:val="9"/>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126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2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20" w:type="dxa"/>
            <w:vAlign w:val="bottom"/>
            <w:gridSpan w:val="9"/>
            <w:vMerge w:val="continue"/>
          </w:tcPr>
          <w:p>
            <w:pPr>
              <w:spacing w:after="0"/>
              <w:rPr>
                <w:sz w:val="16"/>
                <w:szCs w:val="16"/>
                <w:color w:val="auto"/>
              </w:rPr>
            </w:pPr>
          </w:p>
        </w:tc>
        <w:tc>
          <w:tcPr>
            <w:tcW w:w="1260" w:type="dxa"/>
            <w:vAlign w:val="bottom"/>
            <w:gridSpan w:val="2"/>
          </w:tcPr>
          <w:p>
            <w:pPr>
              <w:ind w:left="400"/>
              <w:spacing w:after="0"/>
              <w:rPr>
                <w:sz w:val="20"/>
                <w:szCs w:val="20"/>
                <w:color w:val="auto"/>
              </w:rPr>
            </w:pPr>
            <w:r>
              <w:rPr>
                <w:rFonts w:ascii="Arial" w:cs="Arial" w:eastAsia="Arial" w:hAnsi="Arial"/>
                <w:sz w:val="14"/>
                <w:szCs w:val="14"/>
                <w:b w:val="1"/>
                <w:bCs w:val="1"/>
                <w:color w:val="auto"/>
              </w:rPr>
              <w:t>Form</w:t>
            </w:r>
          </w:p>
        </w:tc>
        <w:tc>
          <w:tcPr>
            <w:tcW w:w="1740" w:type="dxa"/>
            <w:vAlign w:val="bottom"/>
            <w:gridSpan w:val="3"/>
          </w:tcPr>
          <w:p>
            <w:pPr>
              <w:ind w:left="340"/>
              <w:spacing w:after="0"/>
              <w:rPr>
                <w:sz w:val="20"/>
                <w:szCs w:val="20"/>
                <w:color w:val="auto"/>
              </w:rPr>
            </w:pPr>
            <w:r>
              <w:rPr>
                <w:rFonts w:ascii="Arial" w:cs="Arial" w:eastAsia="Arial" w:hAnsi="Arial"/>
                <w:sz w:val="14"/>
                <w:szCs w:val="14"/>
                <w:b w:val="1"/>
                <w:bCs w:val="1"/>
                <w:color w:val="auto"/>
              </w:rPr>
              <w:t>Exhibit</w:t>
            </w:r>
          </w:p>
        </w:tc>
        <w:tc>
          <w:tcPr>
            <w:tcW w:w="1280" w:type="dxa"/>
            <w:vAlign w:val="bottom"/>
          </w:tcPr>
          <w:p>
            <w:pPr>
              <w:ind w:left="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16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60" w:type="dxa"/>
            <w:vAlign w:val="bottom"/>
            <w:tcBorders>
              <w:top w:val="single" w:sz="8" w:color="auto"/>
            </w:tcBorders>
            <w:gridSpan w:val="9"/>
          </w:tcPr>
          <w:p>
            <w:pPr>
              <w:spacing w:after="0" w:line="189" w:lineRule="exact"/>
              <w:rPr>
                <w:sz w:val="20"/>
                <w:szCs w:val="20"/>
                <w:color w:val="auto"/>
              </w:rPr>
            </w:pPr>
            <w:r>
              <w:rPr>
                <w:rFonts w:ascii="Arial" w:cs="Arial" w:eastAsia="Arial" w:hAnsi="Arial"/>
                <w:sz w:val="18"/>
                <w:szCs w:val="18"/>
                <w:color w:val="0000FF"/>
                <w:w w:val="95"/>
              </w:rPr>
              <w:t>Certification of Principal Executive Officer pursuant to</w:t>
            </w: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89"/>
              </w:rPr>
              <w:t>Rule 13a-14(a) and 15d-14(a) under the Exchange Act,</w:t>
            </w:r>
          </w:p>
        </w:tc>
        <w:tc>
          <w:tcPr>
            <w:tcW w:w="1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3"/>
              </w:rPr>
              <w:t>as adopted pursuant to Section 302 of the Sarbanes-</w:t>
            </w:r>
          </w:p>
        </w:tc>
        <w:tc>
          <w:tcPr>
            <w:tcW w:w="2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Oxley Act of 2002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0000FF"/>
                <w:w w:val="98"/>
              </w:rPr>
              <w:t>Certification of Principal Financial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8"/>
              </w:rPr>
              <w:t>Rule 13a-14(a) and 15d-14(a) under the Exchange Act,</w:t>
            </w: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3"/>
              </w:rPr>
              <w:t>as adopted pursuant to Section 302 of the Sarbanes-</w:t>
            </w:r>
          </w:p>
        </w:tc>
        <w:tc>
          <w:tcPr>
            <w:tcW w:w="2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3"/>
                <w:szCs w:val="23"/>
                <w:color w:val="auto"/>
                <w:vertAlign w:val="superscript"/>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Oxley Act of 2002</w:t>
            </w:r>
          </w:p>
        </w:tc>
        <w:tc>
          <w:tcPr>
            <w:tcW w:w="220" w:type="dxa"/>
            <w:vAlign w:val="bottom"/>
            <w:gridSpan w:val="2"/>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0000FF"/>
                <w:w w:val="97"/>
              </w:rPr>
              <w:t>Certification of Principal Executive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89"/>
              </w:rPr>
              <w:t>18 U.S.C. Section 1350 as adopted pursuant to Section</w:t>
            </w:r>
          </w:p>
        </w:tc>
        <w:tc>
          <w:tcPr>
            <w:tcW w:w="1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32.2</w:t>
            </w:r>
            <w:r>
              <w:rPr>
                <w:rFonts w:ascii="Arial" w:cs="Arial" w:eastAsia="Arial" w:hAnsi="Arial"/>
                <w:sz w:val="23"/>
                <w:szCs w:val="23"/>
                <w:color w:val="auto"/>
                <w:vertAlign w:val="superscript"/>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0"/>
              </w:rPr>
              <w:t>906 of the Sarbanes-Oxley Act of 2002</w:t>
            </w:r>
          </w:p>
        </w:tc>
        <w:tc>
          <w:tcPr>
            <w:tcW w:w="1100" w:type="dxa"/>
            <w:vAlign w:val="bottom"/>
            <w:tcBorders>
              <w:top w:val="single" w:sz="8" w:color="0000FF"/>
            </w:tcBorders>
            <w:gridSpan w:val="3"/>
          </w:tcPr>
          <w:p>
            <w:pPr>
              <w:spacing w:after="0"/>
              <w:rPr>
                <w:sz w:val="14"/>
                <w:szCs w:val="14"/>
                <w:color w:val="auto"/>
              </w:rPr>
            </w:pPr>
          </w:p>
        </w:tc>
        <w:tc>
          <w:tcPr>
            <w:tcW w:w="22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0000FF"/>
                <w:w w:val="98"/>
              </w:rPr>
              <w:t>Certification of Principal Financial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8"/>
              </w:rPr>
              <w:t>18 U.S.C. Section 1350 as adopted pursuant to Section</w:t>
            </w:r>
          </w:p>
        </w:tc>
        <w:tc>
          <w:tcPr>
            <w:tcW w:w="240" w:type="dxa"/>
            <w:vAlign w:val="bottom"/>
            <w:gridSpan w:val="5"/>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906 of the Sarbanes-Oxley Act of 2002</w:t>
            </w:r>
          </w:p>
        </w:tc>
        <w:tc>
          <w:tcPr>
            <w:tcW w:w="22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28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Inline XBRL Instance Document.</w:t>
            </w:r>
          </w:p>
        </w:tc>
        <w:tc>
          <w:tcPr>
            <w:tcW w:w="1340" w:type="dxa"/>
            <w:vAlign w:val="bottom"/>
            <w:gridSpan w:val="8"/>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w w:val="96"/>
              </w:rPr>
              <w:t>Inline XBRL Taxonomy Extension Schema Document.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101.CAL*</w:t>
            </w:r>
          </w:p>
        </w:tc>
        <w:tc>
          <w:tcPr>
            <w:tcW w:w="20" w:type="dxa"/>
            <w:vAlign w:val="bottom"/>
          </w:tcPr>
          <w:p>
            <w:pPr>
              <w:spacing w:after="0"/>
              <w:rPr>
                <w:sz w:val="15"/>
                <w:szCs w:val="15"/>
                <w:color w:val="auto"/>
              </w:rPr>
            </w:pPr>
          </w:p>
        </w:tc>
        <w:tc>
          <w:tcPr>
            <w:tcW w:w="4160" w:type="dxa"/>
            <w:vAlign w:val="bottom"/>
            <w:gridSpan w:val="10"/>
          </w:tcPr>
          <w:p>
            <w:pPr>
              <w:spacing w:after="0" w:line="176" w:lineRule="exact"/>
              <w:rPr>
                <w:sz w:val="20"/>
                <w:szCs w:val="20"/>
                <w:color w:val="auto"/>
              </w:rPr>
            </w:pPr>
            <w:r>
              <w:rPr>
                <w:rFonts w:ascii="Arial" w:cs="Arial" w:eastAsia="Arial" w:hAnsi="Arial"/>
                <w:sz w:val="18"/>
                <w:szCs w:val="18"/>
                <w:color w:val="auto"/>
              </w:rPr>
              <w:t>Inline XBRL Taxonomy Extension Calculation</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101.DEF*</w:t>
            </w:r>
          </w:p>
        </w:tc>
        <w:tc>
          <w:tcPr>
            <w:tcW w:w="20" w:type="dxa"/>
            <w:vAlign w:val="bottom"/>
          </w:tcPr>
          <w:p>
            <w:pPr>
              <w:spacing w:after="0"/>
              <w:rPr>
                <w:sz w:val="16"/>
                <w:szCs w:val="16"/>
                <w:color w:val="auto"/>
              </w:rPr>
            </w:pPr>
          </w:p>
        </w:tc>
        <w:tc>
          <w:tcPr>
            <w:tcW w:w="4160" w:type="dxa"/>
            <w:vAlign w:val="bottom"/>
            <w:gridSpan w:val="10"/>
          </w:tcPr>
          <w:p>
            <w:pPr>
              <w:spacing w:after="0" w:line="189" w:lineRule="exact"/>
              <w:rPr>
                <w:sz w:val="20"/>
                <w:szCs w:val="20"/>
                <w:color w:val="auto"/>
              </w:rPr>
            </w:pPr>
            <w:r>
              <w:rPr>
                <w:rFonts w:ascii="Arial" w:cs="Arial" w:eastAsia="Arial" w:hAnsi="Arial"/>
                <w:sz w:val="18"/>
                <w:szCs w:val="18"/>
                <w:color w:val="auto"/>
                <w:w w:val="97"/>
              </w:rPr>
              <w:t>Inline XBRL Taxonomy Extension Definition Linkbase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101.LAB*</w:t>
            </w:r>
          </w:p>
        </w:tc>
        <w:tc>
          <w:tcPr>
            <w:tcW w:w="20" w:type="dxa"/>
            <w:vAlign w:val="bottom"/>
          </w:tcPr>
          <w:p>
            <w:pPr>
              <w:spacing w:after="0"/>
              <w:rPr>
                <w:sz w:val="16"/>
                <w:szCs w:val="16"/>
                <w:color w:val="auto"/>
              </w:rPr>
            </w:pPr>
          </w:p>
        </w:tc>
        <w:tc>
          <w:tcPr>
            <w:tcW w:w="4160" w:type="dxa"/>
            <w:vAlign w:val="bottom"/>
            <w:gridSpan w:val="10"/>
          </w:tcPr>
          <w:p>
            <w:pPr>
              <w:spacing w:after="0" w:line="189" w:lineRule="exact"/>
              <w:rPr>
                <w:sz w:val="20"/>
                <w:szCs w:val="20"/>
                <w:color w:val="auto"/>
              </w:rPr>
            </w:pPr>
            <w:r>
              <w:rPr>
                <w:rFonts w:ascii="Arial" w:cs="Arial" w:eastAsia="Arial" w:hAnsi="Arial"/>
                <w:sz w:val="18"/>
                <w:szCs w:val="18"/>
                <w:color w:val="auto"/>
              </w:rPr>
              <w:t>Inline XBRL Taxonomy Extension Label Linkbase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101.PRE*</w:t>
            </w:r>
          </w:p>
        </w:tc>
        <w:tc>
          <w:tcPr>
            <w:tcW w:w="20" w:type="dxa"/>
            <w:vAlign w:val="bottom"/>
          </w:tcPr>
          <w:p>
            <w:pPr>
              <w:spacing w:after="0"/>
              <w:rPr>
                <w:sz w:val="16"/>
                <w:szCs w:val="16"/>
                <w:color w:val="auto"/>
              </w:rPr>
            </w:pPr>
          </w:p>
        </w:tc>
        <w:tc>
          <w:tcPr>
            <w:tcW w:w="4160" w:type="dxa"/>
            <w:vAlign w:val="bottom"/>
            <w:gridSpan w:val="10"/>
          </w:tcPr>
          <w:p>
            <w:pPr>
              <w:spacing w:after="0" w:line="189" w:lineRule="exact"/>
              <w:rPr>
                <w:sz w:val="20"/>
                <w:szCs w:val="20"/>
                <w:color w:val="auto"/>
              </w:rPr>
            </w:pPr>
            <w:r>
              <w:rPr>
                <w:rFonts w:ascii="Arial" w:cs="Arial" w:eastAsia="Arial" w:hAnsi="Arial"/>
                <w:sz w:val="18"/>
                <w:szCs w:val="18"/>
                <w:color w:val="auto"/>
              </w:rPr>
              <w:t>Inline XBRL Taxonomy Extension Presentation</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60" w:type="dxa"/>
            <w:vAlign w:val="bottom"/>
            <w:gridSpan w:val="10"/>
          </w:tcPr>
          <w:p>
            <w:pPr>
              <w:spacing w:after="0" w:line="189" w:lineRule="exact"/>
              <w:rPr>
                <w:sz w:val="20"/>
                <w:szCs w:val="20"/>
                <w:color w:val="auto"/>
              </w:rPr>
            </w:pPr>
            <w:r>
              <w:rPr>
                <w:rFonts w:ascii="Arial" w:cs="Arial" w:eastAsia="Arial" w:hAnsi="Arial"/>
                <w:sz w:val="18"/>
                <w:szCs w:val="18"/>
                <w:color w:val="auto"/>
                <w:w w:val="98"/>
              </w:rPr>
              <w:t>Cover Page Interactive Date File (formatted in iXBRL</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rPr>
              <w:t>and contained in Exhibit 101)</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4"/>
                <w:szCs w:val="14"/>
                <w:color w:val="auto"/>
              </w:rPr>
              <w:t>_____________</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60" w:type="dxa"/>
            <w:vAlign w:val="bottom"/>
            <w:gridSpan w:val="2"/>
          </w:tcPr>
          <w:p>
            <w:pPr>
              <w:spacing w:after="0"/>
              <w:rPr>
                <w:sz w:val="20"/>
                <w:szCs w:val="20"/>
                <w:color w:val="auto"/>
              </w:rPr>
            </w:pPr>
            <w:r>
              <w:rPr>
                <w:rFonts w:ascii="Arial" w:cs="Arial" w:eastAsia="Arial" w:hAnsi="Arial"/>
                <w:sz w:val="14"/>
                <w:szCs w:val="14"/>
                <w:color w:val="auto"/>
              </w:rPr>
              <w:t>*  Filed herewith.</w:t>
            </w: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83" w:lineRule="auto"/>
        <w:tabs>
          <w:tab w:leader="none" w:pos="229"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pacing w:after="0" w:line="4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NEXTDOOR HOLDINGS, INC.</w:t>
      </w:r>
    </w:p>
    <w:p>
      <w:pPr>
        <w:spacing w:after="0" w:line="256"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Friar</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ind w:left="20"/>
              <w:spacing w:after="0"/>
              <w:rPr>
                <w:sz w:val="20"/>
                <w:szCs w:val="20"/>
                <w:color w:val="auto"/>
              </w:rPr>
            </w:pPr>
            <w:r>
              <w:rPr>
                <w:rFonts w:ascii="Arial" w:cs="Arial" w:eastAsia="Arial" w:hAnsi="Arial"/>
                <w:sz w:val="18"/>
                <w:szCs w:val="18"/>
                <w:color w:val="auto"/>
              </w:rPr>
              <w:t>Sarah Friar</w:t>
            </w:r>
          </w:p>
        </w:tc>
        <w:tc>
          <w:tcPr>
            <w:tcW w:w="0" w:type="dxa"/>
            <w:vAlign w:val="bottom"/>
          </w:tcPr>
          <w:p>
            <w:pPr>
              <w:spacing w:after="0"/>
              <w:rPr>
                <w:sz w:val="1"/>
                <w:szCs w:val="1"/>
                <w:color w:val="auto"/>
              </w:rPr>
            </w:pPr>
          </w:p>
        </w:tc>
      </w:tr>
      <w:tr>
        <w:trPr>
          <w:trHeight w:val="176"/>
        </w:trPr>
        <w:tc>
          <w:tcPr>
            <w:tcW w:w="64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4520" w:type="dxa"/>
            <w:vAlign w:val="bottom"/>
          </w:tcPr>
          <w:p>
            <w:pPr>
              <w:ind w:left="20"/>
              <w:spacing w:after="0" w:line="176" w:lineRule="exact"/>
              <w:rPr>
                <w:sz w:val="20"/>
                <w:szCs w:val="20"/>
                <w:color w:val="auto"/>
              </w:rPr>
            </w:pPr>
            <w:r>
              <w:rPr>
                <w:rFonts w:ascii="Arial" w:cs="Arial" w:eastAsia="Arial" w:hAnsi="Arial"/>
                <w:sz w:val="18"/>
                <w:szCs w:val="18"/>
                <w:color w:val="auto"/>
                <w:w w:val="97"/>
              </w:rPr>
              <w:t>Chief Executive Officer, President and Chairperson of the</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16"/>
                <w:szCs w:val="16"/>
                <w:color w:val="auto"/>
              </w:rPr>
            </w:pPr>
          </w:p>
        </w:tc>
        <w:tc>
          <w:tcPr>
            <w:tcW w:w="4520" w:type="dxa"/>
            <w:vAlign w:val="bottom"/>
          </w:tcPr>
          <w:p>
            <w:pPr>
              <w:ind w:left="20"/>
              <w:spacing w:after="0" w:line="189" w:lineRule="exact"/>
              <w:rPr>
                <w:sz w:val="20"/>
                <w:szCs w:val="20"/>
                <w:color w:val="auto"/>
              </w:rPr>
            </w:pPr>
            <w:r>
              <w:rPr>
                <w:rFonts w:ascii="Arial" w:cs="Arial" w:eastAsia="Arial" w:hAnsi="Arial"/>
                <w:sz w:val="18"/>
                <w:szCs w:val="18"/>
                <w:color w:val="auto"/>
              </w:rPr>
              <w:t>Board of Directors</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3"/>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20"/>
              <w:spacing w:after="0"/>
              <w:rPr>
                <w:sz w:val="20"/>
                <w:szCs w:val="20"/>
                <w:color w:val="auto"/>
              </w:rPr>
            </w:pPr>
            <w:r>
              <w:rPr>
                <w:rFonts w:ascii="Arial" w:cs="Arial" w:eastAsia="Arial" w:hAnsi="Arial"/>
                <w:sz w:val="18"/>
                <w:szCs w:val="18"/>
                <w:color w:val="auto"/>
              </w:rPr>
              <w:t>/s/ Michael Doyle</w:t>
            </w:r>
          </w:p>
        </w:tc>
        <w:tc>
          <w:tcPr>
            <w:tcW w:w="0" w:type="dxa"/>
            <w:vAlign w:val="bottom"/>
          </w:tcPr>
          <w:p>
            <w:pPr>
              <w:spacing w:after="0"/>
              <w:rPr>
                <w:sz w:val="1"/>
                <w:szCs w:val="1"/>
                <w:color w:val="auto"/>
              </w:rPr>
            </w:pPr>
          </w:p>
        </w:tc>
      </w:tr>
      <w:tr>
        <w:trPr>
          <w:trHeight w:val="27"/>
        </w:trPr>
        <w:tc>
          <w:tcPr>
            <w:tcW w:w="6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40" w:type="dxa"/>
            <w:vAlign w:val="bottom"/>
            <w:vMerge w:val="continue"/>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Michael Doyle</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5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RULE 13A-14(A) OR 15D-14(A) UNDER THE EXCHANGE ACT,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Sarah Friar, certify that:</w:t>
      </w:r>
    </w:p>
    <w:p>
      <w:pPr>
        <w:spacing w:after="0" w:line="27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Nextdoor Holdings, Inc.;</w:t>
      </w:r>
    </w:p>
    <w:p>
      <w:pPr>
        <w:spacing w:after="0" w:line="211" w:lineRule="exact"/>
        <w:rPr>
          <w:rFonts w:ascii="Arial" w:cs="Arial" w:eastAsia="Arial" w:hAnsi="Arial"/>
          <w:sz w:val="18"/>
          <w:szCs w:val="18"/>
          <w:color w:val="auto"/>
        </w:rPr>
      </w:pPr>
    </w:p>
    <w:p>
      <w:pPr>
        <w:jc w:val="both"/>
        <w:ind w:left="340" w:right="440" w:hanging="332"/>
        <w:spacing w:after="0" w:line="30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340" w:right="400" w:hanging="332"/>
        <w:spacing w:after="0" w:line="357"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340" w:right="640" w:hanging="332"/>
        <w:spacing w:after="0" w:line="32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640" w:hanging="308"/>
        <w:spacing w:after="0"/>
        <w:tabs>
          <w:tab w:leader="none" w:pos="6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2" w:lineRule="exact"/>
        <w:rPr>
          <w:rFonts w:ascii="Arial" w:cs="Arial" w:eastAsia="Arial" w:hAnsi="Arial"/>
          <w:sz w:val="16"/>
          <w:szCs w:val="16"/>
          <w:color w:val="auto"/>
        </w:rPr>
      </w:pPr>
    </w:p>
    <w:p>
      <w:pPr>
        <w:ind w:left="660" w:right="460"/>
        <w:spacing w:after="0" w:line="308" w:lineRule="auto"/>
        <w:rPr>
          <w:rFonts w:ascii="Arial" w:cs="Arial" w:eastAsia="Arial" w:hAnsi="Arial"/>
          <w:sz w:val="16"/>
          <w:szCs w:val="16"/>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jc w:val="both"/>
        <w:ind w:left="660" w:right="860" w:hanging="328"/>
        <w:spacing w:after="0" w:line="395"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6"/>
          <w:szCs w:val="16"/>
          <w:color w:val="auto"/>
        </w:rPr>
      </w:pPr>
    </w:p>
    <w:p>
      <w:pPr>
        <w:ind w:left="640" w:hanging="308"/>
        <w:spacing w:after="0"/>
        <w:tabs>
          <w:tab w:leader="none" w:pos="6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w:t>
      </w:r>
    </w:p>
    <w:p>
      <w:pPr>
        <w:spacing w:after="0" w:line="61" w:lineRule="exact"/>
        <w:rPr>
          <w:rFonts w:ascii="Arial" w:cs="Arial" w:eastAsia="Arial" w:hAnsi="Arial"/>
          <w:sz w:val="17"/>
          <w:szCs w:val="17"/>
          <w:color w:val="auto"/>
        </w:rPr>
      </w:pPr>
    </w:p>
    <w:p>
      <w:pPr>
        <w:ind w:left="660" w:right="80"/>
        <w:spacing w:after="0" w:line="308" w:lineRule="auto"/>
        <w:rPr>
          <w:rFonts w:ascii="Arial" w:cs="Arial" w:eastAsia="Arial" w:hAnsi="Arial"/>
          <w:sz w:val="17"/>
          <w:szCs w:val="17"/>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ind w:left="340" w:right="320" w:hanging="332"/>
        <w:spacing w:after="0" w:line="341"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660" w:right="280" w:hanging="328"/>
        <w:spacing w:after="0" w:line="308"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8"/>
          <w:szCs w:val="18"/>
          <w:color w:val="auto"/>
        </w:rPr>
      </w:pPr>
    </w:p>
    <w:p>
      <w:pPr>
        <w:ind w:left="660" w:right="240" w:hanging="328"/>
        <w:spacing w:after="0" w:line="308"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2022</w:t>
      </w:r>
    </w:p>
    <w:p>
      <w:pPr>
        <w:ind w:left="7200"/>
        <w:spacing w:after="0"/>
        <w:tabs>
          <w:tab w:leader="none" w:pos="7620" w:val="left"/>
        </w:tabs>
        <w:rPr>
          <w:sz w:val="20"/>
          <w:szCs w:val="20"/>
          <w:color w:val="auto"/>
        </w:rPr>
      </w:pPr>
      <w:r>
        <w:rPr>
          <w:rFonts w:ascii="Arial" w:cs="Arial" w:eastAsia="Arial" w:hAnsi="Arial"/>
          <w:sz w:val="35"/>
          <w:szCs w:val="35"/>
          <w:color w:val="auto"/>
          <w:vertAlign w:val="subscript"/>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0</wp:posOffset>
            </wp:positionV>
            <wp:extent cx="17830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Sarah Friar</w:t>
      </w:r>
    </w:p>
    <w:p>
      <w:pPr>
        <w:spacing w:after="0" w:line="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President and</w:t>
      </w:r>
    </w:p>
    <w:p>
      <w:pPr>
        <w:ind w:left="7200"/>
        <w:spacing w:after="0"/>
        <w:rPr>
          <w:sz w:val="20"/>
          <w:szCs w:val="20"/>
          <w:color w:val="auto"/>
        </w:rPr>
      </w:pPr>
      <w:r>
        <w:rPr>
          <w:rFonts w:ascii="Arial" w:cs="Arial" w:eastAsia="Arial" w:hAnsi="Arial"/>
          <w:sz w:val="18"/>
          <w:szCs w:val="18"/>
          <w:color w:val="auto"/>
        </w:rPr>
        <w:t>Chairperson of the Board of Directors</w:t>
      </w:r>
    </w:p>
    <w:p>
      <w:pPr>
        <w:sectPr>
          <w:pgSz w:w="11900" w:h="16838" w:orient="portrait"/>
          <w:cols w:equalWidth="0" w:num="1">
            <w:col w:w="11240"/>
          </w:cols>
          <w:pgMar w:left="320" w:top="378"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5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RULE 13A-14(A) OR 15D-14(A) UNDER THE EXCHANGE ACT,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color w:val="201F1E"/>
        </w:rPr>
        <w:t>Michael Doyle</w:t>
      </w:r>
      <w:r>
        <w:rPr>
          <w:rFonts w:ascii="Arial" w:cs="Arial" w:eastAsia="Arial" w:hAnsi="Arial"/>
          <w:sz w:val="18"/>
          <w:szCs w:val="18"/>
          <w:color w:val="auto"/>
        </w:rPr>
        <w:t>, certify that:</w:t>
      </w:r>
    </w:p>
    <w:p>
      <w:pPr>
        <w:spacing w:after="0" w:line="266"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Nextdoor Holdings, Inc.;</w:t>
      </w:r>
    </w:p>
    <w:p>
      <w:pPr>
        <w:spacing w:after="0" w:line="198" w:lineRule="exact"/>
        <w:rPr>
          <w:rFonts w:ascii="Arial" w:cs="Arial" w:eastAsia="Arial" w:hAnsi="Arial"/>
          <w:sz w:val="18"/>
          <w:szCs w:val="18"/>
          <w:color w:val="auto"/>
        </w:rPr>
      </w:pPr>
    </w:p>
    <w:p>
      <w:pPr>
        <w:jc w:val="both"/>
        <w:ind w:left="340" w:right="440" w:hanging="332"/>
        <w:spacing w:after="0" w:line="31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Arial" w:cs="Arial" w:eastAsia="Arial" w:hAnsi="Arial"/>
          <w:sz w:val="18"/>
          <w:szCs w:val="18"/>
          <w:color w:val="auto"/>
        </w:rPr>
      </w:pPr>
    </w:p>
    <w:p>
      <w:pPr>
        <w:ind w:left="340" w:right="400" w:hanging="332"/>
        <w:spacing w:after="0" w:line="357"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340" w:right="640" w:hanging="332"/>
        <w:spacing w:after="0" w:line="32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640" w:hanging="308"/>
        <w:spacing w:after="0"/>
        <w:tabs>
          <w:tab w:leader="none" w:pos="6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2" w:lineRule="exact"/>
        <w:rPr>
          <w:rFonts w:ascii="Arial" w:cs="Arial" w:eastAsia="Arial" w:hAnsi="Arial"/>
          <w:sz w:val="16"/>
          <w:szCs w:val="16"/>
          <w:color w:val="auto"/>
        </w:rPr>
      </w:pPr>
    </w:p>
    <w:p>
      <w:pPr>
        <w:ind w:left="660" w:right="460"/>
        <w:spacing w:after="0" w:line="308" w:lineRule="auto"/>
        <w:rPr>
          <w:rFonts w:ascii="Arial" w:cs="Arial" w:eastAsia="Arial" w:hAnsi="Arial"/>
          <w:sz w:val="16"/>
          <w:szCs w:val="16"/>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jc w:val="both"/>
        <w:ind w:left="660" w:right="860" w:hanging="328"/>
        <w:spacing w:after="0" w:line="377"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660" w:right="80" w:hanging="328"/>
        <w:spacing w:after="0" w:line="303"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Arial" w:cs="Arial" w:eastAsia="Arial" w:hAnsi="Arial"/>
          <w:sz w:val="18"/>
          <w:szCs w:val="18"/>
          <w:color w:val="auto"/>
        </w:rPr>
      </w:pPr>
    </w:p>
    <w:p>
      <w:pPr>
        <w:ind w:left="340" w:right="320" w:hanging="332"/>
        <w:spacing w:after="0" w:line="357"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660" w:right="280" w:hanging="328"/>
        <w:spacing w:after="0" w:line="324"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40" w:hanging="328"/>
        <w:spacing w:after="0" w:line="308"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2022</w:t>
      </w:r>
    </w:p>
    <w:p>
      <w:pPr>
        <w:ind w:left="7200"/>
        <w:spacing w:after="0" w:line="189" w:lineRule="auto"/>
        <w:tabs>
          <w:tab w:leader="none" w:pos="7640" w:val="left"/>
        </w:tabs>
        <w:rPr>
          <w:sz w:val="20"/>
          <w:szCs w:val="20"/>
          <w:color w:val="auto"/>
        </w:rPr>
      </w:pPr>
      <w:r>
        <w:rPr>
          <w:rFonts w:ascii="Arial" w:cs="Arial" w:eastAsia="Arial" w:hAnsi="Arial"/>
          <w:sz w:val="28"/>
          <w:szCs w:val="28"/>
          <w:color w:val="auto"/>
          <w:vertAlign w:val="subscript"/>
        </w:rPr>
        <w:t>By:</w:t>
      </w:r>
      <w:r>
        <w:rPr>
          <w:sz w:val="20"/>
          <w:szCs w:val="20"/>
          <w:color w:val="auto"/>
        </w:rPr>
        <w:tab/>
      </w:r>
      <w:r>
        <w:rPr>
          <w:rFonts w:ascii="Arial" w:cs="Arial" w:eastAsia="Arial" w:hAnsi="Arial"/>
          <w:sz w:val="15"/>
          <w:szCs w:val="15"/>
          <w:i w:val="1"/>
          <w:iCs w:val="1"/>
          <w:color w:val="auto"/>
        </w:rPr>
        <w:t xml:space="preserve">/s/ </w:t>
      </w:r>
      <w:r>
        <w:rPr>
          <w:rFonts w:ascii="Arial" w:cs="Arial" w:eastAsia="Arial" w:hAnsi="Arial"/>
          <w:sz w:val="15"/>
          <w:szCs w:val="15"/>
          <w:i w:val="1"/>
          <w:iCs w:val="1"/>
          <w:color w:val="201F1E"/>
        </w:rPr>
        <w:t>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93980</wp:posOffset>
            </wp:positionV>
            <wp:extent cx="22117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28" w:lineRule="exact"/>
        <w:rPr>
          <w:sz w:val="20"/>
          <w:szCs w:val="20"/>
          <w:color w:val="auto"/>
        </w:rPr>
      </w:pPr>
    </w:p>
    <w:p>
      <w:pPr>
        <w:ind w:left="7200"/>
        <w:spacing w:after="0"/>
        <w:rPr>
          <w:sz w:val="20"/>
          <w:szCs w:val="20"/>
          <w:color w:val="auto"/>
        </w:rPr>
      </w:pPr>
      <w:r>
        <w:rPr>
          <w:rFonts w:ascii="Arial" w:cs="Arial" w:eastAsia="Arial" w:hAnsi="Arial"/>
          <w:sz w:val="18"/>
          <w:szCs w:val="18"/>
          <w:color w:val="201F1E"/>
        </w:rPr>
        <w:t>Michael Doyle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405"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ind w:right="40"/>
        <w:spacing w:after="0" w:line="313"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20"/>
        <w:spacing w:after="0" w:line="296" w:lineRule="auto"/>
        <w:rPr>
          <w:sz w:val="20"/>
          <w:szCs w:val="20"/>
          <w:color w:val="auto"/>
        </w:rPr>
      </w:pPr>
      <w:r>
        <w:rPr>
          <w:rFonts w:ascii="Arial" w:cs="Arial" w:eastAsia="Arial" w:hAnsi="Arial"/>
          <w:sz w:val="18"/>
          <w:szCs w:val="18"/>
          <w:color w:val="auto"/>
        </w:rPr>
        <w:t>In connection with the Quarterly Report of Nextdoor Holdings, Inc. (the “Company”) on Form 10-Q for the quarter ended September 30, 2022,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94"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2022</w:t>
      </w:r>
    </w:p>
    <w:p>
      <w:pPr>
        <w:spacing w:after="0" w:line="115" w:lineRule="exact"/>
        <w:rPr>
          <w:sz w:val="20"/>
          <w:szCs w:val="20"/>
          <w:color w:val="auto"/>
        </w:rPr>
      </w:pPr>
    </w:p>
    <w:p>
      <w:pPr>
        <w:ind w:left="7200"/>
        <w:spacing w:after="0"/>
        <w:tabs>
          <w:tab w:leader="none" w:pos="7640" w:val="left"/>
        </w:tabs>
        <w:rPr>
          <w:sz w:val="20"/>
          <w:szCs w:val="20"/>
          <w:color w:val="auto"/>
        </w:rPr>
      </w:pPr>
      <w:r>
        <w:rPr>
          <w:rFonts w:ascii="Arial" w:cs="Arial" w:eastAsia="Arial" w:hAnsi="Arial"/>
          <w:sz w:val="36"/>
          <w:szCs w:val="36"/>
          <w:color w:val="auto"/>
          <w:vertAlign w:val="subscript"/>
        </w:rPr>
        <w:t>By:</w:t>
      </w:r>
      <w:r>
        <w:rPr>
          <w:sz w:val="20"/>
          <w:szCs w:val="20"/>
          <w:color w:val="auto"/>
        </w:rPr>
        <w:tab/>
      </w:r>
      <w:r>
        <w:rPr>
          <w:rFonts w:ascii="Arial" w:cs="Arial" w:eastAsia="Arial" w:hAnsi="Arial"/>
          <w:sz w:val="22"/>
          <w:szCs w:val="22"/>
          <w:color w:val="auto"/>
        </w:rPr>
        <w:t xml:space="preserve">/s/ </w:t>
      </w:r>
      <w:r>
        <w:rPr>
          <w:rFonts w:ascii="Arial" w:cs="Arial" w:eastAsia="Arial" w:hAnsi="Arial"/>
          <w:sz w:val="17"/>
          <w:szCs w:val="17"/>
          <w:i w:val="1"/>
          <w:iCs w:val="1"/>
          <w:color w:val="auto"/>
        </w:rPr>
        <w:t>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124460</wp:posOffset>
            </wp:positionV>
            <wp:extent cx="16459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7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Sarah Friar</w:t>
      </w:r>
    </w:p>
    <w:p>
      <w:pPr>
        <w:spacing w:after="0" w:line="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President and</w:t>
      </w:r>
    </w:p>
    <w:p>
      <w:pPr>
        <w:ind w:left="7200"/>
        <w:spacing w:after="0"/>
        <w:rPr>
          <w:sz w:val="20"/>
          <w:szCs w:val="20"/>
          <w:color w:val="auto"/>
        </w:rPr>
      </w:pPr>
      <w:r>
        <w:rPr>
          <w:rFonts w:ascii="Arial" w:cs="Arial" w:eastAsia="Arial" w:hAnsi="Arial"/>
          <w:sz w:val="18"/>
          <w:szCs w:val="18"/>
          <w:color w:val="auto"/>
        </w:rPr>
        <w:t>Chairperson of the Board of Directors</w:t>
      </w:r>
    </w:p>
    <w:p>
      <w:pPr>
        <w:sectPr>
          <w:pgSz w:w="11900" w:h="16838" w:orient="portrait"/>
          <w:cols w:equalWidth="0" w:num="1">
            <w:col w:w="11240"/>
          </w:cols>
          <w:pgMar w:left="320" w:top="40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line="313"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220"/>
        <w:spacing w:after="0" w:line="348" w:lineRule="auto"/>
        <w:rPr>
          <w:sz w:val="20"/>
          <w:szCs w:val="20"/>
          <w:color w:val="auto"/>
        </w:rPr>
      </w:pPr>
      <w:r>
        <w:rPr>
          <w:rFonts w:ascii="Arial" w:cs="Arial" w:eastAsia="Arial" w:hAnsi="Arial"/>
          <w:sz w:val="18"/>
          <w:szCs w:val="18"/>
          <w:color w:val="auto"/>
        </w:rPr>
        <w:t>In connection with the Quarterly Report of Nextdoor Holdings, Inc. (the “Company”) on Form 10-Q for the quarter ended September 30, 2022,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76"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306" w:lineRule="exact"/>
        <w:rPr>
          <w:rFonts w:ascii="Arial" w:cs="Arial" w:eastAsia="Arial" w:hAnsi="Arial"/>
          <w:sz w:val="18"/>
          <w:szCs w:val="18"/>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2022</w:t>
      </w:r>
    </w:p>
    <w:p>
      <w:pPr>
        <w:spacing w:after="0" w:line="293" w:lineRule="exact"/>
        <w:rPr>
          <w:sz w:val="20"/>
          <w:szCs w:val="20"/>
          <w:color w:val="auto"/>
        </w:rPr>
      </w:pPr>
    </w:p>
    <w:p>
      <w:pPr>
        <w:ind w:left="7220"/>
        <w:spacing w:after="0"/>
        <w:tabs>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14605</wp:posOffset>
            </wp:positionV>
            <wp:extent cx="18942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Michael Doyle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240"/>
      </w:cols>
      <w:pgMar w:left="320" w:top="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lowerLetter"/>
      <w:start w:val="3"/>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2022-11-08T15:17:48Z</dcterms:created>
  <dcterms:modified xsi:type="dcterms:W3CDTF">2022-11-08T15:17:48Z</dcterms:modified>
</cp:coreProperties>
</file>