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440120.xml.htm"/>
      <w:bookmarkStart w:id="1" w:name="kswkform4_17924401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Schwartz Sophia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 TAYLOR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Nextdoor Holdings, Inc.</w:t>
              </w:r>
            </w:hyperlink>
            <w:r>
              <w:rPr/>
              <w:t xml:space="preserve"> [ </w:t>
            </w:r>
            <w:r>
              <w:rPr>
                <w:rFonts w:ascii="Times;serif" w:hAnsi="Times;serif"/>
                <w:color w:val="0000FF"/>
                <w:sz w:val="24"/>
                <w:shd w:fill="FFFFFF" w:val="clear"/>
              </w:rPr>
              <w:t>NXDR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65"/>
        <w:gridCol w:w="446"/>
        <w:gridCol w:w="835"/>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428,564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46,549</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382,015</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24,225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406,240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12,302</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393,938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29,473</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423,411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14,967</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408,444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48,120</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2.5085</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360,324</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91,667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91,667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91,667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24,225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 (RSU)</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29,473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383,142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shares made pursuant to and in accordance with the requirements of Rule 10b5-1 under the Securities Exchange Act of 1934, as amended, under a plan adopted by the Reporting Person on September 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 award vests in eight equal quarterly installments on January 15, April 15, July 15 and October 15 of each calendar year, with the first such vesting event on April 15, 2025,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RSUs do not expire; they either vest or are cancelled prior to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 award vests in four equal quarterly installments on January 15, April 15, July 15 and October 15 of each calendar year, with the first such vesting event on April 15, 2026, subject to the reporting person's continued service to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 award vests in equal quarterly installments over four years on January 15, April 15, July 15 and October 15 of each calendar year, with the first such vesting date on April 15,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Johnson, as Attorney-in-Fact for Reporting Person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22306" TargetMode="External"/><Relationship Id="rId5" Type="http://schemas.openxmlformats.org/officeDocument/2006/relationships/hyperlink" Target="http://www.sec.gov/cgi-bin/browse-edgar?action=getcompany&amp;CIK=00018460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911</Words>
  <Characters>4680</Characters>
  <CharactersWithSpaces>5434</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