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880" w:hanging="368"/>
        <w:spacing w:after="0"/>
        <w:tabs>
          <w:tab w:leader="none" w:pos="8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40" w:lineRule="exact"/>
        <w:rPr>
          <w:sz w:val="24"/>
          <w:szCs w:val="24"/>
          <w:color w:val="auto"/>
        </w:rPr>
      </w:pPr>
    </w:p>
    <w:p>
      <w:pPr>
        <w:ind w:left="880" w:hanging="386"/>
        <w:spacing w:after="0"/>
        <w:tabs>
          <w:tab w:leader="none" w:pos="8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001-40246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144145</wp:posOffset>
            </wp:positionV>
            <wp:extent cx="1311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Nextdoor Holdings, Inc.</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133350</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right"/>
              <w:ind w:right="1968"/>
              <w:spacing w:after="0"/>
              <w:rPr>
                <w:sz w:val="20"/>
                <w:szCs w:val="20"/>
                <w:color w:val="auto"/>
              </w:rPr>
            </w:pPr>
            <w:r>
              <w:rPr>
                <w:rFonts w:ascii="Times New Roman" w:cs="Times New Roman" w:eastAsia="Times New Roman" w:hAnsi="Times New Roman"/>
                <w:sz w:val="14"/>
                <w:szCs w:val="14"/>
                <w:b w:val="1"/>
                <w:bCs w:val="1"/>
                <w:color w:val="auto"/>
              </w:rPr>
              <w:t>86-1776836</w:t>
            </w:r>
          </w:p>
        </w:tc>
        <w:tc>
          <w:tcPr>
            <w:tcW w:w="0" w:type="dxa"/>
            <w:vAlign w:val="bottom"/>
          </w:tcPr>
          <w:p>
            <w:pPr>
              <w:spacing w:after="0"/>
              <w:rPr>
                <w:sz w:val="1"/>
                <w:szCs w:val="1"/>
                <w:color w:val="auto"/>
              </w:rPr>
            </w:pPr>
          </w:p>
        </w:tc>
      </w:tr>
      <w:tr>
        <w:trPr>
          <w:trHeight w:val="158"/>
        </w:trPr>
        <w:tc>
          <w:tcPr>
            <w:tcW w:w="3800" w:type="dxa"/>
            <w:vAlign w:val="bottom"/>
          </w:tcPr>
          <w:p>
            <w:pPr>
              <w:jc w:val="center"/>
              <w:ind w:left="868"/>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60" w:type="dxa"/>
            <w:vAlign w:val="bottom"/>
          </w:tcPr>
          <w:p>
            <w:pPr>
              <w:jc w:val="center"/>
              <w:ind w:right="1168"/>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512"/>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420 Taylor Street</w:t>
            </w: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60" w:type="dxa"/>
            <w:vAlign w:val="bottom"/>
            <w:vMerge w:val="restart"/>
          </w:tcPr>
          <w:p>
            <w:pPr>
              <w:jc w:val="right"/>
              <w:ind w:right="2148"/>
              <w:spacing w:after="0"/>
              <w:rPr>
                <w:sz w:val="20"/>
                <w:szCs w:val="20"/>
                <w:color w:val="auto"/>
              </w:rPr>
            </w:pPr>
            <w:r>
              <w:rPr>
                <w:rFonts w:ascii="Times New Roman" w:cs="Times New Roman" w:eastAsia="Times New Roman" w:hAnsi="Times New Roman"/>
                <w:sz w:val="14"/>
                <w:szCs w:val="14"/>
                <w:b w:val="1"/>
                <w:bCs w:val="1"/>
                <w:color w:val="auto"/>
              </w:rPr>
              <w:t>94102</w:t>
            </w:r>
          </w:p>
        </w:tc>
        <w:tc>
          <w:tcPr>
            <w:tcW w:w="0" w:type="dxa"/>
            <w:vAlign w:val="bottom"/>
          </w:tcPr>
          <w:p>
            <w:pPr>
              <w:spacing w:after="0"/>
              <w:rPr>
                <w:sz w:val="1"/>
                <w:szCs w:val="1"/>
                <w:color w:val="auto"/>
              </w:rPr>
            </w:pPr>
          </w:p>
        </w:tc>
      </w:tr>
      <w:tr>
        <w:trPr>
          <w:trHeight w:val="148"/>
        </w:trPr>
        <w:tc>
          <w:tcPr>
            <w:tcW w:w="380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California</w:t>
            </w:r>
          </w:p>
        </w:tc>
        <w:tc>
          <w:tcPr>
            <w:tcW w:w="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05"/>
        </w:trPr>
        <w:tc>
          <w:tcPr>
            <w:tcW w:w="7700" w:type="dxa"/>
            <w:vAlign w:val="bottom"/>
            <w:gridSpan w:val="4"/>
          </w:tcPr>
          <w:p>
            <w:pPr>
              <w:jc w:val="center"/>
              <w:ind w:left="34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344-0333</w:t>
            </w: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3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3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Borders>
              <w:left w:val="single" w:sz="8" w:color="auto"/>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color w:val="auto"/>
              </w:rPr>
              <w:t>Title of each class</w:t>
            </w:r>
          </w:p>
        </w:tc>
        <w:tc>
          <w:tcPr>
            <w:tcW w:w="70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940" w:type="dxa"/>
            <w:vAlign w:val="bottom"/>
            <w:tcBorders>
              <w:bottom w:val="single" w:sz="8" w:color="auto"/>
            </w:tcBorders>
          </w:tcPr>
          <w:p>
            <w:pPr>
              <w:spacing w:after="0"/>
              <w:rPr>
                <w:sz w:val="16"/>
                <w:szCs w:val="16"/>
                <w:color w:val="auto"/>
              </w:rPr>
            </w:pPr>
          </w:p>
        </w:tc>
        <w:tc>
          <w:tcPr>
            <w:tcW w:w="3560" w:type="dxa"/>
            <w:vAlign w:val="bottom"/>
            <w:tcBorders>
              <w:bottom w:val="single" w:sz="8" w:color="auto"/>
              <w:right w:val="single" w:sz="8" w:color="auto"/>
            </w:tcBorders>
          </w:tcPr>
          <w:p>
            <w:pPr>
              <w:jc w:val="center"/>
              <w:ind w:right="8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3800" w:type="dxa"/>
            <w:vAlign w:val="bottom"/>
            <w:tcBorders>
              <w:left w:val="single" w:sz="8" w:color="auto"/>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70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KIND</w:t>
            </w:r>
          </w:p>
        </w:tc>
        <w:tc>
          <w:tcPr>
            <w:tcW w:w="940" w:type="dxa"/>
            <w:vAlign w:val="bottom"/>
            <w:tcBorders>
              <w:bottom w:val="single" w:sz="8" w:color="auto"/>
            </w:tcBorders>
          </w:tcPr>
          <w:p>
            <w:pPr>
              <w:spacing w:after="0"/>
              <w:rPr>
                <w:sz w:val="17"/>
                <w:szCs w:val="17"/>
                <w:color w:val="auto"/>
              </w:rPr>
            </w:pPr>
          </w:p>
        </w:tc>
        <w:tc>
          <w:tcPr>
            <w:tcW w:w="3560" w:type="dxa"/>
            <w:vAlign w:val="bottom"/>
            <w:tcBorders>
              <w:bottom w:val="single" w:sz="8" w:color="auto"/>
              <w:right w:val="single" w:sz="8" w:color="auto"/>
            </w:tcBorders>
          </w:tcPr>
          <w:p>
            <w:pPr>
              <w:jc w:val="center"/>
              <w:ind w:right="88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61" w:lineRule="exact"/>
        <w:rPr>
          <w:sz w:val="24"/>
          <w:szCs w:val="24"/>
          <w:color w:val="auto"/>
        </w:rPr>
      </w:pPr>
    </w:p>
    <w:p>
      <w:pPr>
        <w:ind w:right="200"/>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2" w:lineRule="exact"/>
        <w:rPr>
          <w:sz w:val="24"/>
          <w:szCs w:val="24"/>
          <w:color w:val="auto"/>
        </w:r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46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4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58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tabs>
          <w:tab w:leader="none" w:pos="6700" w:val="left"/>
          <w:tab w:leader="none" w:pos="73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November 4, 2024, there were 215,474,726 shares of the registrant’s Class A common stock outstanding and 166,668,386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979805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67722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ectPr>
          <w:pgSz w:w="11900" w:h="16838" w:orient="portrait"/>
          <w:cols w:equalWidth="0" w:num="1">
            <w:col w:w="11260"/>
          </w:cols>
          <w:pgMar w:left="320" w:top="84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00" w:type="dxa"/>
            <w:vAlign w:val="bottom"/>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1036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480" w:type="dxa"/>
            <w:vAlign w:val="bottom"/>
            <w:tcBorders>
              <w:top w:val="single" w:sz="8" w:color="auto"/>
            </w:tcBorders>
            <w:gridSpan w:val="3"/>
          </w:tcPr>
          <w:p>
            <w:pPr>
              <w:jc w:val="center"/>
              <w:ind w:left="230"/>
              <w:spacing w:after="0" w:line="182"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6480" w:type="dxa"/>
            <w:vAlign w:val="bottom"/>
            <w:gridSpan w:val="12"/>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9"/>
              </w:rPr>
              <w:t>Part I - Financial Information</w:t>
            </w:r>
          </w:p>
        </w:tc>
        <w:tc>
          <w:tcPr>
            <w:tcW w:w="346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680" w:type="dxa"/>
            <w:vAlign w:val="bottom"/>
            <w:gridSpan w:val="5"/>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680" w:type="dxa"/>
            <w:vAlign w:val="bottom"/>
            <w:gridSpan w:val="5"/>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24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80" w:type="dxa"/>
            <w:vAlign w:val="bottom"/>
            <w:gridSpan w:val="2"/>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80" w:type="dxa"/>
            <w:vAlign w:val="bottom"/>
            <w:gridSpan w:val="5"/>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Part II - Other Information</w:t>
            </w:r>
          </w:p>
        </w:tc>
        <w:tc>
          <w:tcPr>
            <w:tcW w:w="3560" w:type="dxa"/>
            <w:vAlign w:val="bottom"/>
            <w:gridSpan w:val="4"/>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720" w:type="dxa"/>
            <w:vAlign w:val="bottom"/>
            <w:gridSpan w:val="16"/>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1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820" w:type="dxa"/>
            <w:vAlign w:val="bottom"/>
            <w:gridSpan w:val="13"/>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4820" w:type="dxa"/>
            <w:vAlign w:val="bottom"/>
            <w:gridSpan w:val="13"/>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700" w:type="dxa"/>
            <w:vAlign w:val="bottom"/>
            <w:gridSpan w:val="14"/>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60" w:type="dxa"/>
            <w:vAlign w:val="bottom"/>
            <w:gridSpan w:val="15"/>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720" w:type="dxa"/>
            <w:vAlign w:val="bottom"/>
            <w:gridSpan w:val="16"/>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720" w:type="dxa"/>
            <w:vAlign w:val="bottom"/>
            <w:gridSpan w:val="16"/>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69</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480" w:type="dxa"/>
            <w:vAlign w:val="bottom"/>
            <w:gridSpan w:val="16"/>
          </w:tcPr>
          <w:p>
            <w:pPr>
              <w:ind w:left="44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“projects,” “plans,” “targets,” and variations of such words and similar expressions are intended to identify forward-looking statements. Forward-looking statements in this Quarterly Report may include, for example, statements about:</w:t>
      </w:r>
    </w:p>
    <w:p>
      <w:pPr>
        <w:spacing w:after="0" w:line="189"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including our ability to scale new neighbor growth, our ability to grow engagement by our existing neighbor base and our ability to increase monetization of our platform;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monetization efforts;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economic, and macroeconomic climate, whether in the advertising industry in general, or among specific types of advertisers or within particular geographies, including but not limited to the impacts related to the 2024 U.S. election, turmoil in the global banking system, labor shortages, supply chain disruptions, a potential recession, a potential temporary federal government shutdown, inflation, and changing interest rates;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operations abroad by opening new and expanding within existing neighborhoods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and the ultimate success of, technologies aimed at enhancing our business solutions and delivering additional value to our platform;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effectively;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profitability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sources of capital to finance operations and growth;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strategic relationships with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New York Stock Exchange;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both within and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complexities with compliance related to such environment;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as a result of interruptions, delays, or failures resulting from earthquakes, fires, floods, adverse weather conditions, other natural disasters, power loss, terrorism, pandemics, geopolitical conflict (including the war in Ukraine and war in the Middle East), other physical security threats, cyber-attacks, or other catastrophic events;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in Part II, Item 1A, “Risk Factors” in this Quarterly Report.</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used in this Quarterly Report, the terms “Nextdoor,” “we,” “us,” “Registrant,”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spacing w:after="0" w:line="108" w:lineRule="exact"/>
        <w:rPr>
          <w:sz w:val="20"/>
          <w:szCs w:val="20"/>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and financial conditions could harm our business and financial condition.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competitive. Competition presents an ongoing threat to the success of our business.</w:t>
      </w:r>
    </w:p>
    <w:p>
      <w:pPr>
        <w:spacing w:after="0" w:line="238" w:lineRule="exact"/>
        <w:rPr>
          <w:rFonts w:ascii="Times New Roman" w:cs="Times New Roman" w:eastAsia="Times New Roman" w:hAnsi="Times New Roman"/>
          <w:sz w:val="18"/>
          <w:szCs w:val="18"/>
          <w:color w:val="auto"/>
        </w:rPr>
      </w:pPr>
    </w:p>
    <w:p>
      <w:pPr>
        <w:jc w:val="both"/>
        <w:ind w:left="660" w:right="20" w:hanging="328"/>
        <w:spacing w:after="0" w:line="24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scale our business effectively, our business, operating results, and financial condition would be adversely affected.</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expand our international operations where we have limited operating experience and may be subject to increased business, regulatory, and economic risks that could seriously harm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need additional capital in the future, it may not be available on favorable terms, if at all.</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software and service providers, including the Google Ad Manager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Technologies have been developed that can block the display of advertisements on the Nextdoor platform, which could adversely impact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20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market opportunities and key metric estimates could prove to be inaccurate, and any real or perceived inaccuracies may harm our reputation and negatively affect our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greater than anticipated tax liabilities, which could harm our business, revenue and financial results.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liable as a result of content or information that is published or made available on our platform.</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and foreign laws, regulations, and industry standards, many of which are subject to change and uncertain interpretations, which uncertainty could harm our business, operating results, and financial conditions.</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involved in legal disputes that are expensive and time consuming, and, if resolved adversely, could harm our business, operating results, and financial condition.</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systems of internal controls and disclosure controls could have a material adverse effect on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the value of our brands and other intangible assets may be diminished, and our business, operating results, and financial condition may be adversely affected.</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that our platform infringes their intellectual property rights and this may create liability for us or otherwise adversely affect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subject us to possible litigation or could prevent us from offering products that include open source software or require us to obtain licenses on unfavorable terms.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license technology from third parties, and our inability to maintain those licenses could harm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Class A common stock has been and may continue to be volatile.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may adversely affect the trading market for our Class A common stock.</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6"/>
                <w:szCs w:val="16"/>
                <w:color w:val="auto"/>
              </w:rPr>
            </w:pP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60,233</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176"/>
        </w:trPr>
        <w:tc>
          <w:tcPr>
            <w:tcW w:w="77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of $425 and $385 as of September 30, 2024 and December 31,</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2023, respectively</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r>
      <w:tr>
        <w:trPr>
          <w:trHeight w:val="229"/>
        </w:trPr>
        <w:tc>
          <w:tcPr>
            <w:tcW w:w="7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566,940</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654,564</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35,411</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60,378</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96,007</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75"/>
        </w:trPr>
        <w:tc>
          <w:tcPr>
            <w:tcW w:w="77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 shares authorized, 212,189 and 186,415 shares</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43"/>
        </w:trPr>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 respectively</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75"/>
        </w:trPr>
        <w:tc>
          <w:tcPr>
            <w:tcW w:w="77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 shares authorized, 164,900 and 201,960 shares</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 respectively</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1,323,595</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30"/>
        </w:trPr>
        <w:tc>
          <w:tcPr>
            <w:tcW w:w="7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(851,960)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(766,020)</w:t>
            </w:r>
          </w:p>
        </w:tc>
      </w:tr>
      <w:tr>
        <w:trPr>
          <w:trHeight w:val="223"/>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558,557</w:t>
            </w:r>
          </w:p>
        </w:tc>
      </w:tr>
      <w:tr>
        <w:trPr>
          <w:trHeight w:val="223"/>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654,564</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91,159</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55,401</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286,590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287,382</w:t>
            </w:r>
          </w:p>
        </w:tc>
        <w:tc>
          <w:tcPr>
            <w:tcW w:w="0" w:type="dxa"/>
            <w:vAlign w:val="bottom"/>
          </w:tcPr>
          <w:p>
            <w:pPr>
              <w:spacing w:after="0"/>
              <w:rPr>
                <w:sz w:val="1"/>
                <w:szCs w:val="1"/>
                <w:color w:val="auto"/>
              </w:rPr>
            </w:pPr>
          </w:p>
        </w:tc>
      </w:tr>
      <w:tr>
        <w:trPr>
          <w:trHeight w:val="223"/>
        </w:trPr>
        <w:tc>
          <w:tcPr>
            <w:tcW w:w="5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(106,521)</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0"/>
                <w:szCs w:val="10"/>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21"/>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shares used in computing net loss per share attributable to</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378,437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381,482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386,220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376,832</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and Class B common stockholders, basic and diluted</w:t>
            </w: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(107,235)</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175"/>
        </w:trPr>
        <w:tc>
          <w:tcPr>
            <w:tcW w:w="52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unrealized gain (loss) on available-for-sale marketable</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(107,251)</w:t>
            </w: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5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9"/>
                <w:szCs w:val="9"/>
                <w:color w:val="auto"/>
              </w:rPr>
            </w:pPr>
          </w:p>
        </w:tc>
        <w:tc>
          <w:tcPr>
            <w:tcW w:w="1240" w:type="dxa"/>
            <w:vAlign w:val="bottom"/>
            <w:gridSpan w:val="2"/>
            <w:vMerge w:val="restart"/>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Stockholders’Equity</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June 30,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187,107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192,098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$1,309,594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(837,062)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3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Tax withholdings on release of restricted</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 units</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3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2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options</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3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 purchase plan</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September 30,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1,305,704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(851,960)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456,045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5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9"/>
                <w:szCs w:val="9"/>
                <w:color w:val="auto"/>
              </w:rPr>
            </w:pPr>
          </w:p>
        </w:tc>
        <w:tc>
          <w:tcPr>
            <w:tcW w:w="1240" w:type="dxa"/>
            <w:vAlign w:val="bottom"/>
            <w:gridSpan w:val="2"/>
            <w:vMerge w:val="restart"/>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Stockholders’Equity</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June 30,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168,422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209,194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$1,272,676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(687,374)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22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Tax withholdings on release of restricted</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 units</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2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2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3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 options</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2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purchase plan</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(38,116)</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September 30,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$1,300,845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(725,490)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573,181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5"/>
        </w:trPr>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257175</wp:posOffset>
            </wp:positionV>
            <wp:extent cx="45859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60" w:type="dxa"/>
            <w:vAlign w:val="bottom"/>
            <w:tcBorders>
              <w:top w:val="single" w:sz="8" w:color="auto"/>
              <w:bottom w:val="single" w:sz="8" w:color="auto"/>
            </w:tcBorders>
            <w:gridSpan w:val="10"/>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7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560" w:type="dxa"/>
            <w:vAlign w:val="bottom"/>
          </w:tcPr>
          <w:p>
            <w:pPr>
              <w:spacing w:after="0"/>
              <w:rPr>
                <w:sz w:val="8"/>
                <w:szCs w:val="8"/>
                <w:color w:val="auto"/>
              </w:rPr>
            </w:pPr>
          </w:p>
        </w:tc>
        <w:tc>
          <w:tcPr>
            <w:tcW w:w="1720" w:type="dxa"/>
            <w:vAlign w:val="bottom"/>
            <w:gridSpan w:val="5"/>
            <w:vMerge w:val="continue"/>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90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7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186,415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201,960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$1,323,595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558,557</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Tax withholdings on release of restricted stock</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(11,353)</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units</w:t>
            </w: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(30,037)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(73,300)</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(37,060)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11,504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0" w:type="dxa"/>
            <w:vAlign w:val="bottom"/>
          </w:tcPr>
          <w:p>
            <w:pPr>
              <w:spacing w:after="0"/>
              <w:rPr>
                <w:sz w:val="1"/>
                <w:szCs w:val="1"/>
                <w:color w:val="auto"/>
              </w:rPr>
            </w:pPr>
          </w:p>
        </w:tc>
      </w:tr>
      <w:tr>
        <w:trPr>
          <w:trHeight w:val="213"/>
        </w:trPr>
        <w:tc>
          <w:tcPr>
            <w:tcW w:w="3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options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plan</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54,181</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(85,940)</w:t>
            </w:r>
          </w:p>
        </w:tc>
        <w:tc>
          <w:tcPr>
            <w:tcW w:w="0" w:type="dxa"/>
            <w:vAlign w:val="bottom"/>
          </w:tcPr>
          <w:p>
            <w:pPr>
              <w:spacing w:after="0"/>
              <w:rPr>
                <w:sz w:val="1"/>
                <w:szCs w:val="1"/>
                <w:color w:val="auto"/>
              </w:rPr>
            </w:pPr>
          </w:p>
        </w:tc>
      </w:tr>
      <w:tr>
        <w:trPr>
          <w:trHeight w:val="237"/>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September 30,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164,900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1,305,704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(851,960)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456,045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gridSpan w:val="10"/>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7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6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6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7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218,029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$1,231,482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(618,255)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611,068</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Tax withholdings on release of restricted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units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(16,112)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options</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13"/>
        </w:trPr>
        <w:tc>
          <w:tcPr>
            <w:tcW w:w="3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plan</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60,735</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(107,235)</w:t>
            </w:r>
          </w:p>
        </w:tc>
        <w:tc>
          <w:tcPr>
            <w:tcW w:w="0" w:type="dxa"/>
            <w:vAlign w:val="bottom"/>
          </w:tcPr>
          <w:p>
            <w:pPr>
              <w:spacing w:after="0"/>
              <w:rPr>
                <w:sz w:val="1"/>
                <w:szCs w:val="1"/>
                <w:color w:val="auto"/>
              </w:rPr>
            </w:pPr>
          </w:p>
        </w:tc>
      </w:tr>
      <w:tr>
        <w:trPr>
          <w:trHeight w:val="237"/>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September 30,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203,417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1,300,845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(725,490)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573,181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(85,940)</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(107,235)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60,735</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impairment charges related to lease abandonment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investments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(44,336)</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(454,897)</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81,266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416,587</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Loan to Opportunity Finance Network</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93,410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40,188</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withholdings on release of restricted stock units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(73,300)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55,236</w:t>
            </w: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60,871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48,444</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60,871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Vesting of restricted stock and early exercised stock options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10,665</w:t>
            </w:r>
          </w:p>
        </w:tc>
        <w:tc>
          <w:tcPr>
            <w:tcW w:w="0" w:type="dxa"/>
            <w:vAlign w:val="bottom"/>
          </w:tcPr>
          <w:p>
            <w:pPr>
              <w:spacing w:after="0"/>
              <w:rPr>
                <w:sz w:val="1"/>
                <w:szCs w:val="1"/>
                <w:color w:val="auto"/>
              </w:rPr>
            </w:pPr>
          </w:p>
        </w:tc>
      </w:tr>
      <w:tr>
        <w:trPr>
          <w:trHeight w:val="210"/>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Remeasurement of operating lease liability and right-of-use asset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(18,915)</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 Holdings, Inc. (“Nextdoor” or the “Company”) is headquartered in San Francisco, California. Nextdoor is the essential neighborhood network, connecting users, businesses, and public agencies to the neighborhoods that matter to them. As a purpose-driven company, Nextdoor leverages technology to cultivate a kinder world where everyone has a neighborhood they can rely on — both online and in the real world.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2023.</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2024 or any other future interim or annual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unaudited condensed consolidated financial statements and accompanying notes. Estimates include, but are not limited to, valuation of financial instruments,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disclosed in Note 2 to the consolidated financial statements described in the Company’s Annual Report on Form 10-K as of and for the year ended December 31, 2023 that have had a material impact on the Company’s condensed consolidated financial statements and related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expands annual and interim disclosure requirements for reportable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through enhanced disclosures about significant segment expenses. The ASU is effective for fiscal years beginning after December 15, 2023, and interim periods within fiscal years beginning after December 15,</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2024, with early adoption permitted. The Company is currently evaluating the impact of this standard on its consolidated financial statements and related disclosures.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expands income tax disclosures primarily related to an entity’s rate reconciliation and information on income taxes paid. The ASU is effective for fiscal years beginning after December 15, 2024 with early adoption permitted. The Company is currently evaluating the impact of this standard on its consolidated financial statements and related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Deferred 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advertising arrangements the Company requires payment upfront from its customers. The Company records deferred revenue when it collects cash from customers in advance of revenue recognition. As of September 30, 2024 and December 31, 2023, deferred revenue was $6.6 million and $8.3 million, respectively, and included within accrued expenses and other current liabilities on the condensed consolidated balance sheets. For the three months ended September 30, 2024 and 2023, revenue recognized from deferred revenue at the beginning of each period was $4.1 million and $2.8 million, respectively. For the nine months ended September 30, 2024 and 2023, revenue recognized from deferred revenue at the beginning of each period was $5.9 million and $2.9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Cash Equivalents and Marketable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costs, unrealized gains and losses, and estimated fair values of the Company’s cash equivalents and marketable securities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31,809</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31,809</w:t>
            </w: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16,835</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267,317</w:t>
            </w: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49,768</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37,402</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373,116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375,045</w:t>
            </w: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404,925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406,854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4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227,146</w:t>
            </w: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64,704</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39,434</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470,171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22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509,655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510,349</w:t>
            </w:r>
          </w:p>
        </w:tc>
      </w:tr>
      <w:tr>
        <w:trPr>
          <w:trHeight w:val="21"/>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marketable securities are designated as available-for-sale securities as of September 30, 2024 and December 31, 2023.</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 continuous unrealized loss position.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5"/>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160,547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contractual maturities of the Company’s marketable securities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r>
      <w:tr>
        <w:trPr>
          <w:trHeight w:val="2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203,231</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to four years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171,814</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375,045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4"/>
        </w:trPr>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9"/>
                <w:szCs w:val="19"/>
                <w:color w:val="auto"/>
              </w:rPr>
            </w:pP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250,927</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to four years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219,433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219,941</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470,171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are classified by level within the fair value hierarchy. There were no financial assets or liabilities measured using Level 3 inputs as of September 30, 2024 and December 31, 2023. The following table presents information about the Company’s financial assets that are measured at fair value on a recurring basis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31,809</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31,809</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31,809</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16,835</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267,317</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49,768</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37,402</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375,045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375,045</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31,809</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406,854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30"/>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227,146</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64,704</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r>
      <w:tr>
        <w:trPr>
          <w:trHeight w:val="230"/>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39,434</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477,777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510,349</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Assets, and Liabilities Not Recorded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assets not recorded at fair value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20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4"/>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receivable</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14,049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w:t>
            </w:r>
          </w:p>
        </w:tc>
      </w:tr>
      <w:tr>
        <w:trPr>
          <w:trHeight w:val="444"/>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20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4"/>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receivable</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there were no other financial instruments or liabilities that were not recorded at fair value.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non-cancellable office facility leases in various locations with original lease periods expiring between 2020 and 2029, with its primary office location in San Francisco, California. The Company entered into a lease consisting of multiple floors for its San Francisco headquarters in 2019, with a lease term through 2029. During the second quarter of 2024, the Company reassessed the lease term and elected to not utilize the optional extension period of the lease resulting in a reduction of the lease term and a decrease to its right-of-use assets and operating lease liabilities. In addition, as part of a restructuring plan, the Company decided to vacate and abandon certain floors of its leased headquarters in San Francisco in order to streamline operations and optimize its office space. The Company ceased occupying the floors in June 2024 and, as a result, the Company recorded impairment charges for the related operating lease right-of-use assets, leasehold improvements and furniture and fixtures in the second quarter of 2024. See Note 12 - Restructuring for further details. The Company's lease agreements generally do not contain 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residual value guarantees or material restrictive covenants.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6"/>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w:t>
            </w:r>
          </w:p>
        </w:tc>
      </w:tr>
      <w:tr>
        <w:trPr>
          <w:trHeight w:val="21"/>
        </w:trPr>
        <w:tc>
          <w:tcPr>
            <w:tcW w:w="55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66"/>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was as follows (in thousands):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6"/>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operating lease liability and right-of-use asset</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(18,915)</w:t>
            </w:r>
          </w:p>
        </w:tc>
        <w:tc>
          <w:tcPr>
            <w:tcW w:w="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Lease terms and discount rates for operating leases were as follows: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6"/>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900" w:type="dxa"/>
            <w:vAlign w:val="bottom"/>
          </w:tcPr>
          <w:p>
            <w:pPr>
              <w:spacing w:after="0"/>
              <w:rPr>
                <w:sz w:val="17"/>
                <w:szCs w:val="17"/>
                <w:color w:val="auto"/>
              </w:rPr>
            </w:pPr>
          </w:p>
        </w:tc>
      </w:tr>
      <w:tr>
        <w:trPr>
          <w:trHeight w:val="23"/>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468"/>
        </w:trPr>
        <w:tc>
          <w:tcPr>
            <w:tcW w:w="8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As of September 30, 2024, future minimum lease payments under operating leases were as follows (in thousands):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9"/>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49,684</w:t>
            </w: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42,740</w:t>
            </w: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operating lease liabilities</w:t>
            </w: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w:t>
            </w: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does not include lease payments that were not fixed at commencement or lease modification.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June 2024, the Company entered into a three-year renewal contract with a third party hosting service provider resulting in a significant increase to its purchase commitments, included in the table below.</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non-cancellable purchase commitments with certain service providers primarily related to the provision of cloud computing services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32,798</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15,139</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to the litigation discussed below, 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such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 discussed below summarizes the Company’s current significant ongoing pending legal proceedings.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and Derivative Litigation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2024, a securities class action complaint was filed against the Company and certain of its current and former executive officers (collectively, the “Defendants”) in the U.S. District Court for the Northern District of California. The lawsuit alleges that Defendants violated the Securities Exchange Act of 1934, as amended, by making materially false and misleading statements about the Company’s business and prospects for future growth in the period between July 6, 2021 and November 8, 2022. Motions for lead plaintiff were filed on April 29, 2024 and the court appointed a lead plaintiff on July 12, 2024. The lead plaintiff filed the amended complaint on September 10, 2024.</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26, 2024, a purported shareholder derivative complaint was filed in the U.S. District Court for the Northern District of California. The complaint names as defendants certain of the Company’s former and current officers and directors, as well as the Company as nominal defendant, and asserts state and federal claims based on some of the same alleged misstatements as the securities class action complaint described above. The complaint seeks unspecified damages, attorneys’ fees, and other costs. The lawsuit is currently stayed.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Litigation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28, 2024 and October 29, 2024, two class action complaints were filed in the Delaware Court of Chancery against the Company, certain of the Company’s former officers, certain of the former officers and directors of the special purpose acquisition company KVSB into which the Company merged on November 5, 2021, the sponsor of the Company’s special purpose acquisition merger Khosla Ventures SPAC Sponsor II LLC (the “Sponsor”), and certain entities allegedly related to the Sponsor. Both complaints are brought on behalf of a class of KVSB stockholders who could have, but did not, choose to redeem their KVSB shares in connection with the November 5, 2021 merger between KVSB and the Company. The complaints allege that defendants breached various duties to KVSB stockholders by making false or misleading statements and/or aided and abetted such breaches. The complaints also allege claims for unjust enrichment. The complaints seek damages, disgorgement, attorneys’ fees, and other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time for defendants to respond to the complaints has not yet passed. 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three and nine months ended September 30, 2024 and 2023, the Company did not incur material costs to defend lawsuits or settle claims related to these indemnifications. The Company believes the fair value of these liabilities is not material and accordingly has no liabilities recorded for these agreements as of September 30, 2024 and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Opportunity Finance Network Loan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29, 2022, the Company entered into a credit agreement with Opportunity Finance Network (“OFN”) to lend up to an aggregate of $15.0 million, unsecured, over the course of 24 months. OFN is a national network of community development financial institutions (“CDFIs”). OFN will use the loan proceeds to make low-cost, fixed-rate loans to OFN-member CDFIs that on-lend those loan proceeds to fund affordable housing, community facilities, small businesses, nonprofit organizations, consumer finance, and other eligible financing extended by such CDFIs. Each disbursement made by the Company will bear interest at a rate of 0.75% per annum and will be due quarterly from OFN. The outstanding principal, plus any accrued and unpaid interest, for each disbursement becomes due and payable 10 years following the disbursement date. During the nine months ended September 30, 2024, the Company made one loan disbursement of $7.5 million. During the year ended December 31, 2023, the Company made one loan disbursement of $2.5 million. As of September 30, 2024, the note receivable from OFN totaled $15.0 million and is recorded under other assets on the condensed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Common Stock and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restricted stock units (“RSUs”).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three months ended September 30, 2024 and 2023, 302,339 and 472,606 shares of Class A common stock were purchased under the 2021 ESPP, respectively. During the nine months ended September 30, 2024 and 2023, 709,637 and 1,032,313 shares of Class A common stock were purchased under the 2021 ESPP,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Share Repurchase Program does not obligate the Company to repurchase any dollar amount or number of shares, and the program may be extended, modified, suspended, or discontinued at any time. On February 21, 2024, the Company’s Board of Directors authorized and approved an increase of $150.0 million to the Share Repurchase Program and extended the expiration date to March 31, 2026.</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repurchased and retired 7,519,763 and 30,037,358 shares of Class A common stock at an average purchase price of $2.64 and $2.44 per share for an aggregate repurchase price of $19.8 million and $73.3 million, respectively. During the three and nine months ended September 30, 2023, the Company did not repurchase or retire any shares of its Class A common stock. As of September 30, 2024, the Company had $99.5 million available for future share repurchases under the Share Repurchase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RSUs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three years. RSUs granted for Class A common stock generally vest on a quarterly basis over two to three years.</w:t>
      </w:r>
    </w:p>
    <w:p>
      <w:pPr>
        <w:spacing w:after="0" w:line="12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A summary of the Company’s stock option activity for the nine months ended September 30, 2024 and related information is as follows (in thousands, except per share data):</w:t>
      </w:r>
    </w:p>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5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September 30,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$1.23 per share and $1.45 per share during the nine months ended September 30,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intrinsic value of the options exercised was $3.0 million and $1.8 million for the nine months ended September 30, 2024 and 2023, respectively.</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 summary of the Company’s RSU activity for the nine months ended September 30, 2024 and related information is as follows (in thousands, except per share data):</w:t>
      </w:r>
    </w:p>
    <w:tbl>
      <w:tblPr>
        <w:tblLayout w:type="fixed"/>
        <w:tblInd w:w="0" w:type="dxa"/>
        <w:tblCellMar>
          <w:top w:w="0" w:type="dxa"/>
          <w:left w:w="0" w:type="dxa"/>
          <w:bottom w:w="0" w:type="dxa"/>
          <w:right w:w="0" w:type="dxa"/>
        </w:tblCellMar>
      </w:tblPr>
      <w:tr>
        <w:trPr>
          <w:trHeight w:val="149"/>
        </w:trPr>
        <w:tc>
          <w:tcPr>
            <w:tcW w:w="7400" w:type="dxa"/>
            <w:vAlign w:val="bottom"/>
          </w:tcPr>
          <w:p>
            <w:pPr>
              <w:spacing w:after="0"/>
              <w:rPr>
                <w:sz w:val="12"/>
                <w:szCs w:val="12"/>
                <w:color w:val="auto"/>
              </w:rPr>
            </w:pPr>
          </w:p>
        </w:tc>
        <w:tc>
          <w:tcPr>
            <w:tcW w:w="18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74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880" w:type="dxa"/>
            <w:vAlign w:val="bottom"/>
            <w:shd w:val="clear" w:color="auto" w:fill="CCEEFF"/>
          </w:tcPr>
          <w:p>
            <w:pPr>
              <w:jc w:val="center"/>
              <w:ind w:left="1173"/>
              <w:spacing w:after="0"/>
              <w:rPr>
                <w:sz w:val="20"/>
                <w:szCs w:val="20"/>
                <w:color w:val="auto"/>
              </w:rPr>
            </w:pPr>
            <w:r>
              <w:rPr>
                <w:rFonts w:ascii="Times New Roman" w:cs="Times New Roman" w:eastAsia="Times New Roman" w:hAnsi="Times New Roman"/>
                <w:sz w:val="18"/>
                <w:szCs w:val="18"/>
                <w:color w:val="auto"/>
              </w:rPr>
              <w:t>33,515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9"/>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880" w:type="dxa"/>
            <w:vAlign w:val="bottom"/>
          </w:tcPr>
          <w:p>
            <w:pPr>
              <w:jc w:val="center"/>
              <w:ind w:left="1173"/>
              <w:spacing w:after="0"/>
              <w:rPr>
                <w:sz w:val="20"/>
                <w:szCs w:val="20"/>
                <w:color w:val="auto"/>
              </w:rPr>
            </w:pPr>
            <w:r>
              <w:rPr>
                <w:rFonts w:ascii="Times New Roman" w:cs="Times New Roman" w:eastAsia="Times New Roman" w:hAnsi="Times New Roman"/>
                <w:sz w:val="18"/>
                <w:szCs w:val="18"/>
                <w:color w:val="auto"/>
              </w:rPr>
              <w:t>39,021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vested</w:t>
            </w:r>
          </w:p>
        </w:tc>
        <w:tc>
          <w:tcPr>
            <w:tcW w:w="1880" w:type="dxa"/>
            <w:vAlign w:val="bottom"/>
            <w:shd w:val="clear" w:color="auto" w:fill="CCEEFF"/>
          </w:tcPr>
          <w:p>
            <w:pPr>
              <w:jc w:val="center"/>
              <w:ind w:left="1133"/>
              <w:spacing w:after="0"/>
              <w:rPr>
                <w:sz w:val="20"/>
                <w:szCs w:val="20"/>
                <w:color w:val="auto"/>
              </w:rPr>
            </w:pPr>
            <w:r>
              <w:rPr>
                <w:rFonts w:ascii="Times New Roman" w:cs="Times New Roman" w:eastAsia="Times New Roman" w:hAnsi="Times New Roman"/>
                <w:sz w:val="18"/>
                <w:szCs w:val="18"/>
                <w:color w:val="auto"/>
              </w:rPr>
              <w:t>(16,541)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880" w:type="dxa"/>
            <w:vAlign w:val="bottom"/>
            <w:tcBorders>
              <w:bottom w:val="single" w:sz="8" w:color="auto"/>
            </w:tcBorders>
          </w:tcPr>
          <w:p>
            <w:pPr>
              <w:jc w:val="center"/>
              <w:ind w:left="1133"/>
              <w:spacing w:after="0"/>
              <w:rPr>
                <w:sz w:val="20"/>
                <w:szCs w:val="20"/>
                <w:color w:val="auto"/>
              </w:rPr>
            </w:pPr>
            <w:r>
              <w:rPr>
                <w:rFonts w:ascii="Times New Roman" w:cs="Times New Roman" w:eastAsia="Times New Roman" w:hAnsi="Times New Roman"/>
                <w:sz w:val="18"/>
                <w:szCs w:val="18"/>
                <w:color w:val="auto"/>
              </w:rPr>
              <w:t>(11,718)</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2024</w:t>
            </w:r>
          </w:p>
        </w:tc>
        <w:tc>
          <w:tcPr>
            <w:tcW w:w="1880" w:type="dxa"/>
            <w:vAlign w:val="bottom"/>
            <w:tcBorders>
              <w:bottom w:val="single" w:sz="8" w:color="auto"/>
            </w:tcBorders>
            <w:shd w:val="clear" w:color="auto" w:fill="CCEEFF"/>
          </w:tcPr>
          <w:p>
            <w:pPr>
              <w:jc w:val="center"/>
              <w:ind w:left="1173"/>
              <w:spacing w:after="0"/>
              <w:rPr>
                <w:sz w:val="20"/>
                <w:szCs w:val="20"/>
                <w:color w:val="auto"/>
              </w:rPr>
            </w:pPr>
            <w:r>
              <w:rPr>
                <w:rFonts w:ascii="Times New Roman" w:cs="Times New Roman" w:eastAsia="Times New Roman" w:hAnsi="Times New Roman"/>
                <w:sz w:val="18"/>
                <w:szCs w:val="18"/>
                <w:color w:val="auto"/>
              </w:rPr>
              <w:t>44,277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PSUs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3, 2024, the Company granted its Chief Executive Officer a market-based performance stock unit (“PSU”) award of approximately 5.0 million shares of the Company’s Class A common stock. The PSUs will vest based on stock price targets achieved over a four-year period. PSUs that have not vested at the end of the applicable performance period will be forfeited. The vesting of the award is subject to the grantee’s continuous employment with the Company as Chief Executive Officer or Executive Chair and other customary provisions pursuant to the Company’s 2021 Plan. The award had a grant date fair value of approximately $9.3 million, calculated using a Monte Carlo simulation model and recognized over the derived service period using the graded-vesting method. Compensation cost is not adjusted in future periods for subsequent changes in the expected outcome of market related conditions. For the three and nine months ended September 30, 2024, the Company recognized approximately $1.3 million and $2.5 million of stock-based compensation expense in connection with this award,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stock option grants and market-based PSUs made during the following periods: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67.7% - 68.0%</w:t>
            </w:r>
          </w:p>
        </w:tc>
        <w:tc>
          <w:tcPr>
            <w:tcW w:w="8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64.9% -72.7%</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- 6.2</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 - 4.6%</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- 4.3%</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$1.61 - $2.53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$3.31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Market-based PSUs</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66.8%</w:t>
            </w:r>
          </w:p>
        </w:tc>
        <w:tc>
          <w:tcPr>
            <w:tcW w:w="8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in the condensed consolidated statements of operations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40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8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31,804</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r>
      <w:tr>
        <w:trPr>
          <w:trHeight w:val="22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17,480</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60,735</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$97.0 million of unrecognized stock-based compensation expense, which is expected to be recognized over a weighted average period of 1.8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 Attributable to Common Stockholders</w:t>
      </w:r>
    </w:p>
    <w:p>
      <w:pPr>
        <w:spacing w:after="0" w:line="17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per share data):</w:t>
      </w: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2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Class A</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Class A</w:t>
            </w:r>
          </w:p>
        </w:tc>
        <w:tc>
          <w:tcPr>
            <w:tcW w:w="18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Class A</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Class A</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Class B</w:t>
            </w:r>
          </w:p>
        </w:tc>
      </w:tr>
      <w:tr>
        <w:trPr>
          <w:trHeight w:val="162"/>
        </w:trPr>
        <w:tc>
          <w:tcPr>
            <w:tcW w:w="270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(60,416)</w:t>
            </w:r>
          </w:p>
        </w:tc>
      </w:tr>
      <w:tr>
        <w:trPr>
          <w:trHeight w:val="176"/>
        </w:trPr>
        <w:tc>
          <w:tcPr>
            <w:tcW w:w="2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7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computing net loss per share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27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attributable to Class A and Class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0"/>
        </w:trPr>
        <w:tc>
          <w:tcPr>
            <w:tcW w:w="27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B common stockholders, basic</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212,305</w:t>
            </w:r>
          </w:p>
        </w:tc>
      </w:tr>
      <w:tr>
        <w:trPr>
          <w:trHeight w:val="175"/>
        </w:trPr>
        <w:tc>
          <w:tcPr>
            <w:tcW w:w="2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6"/>
        </w:trPr>
        <w:tc>
          <w:tcPr>
            <w:tcW w:w="27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and Class B common</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bl>
    <w:p>
      <w:pPr>
        <w:spacing w:after="0" w:line="22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net loss per share because such securities have an anti-dilutive impact due to losses reported (in thousands):</w:t>
      </w: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800" w:type="dxa"/>
            <w:vAlign w:val="bottom"/>
            <w:gridSpan w:val="3"/>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23"/>
        </w:trPr>
        <w:tc>
          <w:tcPr>
            <w:tcW w:w="8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51,710</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44,277</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31,540</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72,847</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85,731</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expense for the three months ended September 30, 2024 and 2023 of $0.2 million and $0.3 million, respectively, both of which were primarily related to foreign taxes. The Company recorded an income tax expense for the nine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2024 and 2023 of $0.7 million and $0.7 million, respectively, both of which were primarily related to foreign taxes.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Geographical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geography based on the customers’ location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342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8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4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154,239</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long-lived assets are located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Restructuring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24, 2024, the Company performed a restructuring intended to refocus the Company for future growth. The plan impacted 38 of the Company’s full-time employees. The Company incurred one-time charges of approximately $2.8 million in connection with the plan, consisting primarily of cash expenditures for severance payments, employee benefits, and related costs. The execution of the plan was substantially complete by the end of the second quarter of 2024. In addition, in June 2024 the Company ceased occupying and abandoned certain floors of its leased headquarters in San Francisco in order to adjust its office space footprint to better align with the needs of its work model. As a result, the Company recorded impairment charges of $22.7 million for the related operating lease right-of-use assets, leasehold improvements and furniture and fixtures.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restructuring charges were incurred in the three months ended September 30, 2024. The following table summarizes the restructuring charges in the consolidated statements of operations for the nine months ended September 30, 2024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Office Space Reductions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8"/>
                <w:szCs w:val="18"/>
                <w:color w:val="auto"/>
              </w:rPr>
            </w:pP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580" w:type="dxa"/>
            <w:vAlign w:val="bottom"/>
          </w:tcPr>
          <w:p>
            <w:pPr>
              <w:spacing w:after="0"/>
              <w:rPr>
                <w:sz w:val="18"/>
                <w:szCs w:val="18"/>
                <w:color w:val="auto"/>
              </w:rPr>
            </w:pPr>
          </w:p>
        </w:tc>
        <w:tc>
          <w:tcPr>
            <w:tcW w:w="18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23,311</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25,517</w:t>
            </w:r>
          </w:p>
        </w:tc>
      </w:tr>
      <w:tr>
        <w:trPr>
          <w:trHeight w:val="21"/>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Office space reductions are primarily non-cash and include impairment charges related to operating lease right-of-use assets, leasehold improvements and furniture and fixtures.</w:t>
      </w:r>
    </w:p>
    <w:p>
      <w:pPr>
        <w:spacing w:after="0" w:line="1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Liabilities and remaining charges under the plan were immaterial as of September 30, 2024, included in accrued expenses and other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 is the essential neighborhood network, connecting users, businesses, and public agencies to the neighborhoods that matter to them. As a purpose-driven company, Nextdoor leverages technology to cultivate a kinder world where everyone has a neighborhood they can rely on — both online and in the real world. As of September 30, 2024, Nextdoor was in more than 340,000 neighborhoods around the world and in 1 in 3 households in the United States.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business metrics for the three months ended September 30, 2024 are as follows:</w:t>
      </w:r>
    </w:p>
    <w:p>
      <w:pPr>
        <w:spacing w:after="0" w:line="17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Active Users (“WAUs”) were 45.9 million, an increase of 13% compared to the three months ended September 30,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weekly active user (“ARPU”) was $1.43, an increase of 3% compared to the three months ended September 30,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Results as of and for the three and nine months ended September 30, 2024 are as follows:</w:t>
      </w:r>
    </w:p>
    <w:p>
      <w:pPr>
        <w:spacing w:after="0" w:line="173"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three months ended September 30, 2024 was $65.6 million, an increase of 17% compared to the three months ended September 30, 2023. Revenue for the nine months ended September 30, 2024 was $182.0 million, an increase of 12% compared to the nine months ended September 30, 2023.</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for the three months ended September 30, 2024 were $86.4 million, a decrease of 14% compared to the three months ended September 30, 2023. Total costs and expenses for the nine months ended September 30, 2024 were $286.6 million, a decrease of less than 1% compared to the nine months ended September 30, 2023.</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three months ended September 30, 2024 decreased 61% to $14.9 million, compared to $38.1 million for the three months ended September 30, 2023. Net loss for the nine months ended September 30, 2024 decreased 20% to $85.9 million, compared to $107.2 million for the nine months ended September 30, 2023.</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for the three months ended September 30, 2024 decreased 93% to $1.3 million, compared to $19.8 million for the three months ended September 30, 2023. Adjusted EBITDA loss for the nine months ended September 30, 2024 decreased 65% to $21.3 million, compared to $60.1 million for the nine months ended September 30, 2023.</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were $424.7 million as of September 30, 2024.</w:t>
      </w:r>
    </w:p>
    <w:p>
      <w:pPr>
        <w:spacing w:after="0" w:line="1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Non-GAAP Financial Measure</w:t>
      </w:r>
      <w:r>
        <w:rPr>
          <w:rFonts w:ascii="Times New Roman" w:cs="Times New Roman" w:eastAsia="Times New Roman" w:hAnsi="Times New Roman"/>
          <w:sz w:val="18"/>
          <w:szCs w:val="18"/>
          <w:color w:val="auto"/>
        </w:rPr>
        <w:t>” below for more information and for a reconciliation of net loss, the most directly comparable financial measure calculated and presented in accordance with U.S. generally accepted accounting principles (“GAAP”), to Adjusted EBITDA.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unaudited condensed consolidated financial statements, we use the following key business metrics to evaluate our business, measure our performance, develop financial forecasts,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Weekly Active Users (WAU)</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define a WAU as a Nextdoor user who opens our application, logs on to our website, or engages with an email with monetizable content at least once during a defined 7-day period.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neighborhood. We also present WAUs by geography because we are more advanced in engagement and monetization in the United States than internationally.</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September 2021, Apple released changes to the Apple email client available on its operating systems, including iOS 15 and iPadOS 15,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WAU for the three months ended September 30, 2024 and 2023 were 45.9 million and 40.4 million, respectively, which represents 13% growth period over period.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Average Weekly Active Users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5837555" cy="3017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755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8"/>
        <w:spacing w:after="0" w:line="229" w:lineRule="auto"/>
        <w:tabs>
          <w:tab w:leader="none" w:pos="10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(“CPM”) basis, a cost per click (“CPC”) basis or on a fixed-fee basis. While we have the ability to serve ads in all emails with monetizable content, we currently only do so on a portion of the total.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600075</wp:posOffset>
            </wp:positionV>
            <wp:extent cx="5314950" cy="2743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Weekly Active User (ARPU)</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activities occur. Our ARPU for the three months ended September 30, 2024 and 2023 was $1.43 and $1.39, respectively, with the increase due to growth in both revenue and WAU.</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ARPU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122555</wp:posOffset>
            </wp:positionV>
            <wp:extent cx="5314950" cy="5735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4950" cy="573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60"/>
        <w:spacing w:after="0" w:line="430" w:lineRule="auto"/>
        <w:rPr>
          <w:sz w:val="20"/>
          <w:szCs w:val="20"/>
          <w:color w:val="auto"/>
        </w:rPr>
      </w:pPr>
      <w:r>
        <w:rPr>
          <w:rFonts w:ascii="Times New Roman" w:cs="Times New Roman" w:eastAsia="Times New Roman" w:hAnsi="Times New Roman"/>
          <w:sz w:val="18"/>
          <w:szCs w:val="18"/>
          <w:color w:val="auto"/>
        </w:rPr>
        <w:t xml:space="preserve">costs associated with delivering and supporting our advertising products and credit card transaction fees related to processing customer transactions. </w:t>
      </w:r>
      <w:r>
        <w:rPr>
          <w:rFonts w:ascii="Times New Roman" w:cs="Times New Roman" w:eastAsia="Times New Roman" w:hAnsi="Times New Roman"/>
          <w:sz w:val="18"/>
          <w:szCs w:val="18"/>
          <w:b w:val="1"/>
          <w:bCs w:val="1"/>
          <w:i w:val="1"/>
          <w:iCs w:val="1"/>
          <w:color w:val="auto"/>
        </w:rPr>
        <w:t>Research and Development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benefits, restructuring costs,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and marketing expenses consist of personnel-related and other costs which include salaries, commissions, benefits, restructuring costs,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local business acquisition, and neighbor services, which includes personnel-related costs for our neighbor support team, our outsourced neighbor support function, and verification costs.</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Performance marketing costs related to user acquisition largely consist of the distribution of mailed invitations and digital advertising. Performance marketing costs related to small and mid-sized customer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marketable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unrealized gains and losses from the re-measurement of monetary assets and liabilities denominated in non-functional currencies, and gains and losses on marketable securities and foreign currency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65,610</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182,048</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and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74,417</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100,468</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286,590</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08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31,804</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9,140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16,856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17,480</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23,343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54,181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60,735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following table sets forth the components of our unaudited condensed consolidated statements of operations as a percentage of revenue for each of the periods presented:</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1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80" w:type="dxa"/>
            <w:vAlign w:val="bottom"/>
            <w:gridSpan w:val="3"/>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Certain figures may not sum due to rounding.</w:t>
      </w:r>
    </w:p>
    <w:p>
      <w:pPr>
        <w:spacing w:after="0" w:line="177" w:lineRule="exact"/>
        <w:rPr>
          <w:sz w:val="20"/>
          <w:szCs w:val="20"/>
          <w:color w:val="auto"/>
        </w:rPr>
      </w:pPr>
    </w:p>
    <w:p>
      <w:pPr>
        <w:ind w:right="5100"/>
        <w:spacing w:after="0" w:line="460" w:lineRule="auto"/>
        <w:rPr>
          <w:sz w:val="20"/>
          <w:szCs w:val="20"/>
          <w:color w:val="auto"/>
        </w:rPr>
      </w:pPr>
      <w:r>
        <w:rPr>
          <w:rFonts w:ascii="Times New Roman" w:cs="Times New Roman" w:eastAsia="Times New Roman" w:hAnsi="Times New Roman"/>
          <w:sz w:val="18"/>
          <w:szCs w:val="18"/>
          <w:b w:val="1"/>
          <w:bCs w:val="1"/>
          <w:color w:val="auto"/>
        </w:rPr>
        <w:t xml:space="preserve">Comparison of the Three and Nine Months Ended September 30, 2024 and 2023 </w:t>
      </w:r>
      <w:r>
        <w:rPr>
          <w:rFonts w:ascii="Times New Roman" w:cs="Times New Roman" w:eastAsia="Times New Roman" w:hAnsi="Times New Roman"/>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147"/>
        </w:trPr>
        <w:tc>
          <w:tcPr>
            <w:tcW w:w="1860" w:type="dxa"/>
            <w:vAlign w:val="bottom"/>
          </w:tcPr>
          <w:p>
            <w:pPr>
              <w:spacing w:after="0"/>
              <w:rPr>
                <w:sz w:val="12"/>
                <w:szCs w:val="12"/>
                <w:color w:val="auto"/>
              </w:rPr>
            </w:pPr>
          </w:p>
        </w:tc>
        <w:tc>
          <w:tcPr>
            <w:tcW w:w="2300" w:type="dxa"/>
            <w:vAlign w:val="bottom"/>
            <w:gridSpan w:val="7"/>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300" w:type="dxa"/>
            <w:vAlign w:val="bottom"/>
          </w:tcPr>
          <w:p>
            <w:pPr>
              <w:spacing w:after="0"/>
              <w:rPr>
                <w:sz w:val="12"/>
                <w:szCs w:val="12"/>
                <w:color w:val="auto"/>
              </w:rPr>
            </w:pPr>
          </w:p>
        </w:tc>
        <w:tc>
          <w:tcPr>
            <w:tcW w:w="12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2"/>
                <w:szCs w:val="12"/>
                <w:color w:val="auto"/>
              </w:rPr>
            </w:pPr>
          </w:p>
        </w:tc>
        <w:tc>
          <w:tcPr>
            <w:tcW w:w="12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vMerge w:val="continue"/>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9,518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182,048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19,296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Revenue increased by $9.5 million, or 17%, for the three months ended September 30, 2024 compared to the three months ended September 30, 2023. The increase was primarily due to increased advertiser spending as well as increased user engagement as measured by a 13% increase in Q3 WAUs. ARPU increased 3% in the three months ended September 30, 2024 compared to the three months ended September 30, 2023, reflecting year-over-year growth in both revenue and WAUs.</w:t>
      </w:r>
    </w:p>
    <w:p>
      <w:pPr>
        <w:spacing w:after="0" w:line="1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Revenue increased by $19.3 million, or 12%, for the nine months ended September 30, 2024 compared to the nine months ended September 30, 2023. The increase was primarily due to increased advertiser spending as well as increased user engagement as measured by a 13% increase in Q3 WAUs. Year-to-date ARPU increased 4% in the nine months ended September 30, 2024 compared to the nine months ended September 30, 2023, reflecting year-over-year growth in both revenue and WAUs.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300" w:type="dxa"/>
            <w:vAlign w:val="bottom"/>
          </w:tcPr>
          <w:p>
            <w:pPr>
              <w:spacing w:after="0"/>
              <w:rPr>
                <w:sz w:val="13"/>
                <w:szCs w:val="13"/>
                <w:color w:val="auto"/>
              </w:rPr>
            </w:pPr>
          </w:p>
        </w:tc>
        <w:tc>
          <w:tcPr>
            <w:tcW w:w="12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Pr>
          <w:p>
            <w:pPr>
              <w:spacing w:after="0"/>
              <w:rPr>
                <w:sz w:val="13"/>
                <w:szCs w:val="13"/>
                <w:color w:val="auto"/>
              </w:rPr>
            </w:pPr>
          </w:p>
        </w:tc>
        <w:tc>
          <w:tcPr>
            <w:tcW w:w="9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vMerge w:val="continue"/>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8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Cost of revenue increased by $0.4 million, or 4%, for the three months ended September 30, 2024 compared to the three months ended September 30, 2023. The increase was primarily due to a $0.5 million increase in third-party hosting costs.</w:t>
      </w:r>
    </w:p>
    <w:p>
      <w:pPr>
        <w:spacing w:after="0" w:line="9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Cost of revenue increased by $0.3 million, or 1%, for the nine months ended September 30, 2024 compared to the nine months ended September 30, 2023. The increase was primarily due to a $0.8 million increase in third-party hosting costs and a $0.6 million increase in third-party costs associated with delivering and supporting our advertising product, partially offset by a $1.2 million decrease in allocated personnel-related costs.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230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300" w:type="dxa"/>
            <w:vAlign w:val="bottom"/>
          </w:tcPr>
          <w:p>
            <w:pPr>
              <w:spacing w:after="0"/>
              <w:rPr>
                <w:sz w:val="13"/>
                <w:szCs w:val="13"/>
                <w:color w:val="auto"/>
              </w:rPr>
            </w:pPr>
          </w:p>
        </w:tc>
        <w:tc>
          <w:tcPr>
            <w:tcW w:w="12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3"/>
                <w:szCs w:val="13"/>
                <w:color w:val="auto"/>
              </w:rPr>
            </w:pPr>
          </w:p>
        </w:tc>
        <w:tc>
          <w:tcPr>
            <w:tcW w:w="128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40" w:type="dxa"/>
            <w:vAlign w:val="bottom"/>
            <w:vMerge w:val="continue"/>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8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Research and</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(7,752)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Research and development expenses decreased by $7.8 million, or 20%, for the three months ended September 30, 2024 compared to the three months ended September 30, 2023. The decrease was primarily due to a $7.1 million decrease in personnel-related costs, primarily driven by a decrease in headcount, and a $0.5 million decrease in allocated overhead costs driven by the decrease in headcount.</w:t>
      </w:r>
    </w:p>
    <w:p>
      <w:pPr>
        <w:spacing w:after="0" w:line="11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Research and development expenses decreased by $15.4 million, or 14%, for the nine months ended September 30, 2024 compared to the nine months ended September 30, 2023. The decrease was primarily due to a $15.6 million decrease in personnel-related costs, inclusive of restructuring costs, primarily driven by a decrease in headcount.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23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300" w:type="dxa"/>
            <w:vAlign w:val="bottom"/>
          </w:tcPr>
          <w:p>
            <w:pPr>
              <w:spacing w:after="0"/>
              <w:rPr>
                <w:sz w:val="13"/>
                <w:szCs w:val="13"/>
                <w:color w:val="auto"/>
              </w:rPr>
            </w:pPr>
          </w:p>
        </w:tc>
        <w:tc>
          <w:tcPr>
            <w:tcW w:w="12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3"/>
                <w:szCs w:val="13"/>
                <w:color w:val="auto"/>
              </w:rPr>
            </w:pPr>
          </w:p>
        </w:tc>
        <w:tc>
          <w:tcPr>
            <w:tcW w:w="12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40" w:type="dxa"/>
            <w:vAlign w:val="bottom"/>
            <w:vMerge w:val="continue"/>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8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Personnel-related and</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Brand and performance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Neighbor services</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6"/>
        </w:trPr>
        <w:tc>
          <w:tcPr>
            <w:tcW w:w="18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sales and</w:t>
            </w:r>
          </w:p>
        </w:tc>
        <w:tc>
          <w:tcPr>
            <w:tcW w:w="260" w:type="dxa"/>
            <w:vAlign w:val="bottom"/>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26,158</w:t>
            </w:r>
          </w:p>
        </w:tc>
        <w:tc>
          <w:tcPr>
            <w:tcW w:w="4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30,564</w:t>
            </w:r>
          </w:p>
        </w:tc>
        <w:tc>
          <w:tcPr>
            <w:tcW w:w="8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86,468</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91,159</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$4.4 million, or 14%, for the three months ended September 30, 2024 compared to the three months ended September 30, 2023. The decrease was primarily due to a $6.4 million decrease in personnel-related costs, primarily driven by a decrease in headcount, and a $0.4 million decrease in neighbor services, partially offset by a $1.3 million increase in performance marketing costs to attract local businesses and a $1.1 million increase in performance marketing costs for user acquisition.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$4.7 million, or 5%, for the nine months ended September 30, 2024 compared to the nine months ended September 30, 2023. The decrease was primarily due to a $7.0 million decrease in personnel-related costs, inclusive of restructuring costs, primarily driven by a decrease in headcount, and a $0.7 million decrease in neighbor services, partially offset by a $1.6 million increase in performance marketing costs to attract local businesses and a $1.3 million increase in performance marketing costs for user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23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300" w:type="dxa"/>
            <w:vAlign w:val="bottom"/>
          </w:tcPr>
          <w:p>
            <w:pPr>
              <w:spacing w:after="0"/>
              <w:rPr>
                <w:sz w:val="13"/>
                <w:szCs w:val="13"/>
                <w:color w:val="auto"/>
              </w:rPr>
            </w:pPr>
          </w:p>
        </w:tc>
        <w:tc>
          <w:tcPr>
            <w:tcW w:w="12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3"/>
                <w:szCs w:val="13"/>
                <w:color w:val="auto"/>
              </w:rPr>
            </w:pPr>
          </w:p>
        </w:tc>
        <w:tc>
          <w:tcPr>
            <w:tcW w:w="12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General and</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(2,329)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19,016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General and administrative expenses decreased by $2.3 million, or 12%, for the three months ended September 30, 2024 compared to the three months ended September 30, 2023. The decrease was primarily due to a $1.9 million decrease in personnel-related costs primarily driven by a decrease in headcount and a $0.4 million decrease in insurance expenses.</w:t>
      </w:r>
    </w:p>
    <w:p>
      <w:pPr>
        <w:spacing w:after="0" w:line="12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General and administrative expenses increased by $19.0 million, or 34%, for the nine months ended September 30, 2024 compared to the nine months ended September 30, 2023. The increase was primarily due to a $23.3 million increase in restructuring costs, inclusive of $22.7 million of impairment costs related to office space reductions, partially offset by a $1.7 million decrease in personnel-related costs primarily driven by a decrease in headcount, a $1.1 million decrease in insurance expenses, and a $0.9 million decrease in professional fees.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23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300" w:type="dxa"/>
            <w:vAlign w:val="bottom"/>
          </w:tcPr>
          <w:p>
            <w:pPr>
              <w:spacing w:after="0"/>
              <w:rPr>
                <w:sz w:val="13"/>
                <w:szCs w:val="13"/>
                <w:color w:val="auto"/>
              </w:rPr>
            </w:pPr>
          </w:p>
        </w:tc>
        <w:tc>
          <w:tcPr>
            <w:tcW w:w="12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Pr>
          <w:p>
            <w:pPr>
              <w:spacing w:after="0"/>
              <w:rPr>
                <w:sz w:val="13"/>
                <w:szCs w:val="13"/>
                <w:color w:val="auto"/>
              </w:rPr>
            </w:pPr>
          </w:p>
        </w:tc>
        <w:tc>
          <w:tcPr>
            <w:tcW w:w="8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24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Interest income decreased by $1.0 million, or 14%, for the three months ended September 30, 2024 compared to the three months ended September 30, 2023. The decrease was driven by lower returns on marketable securities as a result of lower invested balances partially offset by higher interest rates.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increased by $0.4 million, or 2%, for the nine months ended September 30, 2024 compared to the nine months ended September 30,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driven by higher returns on marketable securities as a result of higher interest rates partially offset by lower invested balances.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23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Pr>
          <w:p>
            <w:pPr>
              <w:spacing w:after="0"/>
              <w:rPr>
                <w:sz w:val="16"/>
                <w:szCs w:val="16"/>
                <w:color w:val="auto"/>
              </w:rPr>
            </w:pP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2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9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Other income (expense),</w:t>
            </w: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72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Other income (expense), net increased by $0.5 million for the three months ended September 30, 2024 compared to the three months ended September 30, 2023. The increase was primarily due to the periodic re-measurement of monetary assets and liabilities denominated in non-functional currencies and gains and losses on marketable securities and foreign currency transactions.</w:t>
      </w:r>
    </w:p>
    <w:p>
      <w:pPr>
        <w:spacing w:after="0" w:line="11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Other income (expense), net increased by $0.8 million for the nine months ended September 30, 2024 compared to the nine months ended September 30, 2023. The increase was primarily due to the periodic re-measurement of monetary assets and liabilities denominated in non-functional currencies and gains and losses on marketable securities and foreign currency transactions.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23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300" w:type="dxa"/>
            <w:vAlign w:val="bottom"/>
          </w:tcPr>
          <w:p>
            <w:pPr>
              <w:spacing w:after="0"/>
              <w:rPr>
                <w:sz w:val="13"/>
                <w:szCs w:val="13"/>
                <w:color w:val="auto"/>
              </w:rPr>
            </w:pPr>
          </w:p>
        </w:tc>
        <w:tc>
          <w:tcPr>
            <w:tcW w:w="12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Pr>
          <w:p>
            <w:pPr>
              <w:spacing w:after="0"/>
              <w:rPr>
                <w:sz w:val="13"/>
                <w:szCs w:val="13"/>
                <w:color w:val="auto"/>
              </w:rPr>
            </w:pPr>
          </w:p>
        </w:tc>
        <w:tc>
          <w:tcPr>
            <w:tcW w:w="9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6"/>
            <w:vMerge w:val="continue"/>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24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8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Provision for income</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Provision for income taxes decreased by $0.1 million, or 42%, for the three months ended September 30, 2024 compared to the three months ended September 30, 2023. The decrease was primarily due to a decrease in foreign income tax expenses.</w:t>
      </w:r>
    </w:p>
    <w:p>
      <w:pPr>
        <w:spacing w:after="0" w:line="12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Provision for income taxes decreased by less than $0.1 million, or 4%, for the nine months ended September 30, 2024 compared to the nine months ended September 30, 2023. The decrease was primarily due to a decrease in foreign income tax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generated losses from our operations, as reflected in our accumulated deficit of $852.0 million as of September 30, 2024.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strategic expansion of our business.</w:t>
      </w:r>
    </w:p>
    <w:p>
      <w:pPr>
        <w:spacing w:after="0" w:line="1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September 30, 2024, we had $424.7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(the “Share Repurchase Program”), and our ability to obtain equity or debt financing. Moreover, any instability in the U.S. or international banking systems may impact liquidity both in the short term and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The Share Repurchase Program does not obligate us to repurchase any dollar amount or number of shares, and the program may be extended, modified, suspended, or discontinued at any time. On February 21, 2024, our Board of Directors authorized and approved an increase of $150.0 million to the Share Repurchase Program and extended the expiration date to March 31, 2026. During the three and nine months ended September 30, 2024, we repurchased and retired 7.5 million and 30.0 million shares of Class A common stock at an average purchase price of $2.64 and $2.44 per share for an aggregate repurchase price of $19.8 million and $73.3 million, respectively. As of September 30, 2024, we had $99.5 million available for future share repurchases under the Share Repurchase Program.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rPr>
              <w:t>(31,958)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(44,336)</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437"/>
              <w:spacing w:after="0"/>
              <w:rPr>
                <w:sz w:val="20"/>
                <w:szCs w:val="20"/>
                <w:color w:val="auto"/>
              </w:rPr>
            </w:pPr>
            <w:r>
              <w:rPr>
                <w:rFonts w:ascii="Times New Roman" w:cs="Times New Roman" w:eastAsia="Times New Roman" w:hAnsi="Times New Roman"/>
                <w:sz w:val="18"/>
                <w:szCs w:val="18"/>
                <w:color w:val="auto"/>
              </w:rPr>
              <w:t>93,410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rPr>
              <w:t>(72,073)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2024 was $32.0 million which resulted from a net loss of $85.9 million, adjusted for non-cash charges of $76.2 million and net cash outflows of $22.2 million from changes in operating assets and liabilities. Non-cash charges primarily consisted of $54.2 million of stock-based compensation expense, $22.8 million of non-cash impairment charges related to lease abandonment, and $3.3 million of depreciation and amortization expense, partially offset by $4.9 million of accretion on investments. The net cash outflows from changes in operating assets and liabilities were primarily due to an $8.9 million decrease in accrued expenses and other liabilities, a $6.4 million increase in prepaid expenses and other assets, a $4.9 million decrease in operating lease liabilities due to lease payments, a $3.4 million increase in accounts receivable, and a $1.7 million decrease in accounts payable. These amounts were partially offset by a $3.1 million decrease in operating lease right-of-use assets due to normal amortization.</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2023 was $44.3 million which resulted from a net loss of $107.2 million, adjusted for non-cash charges of $58.9 million and net cash inflows of $4.0 million from changes in operating assets and liabilities. Non-cash charges primarily consisted of $60.7 million of stock-based compensation expense and $4.4 million of depreciation and amortization expense, partially offset by $6.5 million of accretion on investments. The net cash inflows from changes in operating assets and liabilities were primarily due to a $3.5 million decrease in operating lease right-of-use assets due to normal amortization, a $3.4 million increase in accrued expenses and other liabilities, and a $2.8 million decrease in prepaid expenses and other assets. These amounts were partially offset by a $4.2 million decrease in operating lease liabilities due to lease payments, a $1.2 million decrease in accounts payable, and a $0.3 million increase in accounts receivable.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nine months ended September 30, 2024 was $93.4 million, which consisted of proceeds from maturities of marketable securities of $158.4 million and proceeds from sales of marketable securities of $138.4 million. This was partially offset by purchases of marketable securities of $195.6 million and a loan to Opportunity Finance Network of $7.5 million.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nine months ended September 30, 2023 was $40.2 million, which consisted of proceeds from maturities of marketable securities of $416.6 million and proceeds from sales of marketable securities of $81.3 million. This was partially offset by purchases of marketable securities of $454.9 million and a loan to Opportunity Finance Network of $2.5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2024 was $72.1 million, which consisted of repurchases of common stock of $73.3 million and tax withholdings on release of restricted stock units of $11.4 million. This was partially offset by proceeds from the exercise of stock options of $11.5 million and proceeds from the issuance of common stock under the employee stock purchase plan of $1.1 million.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2023 was $8.5 million, which consisted of $6.7 million of proceeds from the exercise of stock options and $2.0 million of proceeds from the issuance of common stock under the employee stock purchase plan. This was partially offset by tax withholdings on release of restricted stock units of $0.2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that represents our net loss adjusted for depreciation and amortization, stock-based compensation, net interest income, provision for income taxes, and any restructuring charges or acquisition-related costs.</w:t>
      </w:r>
    </w:p>
    <w:p>
      <w:pPr>
        <w:spacing w:after="0" w:line="1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the most comparable GAAP measure, to Adjusted EBITDA:</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(107,235)</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60,735</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requiring estimates, assumptions, and judgments as compared to the critical accounting policies and estimates as described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2 to our unaudited condensed consolidated financial statements included elsewhere in this Quarterly Report for more information regarding recently issued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$49.7 million and marketable securities of $375.0 million. Our cash and cash equivalents consist of cash in bank accounts, demand deposits, and money market funds.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Quarterly Report, and have concluded that, based on such evaluation, our disclosure controls and procedures were effective as of September 30, 2024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Disclosure Controls and Procedures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more information regarding legal proceedings and other claims in which we are involved, see Note 7, Commitments and Contingencies, to our unaudited condensed consolidated financial statements included in Part I, Item 1 of this Quarterly Report on Form 10-Q, and is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9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We commenced operating the Nextdoor platform in 2011 and began supporting the platform with advertising in 2016. Moreover, we recently introduced our NEXT initiative, a planned complete transformation of our platform with the goal of making our platform more robust and engaging for users, as well as more compelling for advertisers.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global economic and financial conditions could harm our business and financial condition.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Adverse global economic and financial events and the effects thereof, such as health epidemics or pandemics, the war in Ukraine and the Middle East, inflation, changing interest rates, potential recessions, the 2024 U.S. election, fluctuations in foreign exchange rates, actual or perceived instability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In addition, since the majority of our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spacing w:after="0" w:line="1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or advertiser engagement on the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growth in, or lack of growth or decreases in, the number of neighbors active on the platform;</w:t>
      </w:r>
    </w:p>
    <w:p>
      <w:pPr>
        <w:spacing w:after="0" w:line="17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whether in the advertising industry in general, among specific types of advertisers or within particular geographies, including but not limited to the 2024 U.S. election, health epidemics or pandemics, actual or perceived instability in the global banking system, labor shortages, supply chain disruptions, a potential recession, inflation and changing interest rates;</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offering more attractive pricing for advertisements that we are unable or unwilling to match;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quantity or quality of advertisements shown to neighbors;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demographics of our neighbors that make us less attractive to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neighbors who exercise opt-out rights under privacy laws to restrict the advertisements they receive;</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that upload content or take other actions that are deemed to be hostile, inappropriate, illicit, objectionable, illegal, or otherwise not consistent with the brand of our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government actions or legislative, regulatory, or other legal developments;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changes to the platform that may affect, among other things, the safety and security of other neighbors or the cultivation of a positive and inclusive online community;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media reports or other negative publicity involving us;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or enforcing policies, such as advertising policies, community guidelines, and other terms or service that are perceived negatively by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improve our products for advertisers;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or reductions to, the availability, accuracy, utility, and security of analytics and measurement solutions offered by us or third parties that are intended to demonstrate the value of our advertisements to advertisers;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data privacy practices that affect the type or manner of advertising that we are able to provide, including as a result of changes to laws, regulations or regulatory actions, such as the General Data Protection Regulation (“GDPR”), European Directive 2002/58/EC (the “ePrivacy Directive”), the United Kingdom Data Protection Act (“UK GDPR”), the UK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Data Protection Act 2018, the CCPA, Nevada’s Online Privacy Law, the CDPA, the VCPDA, the CPRA, and other U.S. state privacy laws, or changes to third-party policies.</w:t>
      </w:r>
    </w:p>
    <w:p>
      <w:pPr>
        <w:spacing w:after="0" w:line="3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has its Intelligent Tracking Prevention (“ITP”) feature in its Safari browser, which blocks some or all third-party cookies by default on mobile and desktop and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uses an App Tracking Transparency framework that limits the ability of mobile applications to request an iOS device’s advertising identifier and affects our ability to track neighbors’ actions off our platform and connect their interactions with on-platform advertising. Google recently went back on its plans to phase out third-party cookies, but is exploring ways to allow users to make browser-level privacy choices that could impact our advertising. These web and mobile browser developers have also implemented and may continue to implement changes and restrictions in browser or device functionality that limit our ability to communicate with or understand the identity of our neighbors.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historical growth rates or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spacing w:after="0" w:line="20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active neighbor base slows or reverses, we may be required to incur significantly higher marketing expenses than we currently anticipate in order to acquire new neighbors or retain current neighbors. We recently introduced our NEXT initiative, a planned complete transformation of our platform with the goal of making our platform more robust and engaging for users, as well as more compelling for advertisers. We may expend significant resources and management bandwidth on the implementation of this initiative, but those efforts may not be successful and may not result in the expected benefits, including increased neighbor satisfaction or engagement, or added neighbors on our platform.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many factors that could negatively impact our ability to grow, retain and engage current and prospective neighbors, including but not limited to:</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increasing their engagement with competitors’ platforms, products or services instead of, or more frequently than,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time neighbors spend across all applications and platforms, including our platform;</w:t>
      </w:r>
    </w:p>
    <w:p>
      <w:pPr>
        <w:spacing w:after="0" w:line="17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introduce platform enhancements that neighbors find engaging or if we introduce new features, terms, policies or procedures, or make changes to our platform, including changes we are implementing with our NEXT initiative, that are not favorably received by current or prospective neighbors;</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frustrating the neighbor experience, such as problems that prevent us from delivering our service in a fast and reliable manner;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having difficulty installing, updating or otherwise accessing the Nextdoor platform on mobile devices through the app or web browsers;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on the Nextdoor platform changing, including a decrease in the quality and frequency of content shares on the platform;</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government and regulatory authorities, or litigation that adversely impact our platform or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obtain or attract engaging third-party content;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preventing their content from being displayed on the Nextdoor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how we promote different features on our platform;</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designed to attract and retain neighbors and engagement are unsuccessful or discontinued, whether as a result of actions by us, third parties,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other partners and companies in the industry are the subject of adverse media reports or other negative publicity;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combat spam, harassment, cyberbullying or other hostile, inappropriate, abusive or offensive content or usage on our platform;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preserve and enhance our brand and reputation as a trusted neighborhood networking community.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Competition presents an ongoing threat to the success of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companies that provide a variety of internet products, services, content, and online advertising. In addition, aspects of our platform compete with other products and services, including home services, classifieds,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ability to compete depends upon many factors both within and beyond our control, including:</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usefulness, ease of use, performance, and reliability of our platform compared to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our neighbor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of neighbors with our platform and competing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and third-party data available to us relative to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advertisers who use our free or paid advertisements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market acceptance of developments and enhancements to our platform or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safety and security efforts and our ability to protect neighbor data and to provide neighbors with control over their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our platform to new and existing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monetize our platform;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3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of platform changes, such as the migration to our proprietary ad server, introduction of AI technologies into our platform, and NEXT initiative;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size, format, quality, and relative prominence of the advertisements displayed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efforts;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efforts, including our ability to measure the effectiveness of our advertisements and to provide advertisers with a compelling return on their investments;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publisher interest in integrating their content with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regulatory authorities, or litigation, some of which may have a disproportionate effect on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 particularly software engineers, designers, and managers;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cost-effectively manage and grow our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strength relative to those of our competitors.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 in Ukraine and in the Middle East),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amount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spacing w:after="0" w:line="20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substantial portion of our network infrastructure is provided by third parties, including AWS. We also rely on third parties for other technology related services, including certain AI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scale our business effectively, our business, operating results, and financial condition would be adversely affected.</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experienced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as we have grown, our business has become increasingly complex and may require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actual or perceived instability in the global banking system, labor shortages, supply chain disruptions, a potential recession, the 2024 U.S. election, changing interest rates and inflation, and the war in Ukraine and the Middle East.</w:t>
      </w: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from time to time, we realign our resources and talent to implement stage-appropriate business strategies, which could include furloughs, layoffs and reductions in force. For example, in November 2023, in response to changing economic conditions and in an effort to support our growth, scale and profitability objectives, reduce our operational costs and improve our organizational efficiency, we executed a restructuring plan, which included a restructuring and reduction of the current workforce by approximately 25%. The restructuring plan was substantially completed by the end of the fourth quarter of 2023. On April 24, 2024, we performed an additional restructuring intended to refocus the Company for future growth. The plan impacted 38 of our full-time employees. The execution of the plan was substantially complete by the end of the second quarter of 2024. As part of the restructuring plan implemented in April 2024, the Company ceased occupying and abandoned certain floors of its leased headquarters in San Francisco in order to adjust its office space footprint to better align with the needs of its work model.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AI initiatives, which could adversely affect our business, reputation, or financial results.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continuing to make investments in AI initiatives, including to recommend relevant content across our products, enhance our advertising tools, and develop new product features using generative AI.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For example, the use of datasets to develop AI models, the content generated by AI systems, or the application of AI systems may be found to be insufficient, offensive, biased, or harmful, or violate current or future laws and regulations. Moreover, AI may give rise to litigation risk, including potential intellectual property or privacy liability. Furthermore, the integration of third-party AI models with our products and services relies on certain safeguards implemented by the third-party developers of the underlying AI models, including those related to the accuracy, bias, and other variables of the data, and these safeguards may be insufficient. If our offerings draw controversy due to their perceived or actual impact on society, such as AI solutions that have unintended consequences or are controversial because of their impact on human rights, privacy, employment, or other social, economic, or political issues, or if we are unable to develop effective internal policies and frameworks relating to the responsible development and use of AI models and systems, we may experience brand, reputational, and/or competitive harm, or could face legal liability. Moreover, our competitors may introduce AI technologies and features into their products and services that achieve greater market acceptance that ours. Any of these factors could adversely affect our business, operating results, and financial condition.</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media coverage negatively affects our business from time to time.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international operations where we have limited operating experience and may be subject to increased business, regulatory, and economic risks that could seriously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continue expanding our business operations abroad by opening new and expanding within existing neighborhoods outside of the United States. As of September 30, 2024, the Nextdoor platform was accessible in 11 countries (including the United States) and had over 340,000 neighborhoods. We may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spacing w:after="0" w:line="13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including as a result of acts of war or terrorism, including the war in Ukraine and the Middle East;</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brand and reputation due to compliance with local laws, including potential censorship and requirements to provide neighbor information to local authorities;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difficulty in reviewing content on the Nextdoor platform and enforcing community standards across different languages and countries;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U.S. and international tax jurisdictions and management of tax impact of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higher levels of credit risk and payment fraud;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any foreign acquisitions;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variety of foreign laws, including laws related to taxation, content removal, data localization, data transfer, consents, payments, and regulatory oversight;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legal compliance costs associated with multiple international locations.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need additional capital in the future, it may not be available on favorable terms, if at all.</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2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which could harm our financial condition or operating results and may adversely affect the price of our Class A common stock.</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have made, and may in the future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largely on our ability to attract, and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spacing w:after="0" w:line="1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and the change by companies to offer a remote or hybrid work environment may increase the competition for such employees from employers outside of our traditional office locations.</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and workforce participation rates. Further, in November 2023, in response to changing economic conditions and in an effort to reduce our operational costs and improve our organizational efficiency, we executed a restructuring plan, which included a restructuring and reduction of the current workforce by approximately 25%. The restructuring plan was substantially complete by the end of the fourth quarter of 2023. On April 24, 2024, we performed another restructuring intended to refocus the Company for future growth. The plan impacted 38 of our full-time employees. The execution of the plan was substantially complete by the end of the second quarter of 2024. As part of the restructuring plan implemented in April 2024, in June 2024, we ceased occupying and abandoned certain floors of our leased headquarters in San Francisco in order to adjust our office space footprint to better align with the needs of our work model. These restructuring plans could negatively impact our ability to attract, integrate, 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success also depends in large part on the continued services of senior management and other key personnel. In particular, we are dependent on the services of Nirav Tolia, our Chief Executive Officer and President, who is critical to the future vision and strategic direction of our business. We rely on our senior management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core values may conflict with the short-term interests of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Security and Technology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third-party software and service providers, including the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we rely on third-party technology providers in our business, we rely on the cybersecurity practices and policies adopted by these third parties. Our ability to monitor our third-party technology providers’ cybersecurity practices is limited.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including email providers, mobile data networks, and geolocation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 parties to verify our neighbors’ accounts through several methods, including but not limited to email, SMS text message, phone calls, geolocation and mailed invitations. For example, we utilize email providers, mobile data networks, and geolocation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trend towards working from home and using private residential networks to access the Internet may further exacerbate risks associated with cyberattacks and data security breaches, because we cannot guarantee these private work environments and electronic connections to our work environment have the same robust security measures deployed in our physical offices.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take a variety of technical and organizational security measures and other measures to protect our data. Although we have implemented systems and processes that are designed to protect our data and our neighbors’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Security breaches may cause interruptions to our platform, degrade the neighbor experience, cause neighbors or advertisers to lose confidence and trust in our platform, impair our internal systems, or result in financial harm to our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platform, as well as additional costs to oversee and monitor security risks. Many jurisdictions have enacted laws mandating companies to inform individuals, stockholders, regulatory authorities, and others of security breaches. For example, the SEC has adopted cybersecurity risk management and disclosure rules, which require the disclosure of information pertaining to cybersecurity incidents and cybersecurity risk management, strategy,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governance. This mandatory disclosure can be costly, harm our reputation, erode customer trust, and require significant resources to mitigate issues stemming from actual or perceived security breaches.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security breach of our system could trigger a breach of our agreements with partners that we rely on to deliver our services and expose us to significant loss.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11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Apple requires neighbors using the app to opt in before their identifier for advertisers can be accessed by an app and has security measures in its Apple mail client available on its operating systems which have impacted, and are expected to continue to impact, our ability to track individual users and devices, and measure the effectiveness of our advertisements. While we have not observed any directly attributable negative impact on our business, operating results or financial condition, including our revenue, revenue growth rates, and operating income (loss), related to these features,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and ethical issues may result in reputational harm and liability.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spacing w:after="0" w:line="1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disclosures on environmental, social, and governance (“ESG”) matters, and any standards we may set for ourselves or a failure to meet these standards, may influence our reputation and the value of our brand. For example, we have elected to share publicly certain information about our ESG initiatives and information, and our commitment to the recruitment, engagement and retention of a diverse board and workforce. In addition, the SEC has adopted and subsequently imposed a voluntary stay on the implementation of additional disclosure requirements regarding, among other ESG topics, the impact our business has on the environment. Moreover, California has adopted two climate-related bills, which require companies doing business in California that meet certain revenue thresholds to publicly disclose certain greenhouse gas emissions data and climate-related financial risk reports. California also enacted the Voluntary Carbon Market Disclosures Act, which requires companies that operate within the state to make certain climate-related claims and to provide enhanced disclosures around the achievement of such claims.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If and when the stay on the SEC proposals is lifted, we will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results difficult to predict.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3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from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retain, and grow our neighbors and neighbor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recognize revenue or collect payments from advertisers in a particular period;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spending by our advertisers due to macroeconomic conditions, seasonality, episodic regional or global events, or other factors;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global business and macroeconomic conditions, including actual or perceived instability in the global banking system,</w:t>
      </w:r>
    </w:p>
    <w:p>
      <w:pPr>
        <w:spacing w:after="0" w:line="49" w:lineRule="exact"/>
        <w:rPr>
          <w:rFonts w:ascii="Times New Roman" w:cs="Times New Roman" w:eastAsia="Times New Roman" w:hAnsi="Times New Roman"/>
          <w:sz w:val="18"/>
          <w:szCs w:val="18"/>
          <w:color w:val="auto"/>
        </w:rPr>
      </w:pPr>
    </w:p>
    <w:p>
      <w:pPr>
        <w:ind w:left="66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recession, the 2024 U.S. election, local and national elections, the continued rise of inflation, changing interest rates, and the war in Ukraine and the Middle East;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internet usage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prominence, size, format, quality and relevancy of advertisements shown to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technologies designed to block the display of advertisements;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advertisements;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of and mix of new and existing sales and marketing and promotional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platform and app on mobile devices and other third-party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platform or the development and introduction of new products or services by our competitors;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platform changes that may reduce traffic to features of the platform that we monetize;</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disruptions, breaches of security or privacy, whether on our platform or on those of third parties, and the costs associated with any such breaches and remediation;</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the COVID-19 pandemic, influenza, and other highly communicable diseases or viruses;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our cash, cash equivalents, and marketable securities, including to repurchase shares of our outstanding Class A common stock or to make acquisitions or investments;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incurring additional expenses, such as increases in sales and marketing or research and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privacy and cybersecurity, or actions by governments or regulators, including fines, orders, or consent decrees;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market opportunities and key metric estimates could prove to be inaccurate, and any real or perceived inaccuracies may harm our reputation and negatively affect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which could cause actual results to differ materially from our estimates. Unfavorable changes in any of these or other assumptions,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regularly review key business and other metrics, including WAUs, Verified Neighbors and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For example, in 2021, Apple introduced changes for the Apple mail client available on its operating systems, which have limited, and are expected to continue to limit, our ability to track individual users and devices, and measure user engagement with our emails containing monetizable content for users that use the Apple email client. These changes have affected our ability to calculate WAUs, a key business metric. Because of the introduction of these changes, we are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experienced significant net losses each year since we began operations in 2007, including net losses of $85.9 million and $107.2 million for the nine months ended September 30, 2024 and 2023, respectively. We have an accumulated deficit of $852.0 million as of September 30, 2024.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reductions in November 2023 and April 2024, we cannot guarantee that these efforts will be successful or that we will not re-accelerate operating expenditures in the future in order to capitalize on growth opportunities.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gross U.S. federal net operating loss (“NOL”) carryforwards of approximately $413.6 million and gross state NOL carryforwards of approximately $280.8 million, which if not utilized, will begin to expire for federal and state income tax purposes beginning in 2028. To the extent that we continue to generate taxable losses, unused losses will carry forward to offset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taxable income, if any. Under the 2017 Tax Cuts and Jobs Act,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operating results, which are reported in U.S. dollars, could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greater than anticipated tax liabilities, which could harm our business, revenue and financial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number of tax jurisdictions globally, including in the United States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discourage neighbors from utilizing our platform or could otherwise harm our business, operating results, and financial condition.</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 In August 2022, President Biden signed into law the Inflation Reduction Act of 2022 (“IRA”). The IRA includes a 15% corporate alternative minimum tax for companies with modified GAAP net income in excess of $1 billion, a 1% excise tax on certain stock repurchases, and numerous environmental and green energy tax credits. Currently, we are not subject to the corporate alternative minimum tax and we do not expect the new law to have a material impact on our results of operations.</w:t>
      </w:r>
    </w:p>
    <w:p>
      <w:pPr>
        <w:spacing w:after="0" w:line="2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On February 21, 2024, our Board of Directors authorized and approved an increase of $150.0 million to the Share Repurchase Program and extended the expiration date to March 31, 2026. As of September 30, 2024, we had $99.5 million available for future share repurchases under the Share Repurchase Program.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as a result of content or information that is published or made available on our platform.</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and as we continue to roll out our NEXT initiative, which we expect to utilize third-party content. Additionally, some controversial content may not be banned on the Nextdoor platform and, even if it is not featured in advertisements to neighbors, it may still appear in the 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and foreign laws, regulations, and industry standards, many of which are subject to change and uncertain interpretations, which uncertainty could harm our business, operating results, and financial condition.</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regulations and industry standards that involve matters central to our business, including laws and regulations that involve data privacy, security and protection, intellectual property (including copyright and patent laws), content, rights of publicity, advertising, marketing, health and safety, competition, protection of minors, age verification, consumer protection, taxation,telecommunications, anti-bribery, anti-money laundering and corruption, telecommunications, AI and machine learning, and securities.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see these protections lessened either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Although the U.S. Supreme Court declined to narrow the scope of Section 230 in its Gonzalez v. Google decision, there are still legislative efforts to amend the CDA, which if successful could expose us to additional lawsuits and potential judgments that could seriously harm our business. We could incur significant costs investigating and defending such claims and, if we are found liable, significant damages.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DSA, signed into law in the European Union on October 19, 2022, is a package of legislation intended to update the liability and safety rules for digital platforms, products, and services. The DSA, which started to apply to our business in February 2024,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On October 26, 2023, similarly, the United Kingdom’s Online Safety Act became law. The Act creates requirements around monitoring and handling harmful content and will require us to expend resources to try to comply with the new regulations or incur liability. Additionally, Australia’s Online Safety Act 2021, which went into effect in January 2022, and its accompanying Social Media Services Code, which went into effect in December 2023, may impose new obligations and liabilities on platforms with respect to certain types of harmful content. These new and proposed laws, together with any changes to the existing laws and regulations within the jurisdictions in which we operate could require us to expend additional resources to maintain compliance with any new or evolving regulations. As a result, we may incur additional liability, and our business, operating results, and financial condition could be harmed.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collect, store, use, share, and otherwise process data, some of which contains personal information about individuals including, but not limited to, our users, employees and partners including, contact details, network details, and location data. We are therefore subject to U.S. (federal, state, local) and foreign laws and regulations regarding data privacy, security and protection, which encompass the processing of this personal information. The regulatory framework for data privacy, security, and protection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internal and publicly posted policies and notices regarding our collection, processing, use, disclosure, deletion and security of information. Although we endeavor to comply with our policies, we may at times fail to do so or be accused of having failed to do so. The publication of our privacy policies and notices that provide commitments about data privacy, security, and protection can subject us to potential actions if they are found to be deceptive, unfair, or otherwise misrepresent our actual practices, which could materially and adversely affect our business, operating results, and financial condition.</w:t>
      </w:r>
    </w:p>
    <w:p>
      <w:pPr>
        <w:spacing w:after="0" w:line="1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United States, we are subject to numerous federal, state and local data privacy, security, and protection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Additionally, California voters approved the CPRA, which amended the CCPA and became effective January 1, 2023 (with a look back to January 1, 2022). The CPRA significantly modifies the CCPA, including by expanding consumers’ rights and establishing a new state agency that is vested with authority to implement and enforce the CPRA. Other states have also passed comparable legislation, with unique compliance requirements relevant to our business. We are subject to several state privacy laws in the United States at present and anticipate additional state privacy laws will go into effect in the coming years,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and there have been attempts at the federal level to introduce privacy legislation. Compliance with these laws and any newly enacted privacy, security, and data protection laws or regulations may be challenging and cost- and time-intensive, and may require us to modify our data processing practices and policies and to incur substantial costs and potential liability in an effort to comply with such legislation.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we are subject to an increasing number of laws, regulations and industry standards that apply to data privacy and security. In Canada, we are subject to the Personal Information Protection and Electronic Documents Act, which governs the collection, use and disclosure of Canadian residents’ personal information in the course of commercial activities. In Australia, we are also subject to, among other laws, Australia’s Privacy Act 1988 and the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In the European Union, we are subject to the GDPR, and in the United Kingdom we are subject to the UK GDPR. These laws govern our collection, control, processing, sharing, disclosure and other use of data relating to an identifiable living individual (personal data). The GDPR, and national implementing legislation in European Union member states and the United Kingdom, imposes a strict data protection compliance regime, grants new rights for data subjects in regard to their personal data (including the right to be “forgotten” and the right to data portability) and enhances current rights (e.g., data subject access requests).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subject to European Union rules with respect to cross-border transfers of personal data out of the European Union and the United Kingdom. After years of uncertainty following the July 16, 2020 decision of the Court of Justice of the European Union (the “CJEU”) invalidating the EU-U.S. Privacy Shield Framework (the “Privacy Shield”), on July 10, 2023 the European Commission adopted its adequacy decision for the new EU-U.S. Data Privacy Framework (“DPF”). The DPF creates a path forward for personal data to be transferred from the EU to the United States for U.S. entities that have self-certified with the U.S. Department of Commerce. Nextdoor has been a participant in the DPF and UK Extension to the DPF since July 17, 2024 when its self-certification was approved.</w:t>
      </w:r>
    </w:p>
    <w:p>
      <w:pPr>
        <w:spacing w:after="0" w:line="12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and e-marketing. In the EU and the UK, regulators are increasingly focusing on compliance with current national laws that implement the ePrivacy Directive in the EU and Privacy and Electronic Communications Regulations (“PECR”) in the UK. The ePrivacy Directive may be replaced by an EU regulation known as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ePrivacy Regulation that will significantly increase fines for non-compliance. In the EU and the UK, informed consent is required for the placement of certain cookies or similar technologies on a user’s device as well as for direct electronic marketing communications. Further, under the GDPR and the UK GDPR valid consent is tightly defined and includes a prohibition on pre-checked consents and, under the ePrivacy Directive and PECR, there is a requirement to obtain separate consents for each type of cookie or similar technology. While the text of the ePrivacy Regulation is still under development, a December 2021 European court decision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 Furthermore, the EU Artificial Intelligence Act, which aims to introduce a common regulatory and legal framework for AI, was officially published on July 12, 2024 and came into effect on August 1, 2024. The EU Artificial Intelligence Act regulates AI providers and entities making use of AI tools in a professional capacity, and may require the implementation of additional quality assurance controls and measures to be reviewed and approved by regulatory submissions of our products.</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in other jurisdictions that could impose new obligations or limitations in areas affecting our business.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with greater resources. Even though we communicate with lawmakers and regulators in countries and regions in which we conduct business, and despite having a dedicated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involved in legal disputes that are expensive and time consuming, and, if resolved adversely, could harm our business, operating results, and financial condition.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 See Note 7, Commitments and Contingencies, to the condensed consolidated financial statements elsewhere in this report for a description of certain litigation matters that we are involved in.</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as a public company has and is expected to continue to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spacing w:after="0" w:line="138" w:lineRule="exact"/>
        <w:rPr>
          <w:sz w:val="20"/>
          <w:szCs w:val="20"/>
          <w:color w:val="auto"/>
        </w:rPr>
      </w:pPr>
    </w:p>
    <w:p>
      <w:pPr>
        <w:ind w:left="660" w:right="7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and other stockholder communications in compliance with our obligations under the federal securities laws;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expand the roles and duties of our Board of Directors and committees of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more comprehensive financial reporting and disclosure compliance functions;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and enhance existing internal policies, including those relating to disclosure controls and procedures.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systems of internal controls and disclosure controls could have a material adverse effect on our business, operating results, and financial condition.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the value of our brands and other intangible assets may be diminished, and our business, operating results, and financial condition may be adversely affected.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damages) that may be awarded in connection with any such current or future claims, and could have a material adverse effect on our business.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proprietary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 for us. We expect the number of such claims to increase as the functionality of our platform overlaps with that of other products and services, and as the volume of issued software patents and patent applications continues to increase.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face exposure to third-party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and our inability to maintain those licenses could harm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has been and may continue to be volatile.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user growth, retention, engagement, revenue, or other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actual operating results and the expectations of securities analysts, investors, and the financial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being sold into the market by us or our existing stockholders, or the anticipation of such sales, or if existing stockholders subject to a lock-up sell shares into the market when applicable “lock-up” periods end;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Class A common stock available for public sale;</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estimates by third parties of actual or anticipated changes in the size of our user base or the level of user engagement;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technology companies in our industry, including our partners and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increases on the overall stock market and the market for technology company stocks;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recessions, rising inflation, changing interest rates, local and national elections, actual or perceived instability in the global banking system, international currency fluctuations, corruption, political instability and acts of war or terrorism, such as the war in Ukraine and in the Middle East.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stock index providers limit the eligibility of public companies with multiple classes of shares of common stock from inclusion in their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September 30, 2024.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price and trading volume may decline. Similar results may occur if one or more of these analysts stop covering us in the future or fail to publish reports on us regularly.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may cause the market price of our securities to drop significantly, even if our business is doing well.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September 30, 2024, we had 212,188,996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spacing w:after="0" w:line="13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of directors with staggered three-year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establish the number of directors and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Certificate of Incorporation and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expressly authorized to make, alter, or repeal our Bylaws;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2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26, 2021,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Simultaneously with the consummation of the initial public offering, KVSB consummated a private placement of 1,100,000 private placement shares, at a price of $10.00 per share, to the “Sponsor, generating gross proceeds to KVSB of $11.0 million. In connection with the underwriters’ partial exercise of their over-allotment option that closed on March 30, 2021, KVSB also consummated the sale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an additional 32,688 private placement shares to the Sponsor, generating gross proceeds of $0.3 million. Such securities were issued pursuant to the exemption from registration contained in Section 4(a)(2) of the Securities Act.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for the three months ended September 30,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right="160"/>
        <w:spacing w:after="0" w:line="237" w:lineRule="auto"/>
        <w:rPr>
          <w:sz w:val="20"/>
          <w:szCs w:val="20"/>
          <w:color w:val="auto"/>
        </w:rPr>
      </w:pPr>
      <w:r>
        <w:rPr>
          <w:rFonts w:ascii="Times New Roman" w:cs="Times New Roman" w:eastAsia="Times New Roman" w:hAnsi="Times New Roman"/>
          <w:sz w:val="18"/>
          <w:szCs w:val="18"/>
          <w:color w:val="auto"/>
        </w:rPr>
        <w:t>July 1, 2024 to July 31, 2024</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August 1, 2024 to August 31, 2024</w:t>
      </w:r>
    </w:p>
    <w:p>
      <w:pPr>
        <w:spacing w:after="0" w:line="10" w:lineRule="exact"/>
        <w:rPr>
          <w:sz w:val="20"/>
          <w:szCs w:val="20"/>
          <w:color w:val="auto"/>
        </w:rPr>
      </w:pPr>
    </w:p>
    <w:p>
      <w:pPr>
        <w:ind w:left="20" w:right="320"/>
        <w:spacing w:after="0" w:line="263" w:lineRule="auto"/>
        <w:rPr>
          <w:sz w:val="20"/>
          <w:szCs w:val="20"/>
          <w:color w:val="auto"/>
        </w:rPr>
      </w:pPr>
      <w:r>
        <w:rPr>
          <w:rFonts w:ascii="Times New Roman" w:cs="Times New Roman" w:eastAsia="Times New Roman" w:hAnsi="Times New Roman"/>
          <w:sz w:val="17"/>
          <w:szCs w:val="17"/>
          <w:color w:val="auto"/>
        </w:rPr>
        <w:t>September 1, 2024 to September 30, 2024</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80" w:type="dxa"/>
            <w:vAlign w:val="bottom"/>
          </w:tcPr>
          <w:p>
            <w:pPr>
              <w:spacing w:after="0"/>
              <w:rPr>
                <w:sz w:val="17"/>
                <w:szCs w:val="17"/>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5"/>
        </w:trPr>
        <w:tc>
          <w:tcPr>
            <w:tcW w:w="2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as Part of the</w:t>
            </w:r>
          </w:p>
        </w:tc>
        <w:tc>
          <w:tcPr>
            <w:tcW w:w="80" w:type="dxa"/>
            <w:vAlign w:val="bottom"/>
          </w:tcPr>
          <w:p>
            <w:pPr>
              <w:spacing w:after="0"/>
              <w:rPr>
                <w:sz w:val="15"/>
                <w:szCs w:val="15"/>
                <w:color w:val="auto"/>
              </w:rPr>
            </w:pPr>
          </w:p>
        </w:tc>
        <w:tc>
          <w:tcPr>
            <w:tcW w:w="23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Pans or</w:t>
            </w:r>
          </w:p>
        </w:tc>
        <w:tc>
          <w:tcPr>
            <w:tcW w:w="0" w:type="dxa"/>
            <w:vAlign w:val="bottom"/>
          </w:tcPr>
          <w:p>
            <w:pPr>
              <w:spacing w:after="0"/>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tcPr>
          <w:p>
            <w:pPr>
              <w:jc w:val="right"/>
              <w:ind w:right="49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69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(2)</w:t>
            </w:r>
          </w:p>
        </w:tc>
        <w:tc>
          <w:tcPr>
            <w:tcW w:w="8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412"/>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2,966,046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2,966,046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111,030</w:t>
            </w:r>
          </w:p>
        </w:tc>
        <w:tc>
          <w:tcPr>
            <w:tcW w:w="0" w:type="dxa"/>
            <w:vAlign w:val="bottom"/>
          </w:tcPr>
          <w:p>
            <w:pPr>
              <w:spacing w:after="0"/>
              <w:rPr>
                <w:sz w:val="1"/>
                <w:szCs w:val="1"/>
                <w:color w:val="auto"/>
              </w:rPr>
            </w:pPr>
          </w:p>
        </w:tc>
      </w:tr>
      <w:tr>
        <w:trPr>
          <w:trHeight w:val="418"/>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4,213,752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4,213,752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100,321</w:t>
            </w:r>
          </w:p>
        </w:tc>
        <w:tc>
          <w:tcPr>
            <w:tcW w:w="0" w:type="dxa"/>
            <w:vAlign w:val="bottom"/>
          </w:tcPr>
          <w:p>
            <w:pPr>
              <w:spacing w:after="0"/>
              <w:rPr>
                <w:sz w:val="1"/>
                <w:szCs w:val="1"/>
                <w:color w:val="auto"/>
              </w:rPr>
            </w:pPr>
          </w:p>
        </w:tc>
      </w:tr>
      <w:tr>
        <w:trPr>
          <w:trHeight w:val="418"/>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339,965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99,468</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7,519,763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7,519,763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-453390</wp:posOffset>
            </wp:positionV>
            <wp:extent cx="7132320" cy="266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-993775</wp:posOffset>
            </wp:positionV>
            <wp:extent cx="71323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280"/>
            <w:col w:w="9080"/>
          </w:cols>
          <w:pgMar w:left="320" w:top="121" w:right="339" w:bottom="1440" w:gutter="0" w:footer="0" w:header="0"/>
          <w:type w:val="continuous"/>
        </w:sectPr>
      </w:pPr>
    </w:p>
    <w:p>
      <w:pPr>
        <w:spacing w:after="0" w:line="38" w:lineRule="exact"/>
        <w:rPr>
          <w:sz w:val="20"/>
          <w:szCs w:val="20"/>
          <w:color w:val="auto"/>
        </w:rPr>
      </w:pPr>
    </w:p>
    <w:p>
      <w:pPr>
        <w:jc w:val="both"/>
        <w:ind w:firstLine="8"/>
        <w:spacing w:after="0" w:line="251" w:lineRule="auto"/>
        <w:tabs>
          <w:tab w:leader="none" w:pos="182"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31, 2022, our Board of Directors authorized and approved the Share Repurchase Program to repurchase up to $100.0 million in aggregate of our Class A common stock, with the authorization to expire on June 30, 2024. On February 21, 2024, our Board of Directors authorized and approved an increase of $150.0 million to the Share Repurchase Program and extended the expiration date to March 31, 2026.</w:t>
      </w:r>
    </w:p>
    <w:p>
      <w:pPr>
        <w:spacing w:after="0" w:line="117"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price paid per share includes costs associated with the repurchases.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officers (as defined in Rule 16a-1(f) under the Exchange Act) (“Section 16 officers”) are only permitted to trade in our securities pursuant to a prearranged trading plan intended to satisfy the affirmative defense of Rule 10b5-1(c) under the Exchange Act (a “Rule 10b5-1 Plan”). During the three months ended September 30, 2024, none of our Section 16 officers adopted or terminated any Rule 10b5-1 Plans.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20" w:type="dxa"/>
            <w:vAlign w:val="bottom"/>
            <w:gridSpan w:val="9"/>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gridSpan w:val="9"/>
            <w:vMerge w:val="continue"/>
          </w:tcPr>
          <w:p>
            <w:pPr>
              <w:spacing w:after="0"/>
              <w:rPr>
                <w:sz w:val="16"/>
                <w:szCs w:val="16"/>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13a-14(a) and 15d-14(a) under the Exchange Act,</w:t>
            </w:r>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as adopted pursuant to Section 302 of the Sarbanes-</w:t>
            </w: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Rule 13a-14(a) and 15d-14(a) under the Exchange Act,</w:t>
            </w: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as adopted pursuant to Section 302 of the Sarbanes-</w:t>
            </w: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22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 as adopted pursuant to Section</w:t>
            </w:r>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1100" w:type="dxa"/>
            <w:vAlign w:val="bottom"/>
            <w:tcBorders>
              <w:top w:val="single" w:sz="8" w:color="0000FF"/>
            </w:tcBorders>
            <w:gridSpan w:val="3"/>
          </w:tcPr>
          <w:p>
            <w:pPr>
              <w:spacing w:after="0"/>
              <w:rPr>
                <w:sz w:val="14"/>
                <w:szCs w:val="14"/>
                <w:color w:val="auto"/>
              </w:rPr>
            </w:pPr>
          </w:p>
        </w:tc>
        <w:tc>
          <w:tcPr>
            <w:tcW w:w="22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18 U.S.C. Section 1350 as adopted pursuant to Section</w:t>
            </w:r>
          </w:p>
        </w:tc>
        <w:tc>
          <w:tcPr>
            <w:tcW w:w="24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22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28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340" w:type="dxa"/>
            <w:vAlign w:val="bottom"/>
            <w:gridSpan w:val="8"/>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5"/>
                <w:szCs w:val="15"/>
                <w:color w:val="auto"/>
              </w:rPr>
            </w:pPr>
          </w:p>
        </w:tc>
        <w:tc>
          <w:tcPr>
            <w:tcW w:w="416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Date File (formatted in iXBRL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Filed herewith.</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83" w:lineRule="auto"/>
        <w:tabs>
          <w:tab w:leader="none" w:pos="22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4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256" w:lineRule="exact"/>
        <w:rPr>
          <w:sz w:val="20"/>
          <w:szCs w:val="20"/>
          <w:color w:val="auto"/>
        </w:rPr>
      </w:pPr>
    </w:p>
    <w:tbl>
      <w:tblPr>
        <w:tblLayout w:type="fixed"/>
        <w:tblInd w:w="60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Nirav Tolia</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Nirav Tolia</w:t>
            </w:r>
          </w:p>
        </w:tc>
        <w:tc>
          <w:tcPr>
            <w:tcW w:w="0" w:type="dxa"/>
            <w:vAlign w:val="bottom"/>
          </w:tcPr>
          <w:p>
            <w:pPr>
              <w:spacing w:after="0"/>
              <w:rPr>
                <w:sz w:val="1"/>
                <w:szCs w:val="1"/>
                <w:color w:val="auto"/>
              </w:rPr>
            </w:pPr>
          </w:p>
        </w:tc>
      </w:tr>
      <w:tr>
        <w:trPr>
          <w:trHeight w:val="180"/>
        </w:trPr>
        <w:tc>
          <w:tcPr>
            <w:tcW w:w="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President</w:t>
            </w: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 Anderson</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Anderson</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AND 15D-14(A) UNDER THE EXCHANGE ACT,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Nirav Tolia, certify that:</w:t>
      </w:r>
    </w:p>
    <w:p>
      <w:pPr>
        <w:spacing w:after="0" w:line="25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Nextdoor Holdings, Inc.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2"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2024</w:t>
      </w:r>
    </w:p>
    <w:p>
      <w:pPr>
        <w:spacing w:after="0" w:line="75" w:lineRule="exact"/>
        <w:rPr>
          <w:sz w:val="20"/>
          <w:szCs w:val="20"/>
          <w:color w:val="auto"/>
        </w:rPr>
      </w:pPr>
    </w:p>
    <w:p>
      <w:pPr>
        <w:ind w:left="7440"/>
        <w:spacing w:after="0"/>
        <w:tabs>
          <w:tab w:leader="none" w:pos="7900" w:val="left"/>
        </w:tabs>
        <w:rPr>
          <w:sz w:val="20"/>
          <w:szCs w:val="20"/>
          <w:color w:val="auto"/>
        </w:rPr>
      </w:pP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8"/>
          <w:szCs w:val="18"/>
          <w:i w:val="1"/>
          <w:iCs w:val="1"/>
          <w:color w:val="auto"/>
        </w:rPr>
        <w:t>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35560</wp:posOffset>
            </wp:positionV>
            <wp:extent cx="21170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Nirav Tolia</w:t>
      </w:r>
    </w:p>
    <w:p>
      <w:pPr>
        <w:spacing w:after="0" w:line="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Executive Officer, President and Chairperson</w:t>
      </w:r>
    </w:p>
    <w:p>
      <w:pPr>
        <w:ind w:left="7440"/>
        <w:spacing w:after="0"/>
        <w:rPr>
          <w:sz w:val="20"/>
          <w:szCs w:val="20"/>
          <w:color w:val="auto"/>
        </w:rPr>
      </w:pPr>
      <w:r>
        <w:rPr>
          <w:rFonts w:ascii="Times New Roman" w:cs="Times New Roman" w:eastAsia="Times New Roman" w:hAnsi="Times New Roman"/>
          <w:sz w:val="18"/>
          <w:szCs w:val="18"/>
          <w:color w:val="auto"/>
        </w:rPr>
        <w:t>of the Board of Directors</w:t>
      </w:r>
    </w:p>
    <w:p>
      <w:pPr>
        <w:sectPr>
          <w:pgSz w:w="11900" w:h="16838" w:orient="portrait"/>
          <w:cols w:equalWidth="0" w:num="1">
            <w:col w:w="11240"/>
          </w:cols>
          <w:pgMar w:left="320" w:top="37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5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RULE 13A-14(A) AND 15D-14(A) UNDER THE EXCHANGE ACT,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01F1E"/>
        </w:rPr>
        <w:t>Matt Anderson</w:t>
      </w:r>
      <w:r>
        <w:rPr>
          <w:rFonts w:ascii="Times New Roman" w:cs="Times New Roman" w:eastAsia="Times New Roman" w:hAnsi="Times New Roman"/>
          <w:sz w:val="18"/>
          <w:szCs w:val="18"/>
          <w:color w:val="auto"/>
        </w:rPr>
        <w:t>,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Nextdoor Holdings, Inc.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48"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2024</w:t>
      </w:r>
    </w:p>
    <w:p>
      <w:pPr>
        <w:ind w:left="7200"/>
        <w:spacing w:after="0" w:line="183" w:lineRule="auto"/>
        <w:tabs>
          <w:tab w:leader="none" w:pos="7640" w:val="left"/>
        </w:tabs>
        <w:rPr>
          <w:sz w:val="20"/>
          <w:szCs w:val="20"/>
          <w:color w:val="auto"/>
        </w:rPr>
      </w:pPr>
      <w:r>
        <w:rPr>
          <w:rFonts w:ascii="Times New Roman" w:cs="Times New Roman" w:eastAsia="Times New Roman" w:hAnsi="Times New Roman"/>
          <w:sz w:val="30"/>
          <w:szCs w:val="30"/>
          <w:color w:val="auto"/>
          <w:vertAlign w:val="subscript"/>
        </w:rPr>
        <w:t>By:</w:t>
      </w:r>
      <w:r>
        <w:rPr>
          <w:sz w:val="20"/>
          <w:szCs w:val="20"/>
          <w:color w:val="auto"/>
        </w:rPr>
        <w:tab/>
      </w:r>
      <w:r>
        <w:rPr>
          <w:rFonts w:ascii="Times New Roman" w:cs="Times New Roman" w:eastAsia="Times New Roman" w:hAnsi="Times New Roman"/>
          <w:sz w:val="16"/>
          <w:szCs w:val="16"/>
          <w:i w:val="1"/>
          <w:iCs w:val="1"/>
          <w:color w:val="auto"/>
        </w:rPr>
        <w:t xml:space="preserve">/s/ </w:t>
      </w:r>
      <w:r>
        <w:rPr>
          <w:rFonts w:ascii="Times New Roman" w:cs="Times New Roman" w:eastAsia="Times New Roman" w:hAnsi="Times New Roman"/>
          <w:sz w:val="16"/>
          <w:szCs w:val="16"/>
          <w:i w:val="1"/>
          <w:iCs w:val="1"/>
          <w:color w:val="201F1E"/>
        </w:rPr>
        <w:t>Matt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90170</wp:posOffset>
            </wp:positionV>
            <wp:extent cx="22117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2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201F1E"/>
        </w:rPr>
        <w:t>Matt Anderson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40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20"/>
        <w:spacing w:after="0" w:line="297" w:lineRule="auto"/>
        <w:rPr>
          <w:sz w:val="20"/>
          <w:szCs w:val="20"/>
          <w:color w:val="auto"/>
        </w:rPr>
      </w:pPr>
      <w:r>
        <w:rPr>
          <w:rFonts w:ascii="Times New Roman" w:cs="Times New Roman" w:eastAsia="Times New Roman" w:hAnsi="Times New Roman"/>
          <w:sz w:val="18"/>
          <w:szCs w:val="18"/>
          <w:color w:val="auto"/>
        </w:rPr>
        <w:t>In connection with the Quarterly Report of Nextdoor Holdings, Inc. (the “Company”) on Form 10-Q for the quarter ended September 30, 2024,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0"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2024</w:t>
      </w:r>
    </w:p>
    <w:p>
      <w:pPr>
        <w:spacing w:after="0" w:line="42" w:lineRule="exact"/>
        <w:rPr>
          <w:sz w:val="20"/>
          <w:szCs w:val="20"/>
          <w:color w:val="auto"/>
        </w:rPr>
      </w:pPr>
    </w:p>
    <w:p>
      <w:pPr>
        <w:ind w:left="7200"/>
        <w:spacing w:after="0"/>
        <w:tabs>
          <w:tab w:leader="none" w:pos="7640" w:val="left"/>
        </w:tabs>
        <w:rPr>
          <w:sz w:val="20"/>
          <w:szCs w:val="20"/>
          <w:color w:val="auto"/>
        </w:rPr>
      </w:pPr>
      <w:r>
        <w:rPr>
          <w:rFonts w:ascii="Times New Roman" w:cs="Times New Roman" w:eastAsia="Times New Roman" w:hAnsi="Times New Roman"/>
          <w:sz w:val="36"/>
          <w:szCs w:val="36"/>
          <w:color w:val="auto"/>
          <w:vertAlign w:val="subscript"/>
        </w:rPr>
        <w:t>By:</w:t>
      </w:r>
      <w:r>
        <w:rPr>
          <w:sz w:val="20"/>
          <w:szCs w:val="20"/>
          <w:color w:val="auto"/>
        </w:rPr>
        <w:tab/>
      </w: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i w:val="1"/>
          <w:iCs w:val="1"/>
          <w:color w:val="auto"/>
        </w:rPr>
        <w:t>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121920</wp:posOffset>
            </wp:positionV>
            <wp:extent cx="16459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Nirav Tolia</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ind w:left="720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ectPr>
          <w:pgSz w:w="11900" w:h="16838" w:orient="portrait"/>
          <w:cols w:equalWidth="0" w:num="1">
            <w:col w:w="11240"/>
          </w:cols>
          <w:pgMar w:left="320" w:top="40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20"/>
        <w:spacing w:after="0" w:line="349" w:lineRule="auto"/>
        <w:rPr>
          <w:sz w:val="20"/>
          <w:szCs w:val="20"/>
          <w:color w:val="auto"/>
        </w:rPr>
      </w:pPr>
      <w:r>
        <w:rPr>
          <w:rFonts w:ascii="Times New Roman" w:cs="Times New Roman" w:eastAsia="Times New Roman" w:hAnsi="Times New Roman"/>
          <w:sz w:val="18"/>
          <w:szCs w:val="18"/>
          <w:color w:val="auto"/>
        </w:rPr>
        <w:t>In connection with the Quarterly Report of Nextdoor Holdings, Inc. (the “Company”) on Form 10-Q for the quarter ended September 30, 2024,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73"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0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2024</w:t>
      </w:r>
    </w:p>
    <w:p>
      <w:pPr>
        <w:spacing w:after="0" w:line="291" w:lineRule="exact"/>
        <w:rPr>
          <w:sz w:val="20"/>
          <w:szCs w:val="20"/>
          <w:color w:val="auto"/>
        </w:rPr>
      </w:pPr>
    </w:p>
    <w:p>
      <w:pPr>
        <w:ind w:left="7220"/>
        <w:spacing w:after="0"/>
        <w:tabs>
          <w:tab w:leader="none" w:pos="7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Matt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18415</wp:posOffset>
            </wp:positionV>
            <wp:extent cx="18942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Matt Anderson</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2024-11-06T15:38:01Z</dcterms:created>
  <dcterms:modified xsi:type="dcterms:W3CDTF">2024-11-06T15:38:01Z</dcterms:modified>
</cp:coreProperties>
</file>